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C1F2A"/>
          <w:sz w:val="56"/>
          <w:szCs w:val="56"/>
        </w:rPr>
        <w:t xml:space="preserve">PRISM</w:t>
      </w:r>
    </w:p>
    <w:p>
      <w:pPr>
        <w:spacing w:after="300"/>
      </w:pPr>
      <w:r>
        <w:rPr>
          <w:color w:val="57606A"/>
          <w:sz w:val="26"/>
          <w:szCs w:val="26"/>
        </w:rPr>
        <w:t xml:space="preserve">Feature Roadmap · July 2026</w:t>
      </w:r>
    </w:p>
    <w:p>
      <w:pPr>
        <w:pStyle w:val="Heading1"/>
        <w:spacing w:after="160" w:before="360"/>
      </w:pPr>
      <w:r>
        <w:rPr>
          <w:color w:val="1C1F2A"/>
        </w:rPr>
        <w:t xml:space="preserve">1. Positioning</w:t>
      </w:r>
    </w:p>
    <w:p>
      <w:pPr>
        <w:spacing w:after="120"/>
      </w:pPr>
      <w:r>
        <w:rPr>
          <w:color w:val="1C1F2A"/>
          <w:sz w:val="22"/>
          <w:szCs w:val="22"/>
        </w:rPr>
        <w:t xml:space="preserve">PRISM is the agent-native terminal: it supervises the CLI agents people already trust (Claude Code, Codex, anything in a shell) instead of bundling its own. The moat is the agent layer (glow, states, artifacts, mission control, socket API) wrapped in a designed glass interface. Every roadmap item below either deepens that moat or removes a reason to churn back to Ghostty, iTerm2, or cmux.</w:t>
      </w:r>
    </w:p>
    <w:p>
      <w:pPr>
        <w:pStyle w:val="Heading1"/>
        <w:spacing w:after="160" w:before="360"/>
      </w:pPr>
      <w:r>
        <w:rPr>
          <w:color w:val="1C1F2A"/>
        </w:rPr>
        <w:t xml:space="preserve">2. Competitive landscape</w:t>
      </w:r>
    </w:p>
    <w:p>
      <w:pPr>
        <w:spacing w:after="120"/>
      </w:pPr>
      <w:r>
        <w:rPr>
          <w:color w:val="1C1F2A"/>
          <w:sz w:val="22"/>
          <w:szCs w:val="22"/>
        </w:rPr>
        <w:t xml:space="preserve">What each competitor does best, and the honest takeaway for PRISM.</w:t>
      </w:r>
    </w:p>
    <w:tbl>
      <w:tblPr>
        <w:tblW w:type="pct" w:w="100%"/>
        <w:tblBorders>
          <w:top w:val="single" w:color="D8DAE5" w:sz="4"/>
          <w:left w:val="single" w:color="D8DAE5" w:sz="4"/>
          <w:bottom w:val="single" w:color="D8DAE5" w:sz="4"/>
          <w:right w:val="single" w:color="D8DAE5" w:sz="4"/>
          <w:insideH w:val="single" w:color="E4E6F0" w:sz="4"/>
          <w:insideV w:val="single" w:color="E4E6F0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shd w:fill="F2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250DF"/>
                <w:sz w:val="20"/>
                <w:szCs w:val="20"/>
              </w:rPr>
              <w:t xml:space="preserve">Product</w:t>
            </w:r>
          </w:p>
        </w:tc>
        <w:tc>
          <w:tcPr>
            <w:tcW w:type="pct" w:w="46%"/>
            <w:shd w:fill="F2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250DF"/>
                <w:sz w:val="20"/>
                <w:szCs w:val="20"/>
              </w:rPr>
              <w:t xml:space="preserve">Signature strengths</w:t>
            </w:r>
          </w:p>
        </w:tc>
        <w:tc>
          <w:tcPr>
            <w:tcW w:type="pct" w:w="40%"/>
            <w:shd w:fill="F2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250DF"/>
                <w:sz w:val="20"/>
                <w:szCs w:val="20"/>
              </w:rPr>
              <w:t xml:space="preserve">Takeaway for PRISM</w:t>
            </w:r>
          </w:p>
        </w:tc>
      </w:tr>
      <w:tr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F2A"/>
                <w:sz w:val="20"/>
                <w:szCs w:val="20"/>
              </w:rPr>
              <w:t xml:space="preserve">cmux</w:t>
            </w:r>
          </w:p>
        </w:tc>
        <w:tc>
          <w:tcPr>
            <w:tcW w:type="pct" w:w="4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F2A"/>
                <w:sz w:val="20"/>
                <w:szCs w:val="20"/>
              </w:rPr>
              <w:t xml:space="preserve">Ghostty engine; notification rings when agents need attention; subagents become panes; socket API + CLI; embedded programmable browser; restore incl. scrollback; SSH + remote tmux attach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F2A"/>
                <w:sz w:val="20"/>
                <w:szCs w:val="20"/>
              </w:rPr>
              <w:t xml:space="preserve">Closest rival, validates the thesis. We match restore + socket API. Steal: needs-you notifications, browser pane (later), SSH workspaces.</w:t>
            </w:r>
          </w:p>
        </w:tc>
      </w:tr>
      <w:tr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F2A"/>
                <w:sz w:val="20"/>
                <w:szCs w:val="20"/>
              </w:rPr>
              <w:t xml:space="preserve">iTerm2</w:t>
            </w:r>
          </w:p>
        </w:tc>
        <w:tc>
          <w:tcPr>
            <w:tcW w:type="pct" w:w="4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F2A"/>
                <w:sz w:val="20"/>
                <w:szCs w:val="20"/>
              </w:rPr>
              <w:t xml:space="preserve">Triggers (regex to action); semantic history (Cmd-click any path to open in editor); tmux -CC native integration; instant replay; Python API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F2A"/>
                <w:sz w:val="20"/>
                <w:szCs w:val="20"/>
              </w:rPr>
              <w:t xml:space="preserve">Decades of QoL to mine. Semantic history and triggers are the two highest-value imports for agent supervision.</w:t>
            </w:r>
          </w:p>
        </w:tc>
      </w:tr>
      <w:tr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F2A"/>
                <w:sz w:val="20"/>
                <w:szCs w:val="20"/>
              </w:rPr>
              <w:t xml:space="preserve">Warp</w:t>
            </w:r>
          </w:p>
        </w:tc>
        <w:tc>
          <w:tcPr>
            <w:tcW w:type="pct" w:w="4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F2A"/>
                <w:sz w:val="20"/>
                <w:szCs w:val="20"/>
              </w:rPr>
              <w:t xml:space="preserve">Blocks; command palette workflows/snippets; bundled multi-agent platform (Oz); input editor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F2A"/>
                <w:sz w:val="20"/>
                <w:szCs w:val="20"/>
              </w:rPr>
              <w:t xml:space="preserve">Do not chase the platform. Snippets and polished palette flows are cheap wins.</w:t>
            </w:r>
          </w:p>
        </w:tc>
      </w:tr>
      <w:tr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F2A"/>
                <w:sz w:val="20"/>
                <w:szCs w:val="20"/>
              </w:rPr>
              <w:t xml:space="preserve">Wave Terminal</w:t>
            </w:r>
          </w:p>
        </w:tc>
        <w:tc>
          <w:tcPr>
            <w:tcW w:type="pct" w:w="4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F2A"/>
                <w:sz w:val="20"/>
                <w:szCs w:val="20"/>
              </w:rPr>
              <w:t xml:space="preserve">Blocks/widgets workspace; inline previews (CSV, PDF, images, markdown); remote file editing incl. S3; cross-platform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F2A"/>
                <w:sz w:val="20"/>
                <w:szCs w:val="20"/>
              </w:rPr>
              <w:t xml:space="preserve">Inline preview of artifacts (markdown/images) is a natural, scoped fit for our rail. Skip the dashboard ambition.</w:t>
            </w:r>
          </w:p>
        </w:tc>
      </w:tr>
      <w:tr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F2A"/>
                <w:sz w:val="20"/>
                <w:szCs w:val="20"/>
              </w:rPr>
              <w:t xml:space="preserve">Ghostty</w:t>
            </w:r>
          </w:p>
        </w:tc>
        <w:tc>
          <w:tcPr>
            <w:tcW w:type="pct" w:w="4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F2A"/>
                <w:sz w:val="20"/>
                <w:szCs w:val="20"/>
              </w:rPr>
              <w:t xml:space="preserve">Fastest native engine; hundreds of themes; deep standards work; quick terminal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F2A"/>
                <w:sz w:val="20"/>
                <w:szCs w:val="20"/>
              </w:rPr>
              <w:t xml:space="preserve">Terminal credibility ceiling. Theme import closes the variety gap cheaply; we will not win benchmarks and should not try.</w:t>
            </w:r>
          </w:p>
        </w:tc>
      </w:tr>
      <w:tr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F2A"/>
                <w:sz w:val="20"/>
                <w:szCs w:val="20"/>
              </w:rPr>
              <w:t xml:space="preserve">tmux</w:t>
            </w:r>
          </w:p>
        </w:tc>
        <w:tc>
          <w:tcPr>
            <w:tcW w:type="pct" w:w="4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F2A"/>
                <w:sz w:val="20"/>
                <w:szCs w:val="20"/>
              </w:rPr>
              <w:t xml:space="preserve">Detach/attach persistence; scripting; remote sessions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F2A"/>
                <w:sz w:val="20"/>
                <w:szCs w:val="20"/>
              </w:rPr>
              <w:t xml:space="preserve">Complement, not competitor. Long-term: iTerm-style -CC control mode makes tmux windows native PRISM panes.</w:t>
            </w:r>
          </w:p>
        </w:tc>
      </w:tr>
    </w:tbl>
    <w:p>
      <w:pPr>
        <w:pStyle w:val="Heading1"/>
        <w:spacing w:after="160" w:before="360"/>
      </w:pPr>
      <w:r>
        <w:rPr>
          <w:color w:val="1C1F2A"/>
        </w:rPr>
        <w:t xml:space="preserve">3. Easy wins (0 to 30 days)</w:t>
      </w:r>
    </w:p>
    <w:p>
      <w:pPr>
        <w:spacing w:after="120"/>
      </w:pPr>
      <w:r>
        <w:rPr>
          <w:color w:val="1C1F2A"/>
          <w:sz w:val="22"/>
          <w:szCs w:val="22"/>
        </w:rPr>
        <w:t xml:space="preserve">High impact relative to effort; most build on machinery PRISM already has.</w:t>
      </w:r>
    </w:p>
    <w:tbl>
      <w:tblPr>
        <w:tblW w:type="pct" w:w="100%"/>
        <w:tblBorders>
          <w:top w:val="single" w:color="D8DAE5" w:sz="4"/>
          <w:left w:val="single" w:color="D8DAE5" w:sz="4"/>
          <w:bottom w:val="single" w:color="D8DAE5" w:sz="4"/>
          <w:right w:val="single" w:color="D8DAE5" w:sz="4"/>
          <w:insideH w:val="single" w:color="E4E6F0" w:sz="4"/>
          <w:insideV w:val="single" w:color="E4E6F0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shd w:fill="F2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250DF"/>
                <w:sz w:val="20"/>
                <w:szCs w:val="20"/>
              </w:rPr>
              <w:t xml:space="preserve">Feature</w:t>
            </w:r>
          </w:p>
        </w:tc>
        <w:tc>
          <w:tcPr>
            <w:tcW w:type="pct" w:w="16%"/>
            <w:shd w:fill="F2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250DF"/>
                <w:sz w:val="20"/>
                <w:szCs w:val="20"/>
              </w:rPr>
              <w:t xml:space="preserve">Inspired by</w:t>
            </w:r>
          </w:p>
        </w:tc>
        <w:tc>
          <w:tcPr>
            <w:tcW w:type="pct" w:w="48%"/>
            <w:shd w:fill="F2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250DF"/>
                <w:sz w:val="20"/>
                <w:szCs w:val="20"/>
              </w:rPr>
              <w:t xml:space="preserve">Why it fits PRISM</w:t>
            </w:r>
          </w:p>
        </w:tc>
        <w:tc>
          <w:tcPr>
            <w:tcW w:type="pct" w:w="8%"/>
            <w:shd w:fill="F2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250D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F2A"/>
                <w:sz w:val="20"/>
                <w:szCs w:val="20"/>
              </w:rPr>
              <w:t xml:space="preserve">Needs-you notifications + dock badge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F2A"/>
                <w:sz w:val="20"/>
                <w:szCs w:val="20"/>
              </w:rPr>
              <w:t xml:space="preserve">cmux notification rings</w:t>
            </w:r>
          </w:p>
        </w:tc>
        <w:tc>
          <w:tcPr>
            <w:tcW w:type="pct" w:w="4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F2A"/>
                <w:sz w:val="20"/>
                <w:szCs w:val="20"/>
              </w:rPr>
              <w:t xml:space="preserve">We already compute agent-waiting state; notify when an agent stops working while unfocused, badge the dock with waiting count. The single most-felt daily feature.</w:t>
            </w:r>
          </w:p>
        </w:tc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F2A"/>
                <w:sz w:val="20"/>
                <w:szCs w:val="20"/>
              </w:rPr>
              <w:t xml:space="preserve">S</w:t>
            </w:r>
          </w:p>
        </w:tc>
      </w:tr>
      <w:tr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F2A"/>
                <w:sz w:val="20"/>
                <w:szCs w:val="20"/>
              </w:rPr>
              <w:t xml:space="preserve">Semantic history (Cmd-click paths)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F2A"/>
                <w:sz w:val="20"/>
                <w:szCs w:val="20"/>
              </w:rPr>
              <w:t xml:space="preserve">iTerm2</w:t>
            </w:r>
          </w:p>
        </w:tc>
        <w:tc>
          <w:tcPr>
            <w:tcW w:type="pct" w:w="4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F2A"/>
                <w:sz w:val="20"/>
                <w:szCs w:val="20"/>
              </w:rPr>
              <w:t xml:space="preserve">Agents constantly print file paths. Cmd-click opens in the editor of choice; we already track cwd per pane via OSC 7.</w:t>
            </w:r>
          </w:p>
        </w:tc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F2A"/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F2A"/>
                <w:sz w:val="20"/>
                <w:szCs w:val="20"/>
              </w:rPr>
              <w:t xml:space="preserve">Artifacts: Quick Look + diff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F2A"/>
                <w:sz w:val="20"/>
                <w:szCs w:val="20"/>
              </w:rPr>
              <w:t xml:space="preserve">PRISM-unique</w:t>
            </w:r>
          </w:p>
        </w:tc>
        <w:tc>
          <w:tcPr>
            <w:tcW w:type="pct" w:w="4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F2A"/>
                <w:sz w:val="20"/>
                <w:szCs w:val="20"/>
              </w:rPr>
              <w:t xml:space="preserve">Space to Quick Look an artifact; click for git diff of that file. Completes the "what did it change" story.</w:t>
            </w:r>
          </w:p>
        </w:tc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F2A"/>
                <w:sz w:val="20"/>
                <w:szCs w:val="20"/>
              </w:rPr>
              <w:t xml:space="preserve">S</w:t>
            </w:r>
          </w:p>
        </w:tc>
      </w:tr>
      <w:tr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F2A"/>
                <w:sz w:val="20"/>
                <w:szCs w:val="20"/>
              </w:rPr>
              <w:t xml:space="preserve">Pane zoom (temporary maximize)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F2A"/>
                <w:sz w:val="20"/>
                <w:szCs w:val="20"/>
              </w:rPr>
              <w:t xml:space="preserve">iTerm2 / tmux</w:t>
            </w:r>
          </w:p>
        </w:tc>
        <w:tc>
          <w:tcPr>
            <w:tcW w:type="pct" w:w="4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F2A"/>
                <w:sz w:val="20"/>
                <w:szCs w:val="20"/>
              </w:rPr>
              <w:t xml:space="preserve">Cmd+Shift+Enter toggles a pane full-tab; essential once splits are daily-driven.</w:t>
            </w:r>
          </w:p>
        </w:tc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F2A"/>
                <w:sz w:val="20"/>
                <w:szCs w:val="20"/>
              </w:rPr>
              <w:t xml:space="preserve">S</w:t>
            </w:r>
          </w:p>
        </w:tc>
      </w:tr>
      <w:tr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F2A"/>
                <w:sz w:val="20"/>
                <w:szCs w:val="20"/>
              </w:rPr>
              <w:t xml:space="preserve">Drag-to-resize splits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F2A"/>
                <w:sz w:val="20"/>
                <w:szCs w:val="20"/>
              </w:rPr>
              <w:t xml:space="preserve">every terminal</w:t>
            </w:r>
          </w:p>
        </w:tc>
        <w:tc>
          <w:tcPr>
            <w:tcW w:type="pct" w:w="4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F2A"/>
                <w:sz w:val="20"/>
                <w:szCs w:val="20"/>
              </w:rPr>
              <w:t xml:space="preserve">Current splits are fixed 50/50; a divider drag is expected behavior.</w:t>
            </w:r>
          </w:p>
        </w:tc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F2A"/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F2A"/>
                <w:sz w:val="20"/>
                <w:szCs w:val="20"/>
              </w:rPr>
              <w:t xml:space="preserve">Command history in palette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F2A"/>
                <w:sz w:val="20"/>
                <w:szCs w:val="20"/>
              </w:rPr>
              <w:t xml:space="preserve">Warp</w:t>
            </w:r>
          </w:p>
        </w:tc>
        <w:tc>
          <w:tcPr>
            <w:tcW w:type="pct" w:w="4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F2A"/>
                <w:sz w:val="20"/>
                <w:szCs w:val="20"/>
              </w:rPr>
              <w:t xml:space="preserve">OSC 133 already marks every command; surface them searchable in Cmd+P with re-run.</w:t>
            </w:r>
          </w:p>
        </w:tc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F2A"/>
                <w:sz w:val="20"/>
                <w:szCs w:val="20"/>
              </w:rPr>
              <w:t xml:space="preserve">S</w:t>
            </w:r>
          </w:p>
        </w:tc>
      </w:tr>
      <w:tr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F2A"/>
                <w:sz w:val="20"/>
                <w:szCs w:val="20"/>
              </w:rPr>
              <w:t xml:space="preserve">Theme import (.itermcolors / Ghostty)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F2A"/>
                <w:sz w:val="20"/>
                <w:szCs w:val="20"/>
              </w:rPr>
              <w:t xml:space="preserve">Ghostty catalog</w:t>
            </w:r>
          </w:p>
        </w:tc>
        <w:tc>
          <w:tcPr>
            <w:tcW w:type="pct" w:w="4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F2A"/>
                <w:sz w:val="20"/>
                <w:szCs w:val="20"/>
              </w:rPr>
              <w:t xml:space="preserve">Parse standard theme files into our card picker; instant hundreds-of-themes story.</w:t>
            </w:r>
          </w:p>
        </w:tc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F2A"/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F2A"/>
                <w:sz w:val="20"/>
                <w:szCs w:val="20"/>
              </w:rPr>
              <w:t xml:space="preserve">Broadcast input to all panes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F2A"/>
                <w:sz w:val="20"/>
                <w:szCs w:val="20"/>
              </w:rPr>
              <w:t xml:space="preserve">iTerm2</w:t>
            </w:r>
          </w:p>
        </w:tc>
        <w:tc>
          <w:tcPr>
            <w:tcW w:type="pct" w:w="4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F2A"/>
                <w:sz w:val="20"/>
                <w:szCs w:val="20"/>
              </w:rPr>
              <w:t xml:space="preserve">Type once, run everywhere; useful for multi-repo agent fleets.</w:t>
            </w:r>
          </w:p>
        </w:tc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F2A"/>
                <w:sz w:val="20"/>
                <w:szCs w:val="20"/>
              </w:rPr>
              <w:t xml:space="preserve">S</w:t>
            </w:r>
          </w:p>
        </w:tc>
      </w:tr>
    </w:tbl>
    <w:p>
      <w:pPr>
        <w:pStyle w:val="Heading1"/>
        <w:spacing w:after="160" w:before="360"/>
      </w:pPr>
      <w:r>
        <w:rPr>
          <w:color w:val="1C1F2A"/>
        </w:rPr>
        <w:t xml:space="preserve">4. Medium bets (30 to 90 days)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Agent trigger packs: </w:t>
      </w:r>
      <w:r>
        <w:rPr>
          <w:sz w:val="22"/>
          <w:szCs w:val="22"/>
        </w:rPr>
        <w:t xml:space="preserve">iTerm-style regex triggers, but shipped as curated packs per agent CLI (Claude Code, Codex): detect "waiting for approval", surface a native prompt chip, notify. Generalizes the glow scanner into a rules engine.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Session replay export: </w:t>
      </w:r>
      <w:r>
        <w:rPr>
          <w:sz w:val="22"/>
          <w:szCs w:val="22"/>
        </w:rPr>
        <w:t xml:space="preserve">Record pane output (we already serialize scrollback) into asciinema format: "replay what the agent did" as a shareable artifact.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Inline artifact previews: </w:t>
      </w:r>
      <w:r>
        <w:rPr>
          <w:sz w:val="22"/>
          <w:szCs w:val="22"/>
        </w:rPr>
        <w:t xml:space="preserve">Wave-lite: markdown and images render in a preview popover from the artifacts rail. Scoped to the rail, not a widget platform.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Custom keybindings + config file: </w:t>
      </w:r>
      <w:r>
        <w:rPr>
          <w:sz w:val="22"/>
          <w:szCs w:val="22"/>
        </w:rPr>
        <w:t xml:space="preserve">A prism.toml for keys, fonts, and settings sync; table-stakes for power users and the path to community themes.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Snippets and workflows: </w:t>
      </w:r>
      <w:r>
        <w:rPr>
          <w:sz w:val="22"/>
          <w:szCs w:val="22"/>
        </w:rPr>
        <w:t xml:space="preserve">Saved parameterized commands in the palette (Warp-style), shareable as JSON.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SSH profiles: </w:t>
      </w:r>
      <w:r>
        <w:rPr>
          <w:sz w:val="22"/>
          <w:szCs w:val="22"/>
        </w:rPr>
        <w:t xml:space="preserve">First-class remote sessions with OSC 7 remote cwd awareness and per-host colors; pairs with the socket API for remote agent fleets.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Homebrew distribution: </w:t>
      </w:r>
      <w:r>
        <w:rPr>
          <w:sz w:val="22"/>
          <w:szCs w:val="22"/>
        </w:rPr>
        <w:t xml:space="preserve">brew install --cask prism, plus prism CLI on PATH outside the app.</w:t>
      </w:r>
    </w:p>
    <w:p>
      <w:pPr>
        <w:pStyle w:val="Heading1"/>
        <w:spacing w:after="160" w:before="360"/>
      </w:pPr>
      <w:r>
        <w:rPr>
          <w:color w:val="1C1F2A"/>
        </w:rPr>
        <w:t xml:space="preserve">5. Big bets (90+ days)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tmux control mode (-CC): </w:t>
      </w:r>
      <w:r>
        <w:rPr>
          <w:sz w:val="22"/>
          <w:szCs w:val="22"/>
        </w:rPr>
        <w:t xml:space="preserve">iTerm2-grade integration where tmux windows become native PRISM tabs/panes: kills the last "but tmux" objection and unlocks persistent remote agents with native UI.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Embedded browser pane: </w:t>
      </w:r>
      <w:r>
        <w:rPr>
          <w:sz w:val="22"/>
          <w:szCs w:val="22"/>
        </w:rPr>
        <w:t xml:space="preserve">cmux parity: a browser as a pane, drivable over the socket API so agents can verify their own web work end to end.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Trigger marketplace / agent adapters: </w:t>
      </w:r>
      <w:r>
        <w:rPr>
          <w:sz w:val="22"/>
          <w:szCs w:val="22"/>
        </w:rPr>
        <w:t xml:space="preserve">Community-contributed detection packs as the agent CLI ecosystem grows (Gemini CLI, Aider, Goose, OpenCode).</w:t>
      </w:r>
    </w:p>
    <w:p>
      <w:pPr>
        <w:pStyle w:val="Heading1"/>
        <w:spacing w:after="160" w:before="360"/>
      </w:pPr>
      <w:r>
        <w:rPr>
          <w:color w:val="1C1F2A"/>
        </w:rPr>
        <w:t xml:space="preserve">6. Platform expansion goals</w:t>
      </w:r>
    </w:p>
    <w:p>
      <w:pPr>
        <w:pStyle w:val="Heading2"/>
        <w:spacing w:after="120" w:before="280"/>
      </w:pPr>
      <w:r>
        <w:rPr>
          <w:color w:val="8250DF"/>
        </w:rPr>
        <w:t xml:space="preserve">6.1 macOS Intel: target v0.2, end of July 2026</w:t>
      </w:r>
    </w:p>
    <w:p>
      <w:pPr>
        <w:spacing w:after="120"/>
      </w:pPr>
      <w:r>
        <w:rPr>
          <w:color w:val="1C1F2A"/>
          <w:sz w:val="22"/>
          <w:szCs w:val="22"/>
        </w:rPr>
        <w:t xml:space="preserve">Goal: one universal DMG that runs natively on Apple silicon and Intel.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Add the x86_64-apple-darwin Rust target and switch release builds to tauri build --target universal-apple-darwin.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Verify the two native deps (portable-pty, notify) build for x86_64; both are pure-Rust friendly.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Acceptance: app launches and passes the manual test list (vim, tmux, claude, splits, restore, socket API) on an Intel Mac or Rosetta-free CI runner.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Update landing page requirements line from "Apple silicon" to "Universal".</w:t>
      </w:r>
    </w:p>
    <w:p>
      <w:pPr>
        <w:pStyle w:val="Heading2"/>
        <w:spacing w:after="120" w:before="280"/>
      </w:pPr>
      <w:r>
        <w:rPr>
          <w:color w:val="8250DF"/>
        </w:rPr>
        <w:t xml:space="preserve">6.2 Linux: target v0.3 beta, end of September 2026</w:t>
      </w:r>
    </w:p>
    <w:p>
      <w:pPr>
        <w:spacing w:after="120"/>
      </w:pPr>
      <w:r>
        <w:rPr>
          <w:color w:val="1C1F2A"/>
          <w:sz w:val="22"/>
          <w:szCs w:val="22"/>
        </w:rPr>
        <w:t xml:space="preserve">Goal: a usable beta (AppImage + .deb) with the agent layer fully intact; glass degrades gracefully.</w:t>
      </w:r>
    </w:p>
    <w:tbl>
      <w:tblPr>
        <w:tblW w:type="pct" w:w="100%"/>
        <w:tblBorders>
          <w:top w:val="single" w:color="D8DAE5" w:sz="4"/>
          <w:left w:val="single" w:color="D8DAE5" w:sz="4"/>
          <w:bottom w:val="single" w:color="D8DAE5" w:sz="4"/>
          <w:right w:val="single" w:color="D8DAE5" w:sz="4"/>
          <w:insideH w:val="single" w:color="E4E6F0" w:sz="4"/>
          <w:insideV w:val="single" w:color="E4E6F0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F2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250DF"/>
                <w:sz w:val="20"/>
                <w:szCs w:val="20"/>
              </w:rPr>
              <w:t xml:space="preserve">Subsystem</w:t>
            </w:r>
          </w:p>
        </w:tc>
        <w:tc>
          <w:tcPr>
            <w:tcW w:type="pct" w:w="34%"/>
            <w:shd w:fill="F2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250DF"/>
                <w:sz w:val="20"/>
                <w:szCs w:val="20"/>
              </w:rPr>
              <w:t xml:space="preserve">macOS today</w:t>
            </w:r>
          </w:p>
        </w:tc>
        <w:tc>
          <w:tcPr>
            <w:tcW w:type="pct" w:w="46%"/>
            <w:shd w:fill="F2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250DF"/>
                <w:sz w:val="20"/>
                <w:szCs w:val="20"/>
              </w:rPr>
              <w:t xml:space="preserve">Linux plan</w:t>
            </w:r>
          </w:p>
        </w:tc>
      </w:tr>
      <w:t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F2A"/>
                <w:sz w:val="20"/>
                <w:szCs w:val="20"/>
              </w:rPr>
              <w:t xml:space="preserve">Window glass</w:t>
            </w:r>
          </w:p>
        </w:tc>
        <w:tc>
          <w:tcPr>
            <w:tcW w:type="pct" w:w="3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F2A"/>
                <w:sz w:val="20"/>
                <w:szCs w:val="20"/>
              </w:rPr>
              <w:t xml:space="preserve">NSVisualEffectMaterial vibrancy</w:t>
            </w:r>
          </w:p>
        </w:tc>
        <w:tc>
          <w:tcPr>
            <w:tcW w:type="pct" w:w="4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F2A"/>
                <w:sz w:val="20"/>
                <w:szCs w:val="20"/>
              </w:rPr>
              <w:t xml:space="preserve">Transparent window + CSS tint; optional compositor blur (KDE/Hyprland); solid fallback elsewhere</w:t>
            </w:r>
          </w:p>
        </w:tc>
      </w:tr>
      <w:t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F2A"/>
                <w:sz w:val="20"/>
                <w:szCs w:val="20"/>
              </w:rPr>
              <w:t xml:space="preserve">Process detection</w:t>
            </w:r>
          </w:p>
        </w:tc>
        <w:tc>
          <w:tcPr>
            <w:tcW w:type="pct" w:w="3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F2A"/>
                <w:sz w:val="20"/>
                <w:szCs w:val="20"/>
              </w:rPr>
              <w:t xml:space="preserve">ps -Ao polling</w:t>
            </w:r>
          </w:p>
        </w:tc>
        <w:tc>
          <w:tcPr>
            <w:tcW w:type="pct" w:w="4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F2A"/>
                <w:sz w:val="20"/>
                <w:szCs w:val="20"/>
              </w:rPr>
              <w:t xml:space="preserve">Same ps interface works; fallback /proc scan</w:t>
            </w:r>
          </w:p>
        </w:tc>
      </w:tr>
      <w:t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F2A"/>
                <w:sz w:val="20"/>
                <w:szCs w:val="20"/>
              </w:rPr>
              <w:t xml:space="preserve">Session cwd</w:t>
            </w:r>
          </w:p>
        </w:tc>
        <w:tc>
          <w:tcPr>
            <w:tcW w:type="pct" w:w="3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F2A"/>
                <w:sz w:val="20"/>
                <w:szCs w:val="20"/>
              </w:rPr>
              <w:t xml:space="preserve">lsof -a -d cwd</w:t>
            </w:r>
          </w:p>
        </w:tc>
        <w:tc>
          <w:tcPr>
            <w:tcW w:type="pct" w:w="4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F2A"/>
                <w:sz w:val="20"/>
                <w:szCs w:val="20"/>
              </w:rPr>
              <w:t xml:space="preserve">readlink /proc/PID/cwd (faster than macOS path)</w:t>
            </w:r>
          </w:p>
        </w:tc>
      </w:tr>
      <w:t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F2A"/>
                <w:sz w:val="20"/>
                <w:szCs w:val="20"/>
              </w:rPr>
              <w:t xml:space="preserve">Notifications</w:t>
            </w:r>
          </w:p>
        </w:tc>
        <w:tc>
          <w:tcPr>
            <w:tcW w:type="pct" w:w="3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F2A"/>
                <w:sz w:val="20"/>
                <w:szCs w:val="20"/>
              </w:rPr>
              <w:t xml:space="preserve">osascript</w:t>
            </w:r>
          </w:p>
        </w:tc>
        <w:tc>
          <w:tcPr>
            <w:tcW w:type="pct" w:w="4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F2A"/>
                <w:sz w:val="20"/>
                <w:szCs w:val="20"/>
              </w:rPr>
              <w:t xml:space="preserve">notify-send (libnotify)</w:t>
            </w:r>
          </w:p>
        </w:tc>
      </w:tr>
      <w:t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F2A"/>
                <w:sz w:val="20"/>
                <w:szCs w:val="20"/>
              </w:rPr>
              <w:t xml:space="preserve">Reveal / open</w:t>
            </w:r>
          </w:p>
        </w:tc>
        <w:tc>
          <w:tcPr>
            <w:tcW w:type="pct" w:w="3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F2A"/>
                <w:sz w:val="20"/>
                <w:szCs w:val="20"/>
              </w:rPr>
              <w:t xml:space="preserve">open -R, open</w:t>
            </w:r>
          </w:p>
        </w:tc>
        <w:tc>
          <w:tcPr>
            <w:tcW w:type="pct" w:w="4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F2A"/>
                <w:sz w:val="20"/>
                <w:szCs w:val="20"/>
              </w:rPr>
              <w:t xml:space="preserve">xdg-open; reveal via file manager DBus where available</w:t>
            </w:r>
          </w:p>
        </w:tc>
      </w:tr>
      <w:t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F2A"/>
                <w:sz w:val="20"/>
                <w:szCs w:val="20"/>
              </w:rPr>
              <w:t xml:space="preserve">Webview</w:t>
            </w:r>
          </w:p>
        </w:tc>
        <w:tc>
          <w:tcPr>
            <w:tcW w:type="pct" w:w="3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F2A"/>
                <w:sz w:val="20"/>
                <w:szCs w:val="20"/>
              </w:rPr>
              <w:t xml:space="preserve">WKWebView</w:t>
            </w:r>
          </w:p>
        </w:tc>
        <w:tc>
          <w:tcPr>
            <w:tcW w:type="pct" w:w="4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F2A"/>
                <w:sz w:val="20"/>
                <w:szCs w:val="20"/>
              </w:rPr>
              <w:t xml:space="preserve">WebKitGTK: verify WebGL renderer, else DOM renderer fallback (already automatic)</w:t>
            </w:r>
          </w:p>
        </w:tc>
      </w:tr>
      <w:t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F2A"/>
                <w:sz w:val="20"/>
                <w:szCs w:val="20"/>
              </w:rPr>
              <w:t xml:space="preserve">Global hotkey</w:t>
            </w:r>
          </w:p>
        </w:tc>
        <w:tc>
          <w:tcPr>
            <w:tcW w:type="pct" w:w="3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F2A"/>
                <w:sz w:val="20"/>
                <w:szCs w:val="20"/>
              </w:rPr>
              <w:t xml:space="preserve">tauri-plugin-global-shortcut</w:t>
            </w:r>
          </w:p>
        </w:tc>
        <w:tc>
          <w:tcPr>
            <w:tcW w:type="pct" w:w="4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F2A"/>
                <w:sz w:val="20"/>
                <w:szCs w:val="20"/>
              </w:rPr>
              <w:t xml:space="preserve">Same plugin; X11 fine, Wayland needs portal caveat in docs</w:t>
            </w:r>
          </w:p>
        </w:tc>
      </w:tr>
      <w:t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F2A"/>
                <w:sz w:val="20"/>
                <w:szCs w:val="20"/>
              </w:rPr>
              <w:t xml:space="preserve">Packaging</w:t>
            </w:r>
          </w:p>
        </w:tc>
        <w:tc>
          <w:tcPr>
            <w:tcW w:type="pct" w:w="3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F2A"/>
                <w:sz w:val="20"/>
                <w:szCs w:val="20"/>
              </w:rPr>
              <w:t xml:space="preserve">DMG</w:t>
            </w:r>
          </w:p>
        </w:tc>
        <w:tc>
          <w:tcPr>
            <w:tcW w:type="pct" w:w="4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C1F2A"/>
                <w:sz w:val="20"/>
                <w:szCs w:val="20"/>
              </w:rPr>
              <w:t xml:space="preserve">AppImage + .deb via tauri bundler</w:t>
            </w:r>
          </w:p>
        </w:tc>
      </w:tr>
    </w:tbl>
    <w:p>
      <w:pPr>
        <w:spacing w:after="120"/>
      </w:pPr>
      <w:r>
        <w:rPr>
          <w:color w:val="1C1F2A"/>
          <w:sz w:val="22"/>
          <w:szCs w:val="22"/>
        </w:rPr>
        <w:t xml:space="preserve">Phasing: (1) CI cross-build compiles by mid-August; (2) subsystem matrix green on Ubuntu 24.04 + Fedora by early September; (3) public beta end of September with known-issues list (Wayland hotkey, compositor-dependent blur).</w:t>
      </w:r>
    </w:p>
    <w:p>
      <w:pPr>
        <w:pStyle w:val="Heading1"/>
        <w:spacing w:after="160" w:before="360"/>
      </w:pPr>
      <w:r>
        <w:rPr>
          <w:color w:val="1C1F2A"/>
        </w:rPr>
        <w:t xml:space="preserve">7. Success metrics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PRISM remains the builder’s daily driver (zero fallbacks to iTerm/Ghostty per week).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Repo public with first release; 500 GitHub stars within 60 days of launch post.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Docs cover 100% of shipped features; every feature discoverable in-app via the palette.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Crash-free session rate above 99.5% measured by absence of session-restore corruption reports.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elvetica Neue" w:cs="Helvetica Neue" w:eastAsia="Helvetica Neue" w:hAnsi="Helvetica Neue"/>
        <w:color w:val="1C1F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2026-07-06T23:02:10.348Z</dcterms:created>
  <dcterms:modified xsi:type="dcterms:W3CDTF">2026-07-06T23:02:10.349Z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