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color w:val="1A7F8E"/>
          <w:sz w:val="32"/>
        </w:rPr>
        <w:t>COMandFIN</w:t>
      </w:r>
    </w:p>
    <w:p>
      <w:pPr>
        <w:spacing w:after="0"/>
      </w:pPr>
      <w:r>
        <w:rPr>
          <w:b/>
          <w:color w:val="1F3864"/>
          <w:sz w:val="60"/>
        </w:rPr>
        <w:t>Financial Risk Management</w:t>
      </w:r>
    </w:p>
    <w:p>
      <w:pPr>
        <w:pBdr>
          <w:bottom w:val="single" w:sz="24" w:space="6" w:color="C9A227"/>
        </w:pBdr>
      </w:pPr>
      <w:r>
        <w:rPr>
          <w:b/>
          <w:color w:val="1F3864"/>
          <w:sz w:val="60"/>
        </w:rPr>
        <w:t>Case Study Workbook</w:t>
      </w:r>
    </w:p>
    <w:p>
      <w:r>
        <w:rPr>
          <w:color w:val="595959"/>
          <w:sz w:val="26"/>
        </w:rPr>
        <w:t>Value at Risk  •  Sensitivity Measures  •  RAROC  •  Regression &amp; Variance Analysis</w:t>
      </w:r>
    </w:p>
    <w:p/>
    <w:p>
      <w:pPr>
        <w:shd w:val="clear" w:color="auto" w:fill="1F3864"/>
        <w:ind w:left="113"/>
      </w:pPr>
      <w:r>
        <w:rPr>
          <w:b/>
          <w:color w:val="FFFFFF"/>
          <w:sz w:val="28"/>
        </w:rPr>
        <w:t>STUDENT EDITION</w:t>
      </w:r>
    </w:p>
    <w:p/>
    <w:p>
      <w:r>
        <w:rPr>
          <w:color w:val="1F3864"/>
          <w:sz w:val="22"/>
        </w:rPr>
        <w:t>32 industry case studies  |  Concept notes  |  Real-world examples  |  Graphs  |  Interview questions</w:t>
      </w:r>
    </w:p>
    <w:p/>
    <w:p/>
    <w:p/>
    <w:p/>
    <w:p/>
    <w:p/>
    <w:p/>
    <w:p/>
    <w:p>
      <w:pPr>
        <w:spacing w:after="0"/>
      </w:pPr>
      <w:r>
        <w:rPr>
          <w:color w:val="595959"/>
          <w:sz w:val="19"/>
        </w:rPr>
        <w:t>Prepared by</w:t>
      </w:r>
    </w:p>
    <w:p>
      <w:pPr>
        <w:spacing w:after="0"/>
      </w:pPr>
      <w:r>
        <w:rPr>
          <w:b/>
          <w:color w:val="1F3864"/>
          <w:sz w:val="26"/>
        </w:rPr>
        <w:t>CA Ankit Bajaj</w:t>
      </w:r>
    </w:p>
    <w:p>
      <w:r>
        <w:rPr>
          <w:color w:val="595959"/>
          <w:sz w:val="21"/>
        </w:rPr>
        <w:t>Founder, COMandFIN Edutech Pvt. Ltd.</w:t>
      </w:r>
    </w:p>
    <w:p>
      <w:r>
        <w:rPr>
          <w:i/>
          <w:color w:val="595959"/>
          <w:sz w:val="19"/>
        </w:rPr>
        <w:t>Suitable for MBA / BBA / B.Com (Hons.), FRM Part I &amp; II aspirants, CFA candidates and banking professionals.</w:t>
      </w:r>
    </w:p>
    <w:p>
      <w:r>
        <w:br w:type="page"/>
      </w:r>
    </w:p>
    <w:p>
      <w:pPr>
        <w:pStyle w:val="Heading1"/>
      </w:pPr>
      <w:r>
        <w:t>How to Use This Workbook</w:t>
      </w:r>
    </w:p>
    <w:p>
      <w:r>
        <w:rPr/>
        <w:t>Each of the four modules opens with a concise concept note — what the concept is, why it matters, how industry applies it, key formulas, illustrative graphs, real-life examples, common mistakes and interview questions — followed by eight progressively harder case studies set in Indian banking, asset management and corporate contexts.</w:t>
      </w:r>
    </w:p>
    <w:p>
      <w:pPr>
        <w:pStyle w:val="ListBullet"/>
      </w:pPr>
      <w:r>
        <w:rPr>
          <w:b/>
        </w:rPr>
        <w:t>Case structure:</w:t>
      </w:r>
      <w:r>
        <w:rPr/>
        <w:t xml:space="preserve"> Background → Data → Required. Cases marked *Graph task* require students to draw a chart (Excel recommended).</w:t>
      </w:r>
    </w:p>
    <w:p>
      <w:pPr>
        <w:pStyle w:val="ListBullet"/>
      </w:pPr>
      <w:r>
        <w:rPr>
          <w:b/>
        </w:rPr>
        <w:t>Tools:</w:t>
      </w:r>
      <w:r>
        <w:rPr/>
        <w:t xml:space="preserve"> Excel functions are suggested throughout — NORM.S.INV, PERCENTILE.EXC, BINOM.DIST, SLOPE, INTERCEPT, RSQ, LINEST, VAR.S, STDEV.S, COVARIANCE.S, MMULT.</w:t>
      </w:r>
    </w:p>
    <w:p>
      <w:pPr>
        <w:pStyle w:val="ListBullet"/>
      </w:pPr>
      <w:r>
        <w:rPr>
          <w:b/>
        </w:rPr>
        <w:t>Conventions:</w:t>
      </w:r>
      <w:r>
        <w:rPr/>
        <w:t xml:space="preserve"> ₹ crore unless stated; 1 crore = 100 lakh; z₉₅ = 1.645, z₉₇.₅ = 1.960, z₉₉ = 2.326; 250 trading days a year; tax 25% and post-tax hurdle 15% in RAROC cases.</w:t>
      </w:r>
    </w:p>
    <w:p>
      <w:pPr>
        <w:pStyle w:val="ListBullet"/>
      </w:pPr>
      <w:r>
        <w:rPr>
          <w:b/>
        </w:rPr>
        <w:t>Data:</w:t>
      </w:r>
      <w:r>
        <w:rPr/>
        <w:t xml:space="preserve"> company names are illustrative and the figures are constructed for teaching; market references (Basel, RBI, SEBI, historical events) are factual.</w:t>
      </w:r>
    </w:p>
    <w:p>
      <w:pPr>
        <w:keepNext/>
        <w:spacing w:before="160" w:after="60"/>
      </w:pPr>
      <w:r>
        <w:rPr>
          <w:b/>
          <w:color w:val="1A7F8E"/>
          <w:sz w:val="19"/>
        </w:rPr>
        <w:t>CONTENTS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pPr>
              <w:spacing w:after="20" w:before="20"/>
            </w:pPr>
            <w:r/>
            <w:r>
              <w:rPr>
                <w:b/>
                <w:color w:val="FFFFFF"/>
                <w:sz w:val="19"/>
              </w:rPr>
            </w:r>
          </w:p>
        </w:tc>
        <w:tc>
          <w:tcPr>
            <w:tcW w:type="dxa" w:w="5386"/>
            <w:shd w:val="clear" w:color="auto" w:fill="1F3864"/>
          </w:tcPr>
          <w:p>
            <w:pPr>
              <w:spacing w:after="20" w:before="20"/>
            </w:pPr>
            <w:r/>
            <w:r>
              <w:rPr>
                <w:b/>
                <w:color w:val="FFFFFF"/>
                <w:sz w:val="19"/>
              </w:rPr>
              <w:t>Topic</w:t>
            </w:r>
          </w:p>
        </w:tc>
        <w:tc>
          <w:tcPr>
            <w:tcW w:type="dxa" w:w="2551"/>
            <w:shd w:val="clear" w:color="auto" w:fill="1F3864"/>
          </w:tcPr>
          <w:p>
            <w:pPr>
              <w:spacing w:after="20" w:before="20"/>
            </w:pPr>
            <w:r/>
            <w:r>
              <w:rPr>
                <w:b/>
                <w:color w:val="FFFFFF"/>
                <w:sz w:val="19"/>
              </w:rPr>
              <w:t>Content</w:t>
            </w:r>
          </w:p>
        </w:tc>
      </w:tr>
      <w:tr>
        <w:tc>
          <w:tcPr>
            <w:tcW w:type="dxa" w:w="1701"/>
          </w:tcPr>
          <w:p>
            <w:pPr>
              <w:spacing w:after="20" w:before="20"/>
            </w:pPr>
            <w:r/>
            <w:r>
              <w:rPr>
                <w:b/>
                <w:sz w:val="19"/>
              </w:rPr>
              <w:t>Module 1</w:t>
            </w:r>
          </w:p>
        </w:tc>
        <w:tc>
          <w:tcPr>
            <w:tcW w:type="dxa" w:w="5386"/>
          </w:tcPr>
          <w:p>
            <w:pPr>
              <w:spacing w:after="20" w:before="20"/>
              <w:jc w:val="center"/>
            </w:pPr>
            <w:r/>
            <w:r>
              <w:rPr>
                <w:sz w:val="19"/>
              </w:rPr>
              <w:t>Value at Risk (VaR)</w:t>
            </w:r>
          </w:p>
        </w:tc>
        <w:tc>
          <w:tcPr>
            <w:tcW w:type="dxa" w:w="2551"/>
          </w:tcPr>
          <w:p>
            <w:pPr>
              <w:spacing w:after="20" w:before="20"/>
              <w:jc w:val="center"/>
            </w:pPr>
            <w:r/>
            <w:r>
              <w:rPr>
                <w:sz w:val="19"/>
              </w:rPr>
              <w:t>Concept note + 8 cases</w:t>
            </w:r>
          </w:p>
        </w:tc>
      </w:tr>
      <w:tr>
        <w:tc>
          <w:tcPr>
            <w:tcW w:type="dxa" w:w="1701"/>
            <w:shd w:val="clear" w:color="auto" w:fill="F3F6FA"/>
          </w:tcPr>
          <w:p>
            <w:pPr>
              <w:spacing w:after="20" w:before="20"/>
            </w:pPr>
            <w:r/>
            <w:r>
              <w:rPr>
                <w:b/>
                <w:sz w:val="19"/>
              </w:rPr>
              <w:t>Module 2</w:t>
            </w:r>
          </w:p>
        </w:tc>
        <w:tc>
          <w:tcPr>
            <w:tcW w:type="dxa" w:w="5386"/>
            <w:shd w:val="clear" w:color="auto" w:fill="F3F6FA"/>
          </w:tcPr>
          <w:p>
            <w:pPr>
              <w:spacing w:after="20" w:before="20"/>
              <w:jc w:val="center"/>
            </w:pPr>
            <w:r/>
            <w:r>
              <w:rPr>
                <w:sz w:val="19"/>
              </w:rPr>
              <w:t>Sensitivity Measures</w:t>
            </w:r>
          </w:p>
        </w:tc>
        <w:tc>
          <w:tcPr>
            <w:tcW w:type="dxa" w:w="2551"/>
            <w:shd w:val="clear" w:color="auto" w:fill="F3F6FA"/>
          </w:tcPr>
          <w:p>
            <w:pPr>
              <w:spacing w:after="20" w:before="20"/>
              <w:jc w:val="center"/>
            </w:pPr>
            <w:r/>
            <w:r>
              <w:rPr>
                <w:sz w:val="19"/>
              </w:rPr>
              <w:t>Concept note + 8 cases</w:t>
            </w:r>
          </w:p>
        </w:tc>
      </w:tr>
      <w:tr>
        <w:tc>
          <w:tcPr>
            <w:tcW w:type="dxa" w:w="1701"/>
          </w:tcPr>
          <w:p>
            <w:pPr>
              <w:spacing w:after="20" w:before="20"/>
            </w:pPr>
            <w:r/>
            <w:r>
              <w:rPr>
                <w:b/>
                <w:sz w:val="19"/>
              </w:rPr>
              <w:t>Module 3</w:t>
            </w:r>
          </w:p>
        </w:tc>
        <w:tc>
          <w:tcPr>
            <w:tcW w:type="dxa" w:w="5386"/>
          </w:tcPr>
          <w:p>
            <w:pPr>
              <w:spacing w:after="20" w:before="20"/>
              <w:jc w:val="center"/>
            </w:pPr>
            <w:r/>
            <w:r>
              <w:rPr>
                <w:sz w:val="19"/>
              </w:rPr>
              <w:t>Risk-Adjusted Return on Capital (RAROC)</w:t>
            </w:r>
          </w:p>
        </w:tc>
        <w:tc>
          <w:tcPr>
            <w:tcW w:type="dxa" w:w="2551"/>
          </w:tcPr>
          <w:p>
            <w:pPr>
              <w:spacing w:after="20" w:before="20"/>
              <w:jc w:val="center"/>
            </w:pPr>
            <w:r/>
            <w:r>
              <w:rPr>
                <w:sz w:val="19"/>
              </w:rPr>
              <w:t>Concept note + 8 cases</w:t>
            </w:r>
          </w:p>
        </w:tc>
      </w:tr>
      <w:tr>
        <w:tc>
          <w:tcPr>
            <w:tcW w:type="dxa" w:w="1701"/>
            <w:shd w:val="clear" w:color="auto" w:fill="F3F6FA"/>
          </w:tcPr>
          <w:p>
            <w:pPr>
              <w:spacing w:after="20" w:before="20"/>
            </w:pPr>
            <w:r/>
            <w:r>
              <w:rPr>
                <w:b/>
                <w:sz w:val="19"/>
              </w:rPr>
              <w:t>Module 4</w:t>
            </w:r>
          </w:p>
        </w:tc>
        <w:tc>
          <w:tcPr>
            <w:tcW w:type="dxa" w:w="5386"/>
            <w:shd w:val="clear" w:color="auto" w:fill="F3F6FA"/>
          </w:tcPr>
          <w:p>
            <w:pPr>
              <w:spacing w:after="20" w:before="20"/>
              <w:jc w:val="center"/>
            </w:pPr>
            <w:r/>
            <w:r>
              <w:rPr>
                <w:sz w:val="19"/>
              </w:rPr>
              <w:t>Regression &amp; Variance Analysis</w:t>
            </w:r>
          </w:p>
        </w:tc>
        <w:tc>
          <w:tcPr>
            <w:tcW w:type="dxa" w:w="2551"/>
            <w:shd w:val="clear" w:color="auto" w:fill="F3F6FA"/>
          </w:tcPr>
          <w:p>
            <w:pPr>
              <w:spacing w:after="20" w:before="20"/>
              <w:jc w:val="center"/>
            </w:pPr>
            <w:r/>
            <w:r>
              <w:rPr>
                <w:sz w:val="19"/>
              </w:rPr>
              <w:t>Concept note + 8 cases</w:t>
            </w:r>
          </w:p>
        </w:tc>
      </w:tr>
      <w:tr>
        <w:tc>
          <w:tcPr>
            <w:tcW w:type="dxa" w:w="1701"/>
          </w:tcPr>
          <w:p>
            <w:pPr>
              <w:spacing w:after="20" w:before="20"/>
            </w:pPr>
            <w:r/>
            <w:r>
              <w:rPr>
                <w:b/>
                <w:sz w:val="19"/>
              </w:rPr>
              <w:t>Appendix</w:t>
            </w:r>
          </w:p>
        </w:tc>
        <w:tc>
          <w:tcPr>
            <w:tcW w:type="dxa" w:w="5386"/>
          </w:tcPr>
          <w:p>
            <w:pPr>
              <w:spacing w:after="20" w:before="20"/>
              <w:jc w:val="center"/>
            </w:pPr>
            <w:r/>
            <w:r>
              <w:rPr>
                <w:sz w:val="19"/>
              </w:rPr>
              <w:t>Formula sheet &amp; Excel functions</w:t>
            </w:r>
          </w:p>
        </w:tc>
        <w:tc>
          <w:tcPr>
            <w:tcW w:type="dxa" w:w="2551"/>
          </w:tcPr>
          <w:p>
            <w:pPr>
              <w:spacing w:after="20" w:before="20"/>
              <w:jc w:val="center"/>
            </w:pPr>
            <w:r/>
          </w:p>
        </w:tc>
      </w:tr>
    </w:tbl>
    <w:p>
      <w:pPr>
        <w:spacing w:after="40"/>
      </w:pPr>
    </w:p>
    <w:p>
      <w:pPr>
        <w:keepNext/>
        <w:spacing w:before="160" w:after="60"/>
      </w:pPr>
      <w:r>
        <w:rPr>
          <w:b/>
          <w:color w:val="1A7F8E"/>
          <w:sz w:val="19"/>
        </w:rPr>
        <w:t>CASE MAP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20" w:before="20"/>
            </w:pPr>
            <w:r/>
            <w:r>
              <w:rPr>
                <w:b/>
                <w:color w:val="FFFFFF"/>
                <w:sz w:val="18"/>
              </w:rPr>
              <w:t>Case</w:t>
            </w:r>
          </w:p>
        </w:tc>
        <w:tc>
          <w:tcPr>
            <w:tcW w:type="dxa" w:w="4535"/>
            <w:shd w:val="clear" w:color="auto" w:fill="1F3864"/>
          </w:tcPr>
          <w:p>
            <w:pPr>
              <w:spacing w:after="20" w:before="20"/>
            </w:pPr>
            <w:r/>
            <w:r>
              <w:rPr>
                <w:b/>
                <w:color w:val="FFFFFF"/>
                <w:sz w:val="18"/>
              </w:rPr>
              <w:t>Title</w:t>
            </w:r>
          </w:p>
        </w:tc>
        <w:tc>
          <w:tcPr>
            <w:tcW w:type="dxa" w:w="4252"/>
            <w:shd w:val="clear" w:color="auto" w:fill="1F3864"/>
          </w:tcPr>
          <w:p>
            <w:pPr>
              <w:spacing w:after="20" w:before="20"/>
            </w:pPr>
            <w:r/>
            <w:r>
              <w:rPr>
                <w:b/>
                <w:color w:val="FFFFFF"/>
                <w:sz w:val="18"/>
              </w:rPr>
              <w:t>Focus</w:t>
            </w:r>
          </w:p>
        </w:tc>
      </w:tr>
      <w:tr>
        <w:tc>
          <w:tcPr>
            <w:tcW w:type="dxa" w:w="850"/>
          </w:tcPr>
          <w:p>
            <w:pPr>
              <w:spacing w:after="20" w:before="20"/>
            </w:pPr>
            <w:r/>
            <w:r>
              <w:rPr>
                <w:b/>
                <w:sz w:val="18"/>
              </w:rPr>
              <w:t>1.1</w:t>
            </w:r>
          </w:p>
        </w:tc>
        <w:tc>
          <w:tcPr>
            <w:tcW w:type="dxa" w:w="4535"/>
          </w:tcPr>
          <w:p>
            <w:pPr>
              <w:spacing w:after="20" w:before="20"/>
              <w:jc w:val="center"/>
            </w:pPr>
            <w:r/>
            <w:r>
              <w:rPr>
                <w:sz w:val="18"/>
              </w:rPr>
              <w:t>Parametric VaR for an Equity ETF Portfolio</w:t>
            </w:r>
          </w:p>
        </w:tc>
        <w:tc>
          <w:tcPr>
            <w:tcW w:type="dxa" w:w="4252"/>
          </w:tcPr>
          <w:p>
            <w:pPr>
              <w:spacing w:after="20" w:before="20"/>
              <w:jc w:val="center"/>
            </w:pPr>
            <w:r/>
            <w:r>
              <w:rPr>
                <w:sz w:val="18"/>
              </w:rPr>
              <w:t>Single-asset VaR | Confidence level | Time scaling</w:t>
            </w:r>
          </w:p>
        </w:tc>
      </w:tr>
      <w:tr>
        <w:tc>
          <w:tcPr>
            <w:tcW w:type="dxa" w:w="850"/>
            <w:shd w:val="clear" w:color="auto" w:fill="F3F6FA"/>
          </w:tcPr>
          <w:p>
            <w:pPr>
              <w:spacing w:after="20" w:before="20"/>
            </w:pPr>
            <w:r/>
            <w:r>
              <w:rPr>
                <w:b/>
                <w:sz w:val="18"/>
              </w:rPr>
              <w:t>1.2</w:t>
            </w:r>
          </w:p>
        </w:tc>
        <w:tc>
          <w:tcPr>
            <w:tcW w:type="dxa" w:w="4535"/>
            <w:shd w:val="clear" w:color="auto" w:fill="F3F6FA"/>
          </w:tcPr>
          <w:p>
            <w:pPr>
              <w:spacing w:after="20" w:before="20"/>
              <w:jc w:val="center"/>
            </w:pPr>
            <w:r/>
            <w:r>
              <w:rPr>
                <w:sz w:val="18"/>
              </w:rPr>
              <w:t>Diversification Benefit in a Two-Asset Portfolio</w:t>
            </w:r>
          </w:p>
        </w:tc>
        <w:tc>
          <w:tcPr>
            <w:tcW w:type="dxa" w:w="4252"/>
            <w:shd w:val="clear" w:color="auto" w:fill="F3F6FA"/>
          </w:tcPr>
          <w:p>
            <w:pPr>
              <w:spacing w:after="20" w:before="20"/>
              <w:jc w:val="center"/>
            </w:pPr>
            <w:r/>
            <w:r>
              <w:rPr>
                <w:sz w:val="18"/>
              </w:rPr>
              <w:t>Portfolio VaR | Correlation | Diversification</w:t>
            </w:r>
          </w:p>
        </w:tc>
      </w:tr>
      <w:tr>
        <w:tc>
          <w:tcPr>
            <w:tcW w:type="dxa" w:w="850"/>
          </w:tcPr>
          <w:p>
            <w:pPr>
              <w:spacing w:after="20" w:before="20"/>
            </w:pPr>
            <w:r/>
            <w:r>
              <w:rPr>
                <w:b/>
                <w:sz w:val="18"/>
              </w:rPr>
              <w:t>1.3</w:t>
            </w:r>
          </w:p>
        </w:tc>
        <w:tc>
          <w:tcPr>
            <w:tcW w:type="dxa" w:w="4535"/>
          </w:tcPr>
          <w:p>
            <w:pPr>
              <w:spacing w:after="20" w:before="20"/>
              <w:jc w:val="center"/>
            </w:pPr>
            <w:r/>
            <w:r>
              <w:rPr>
                <w:sz w:val="18"/>
              </w:rPr>
              <w:t>Historical Simulation VaR and Expected Shortfall</w:t>
            </w:r>
          </w:p>
        </w:tc>
        <w:tc>
          <w:tcPr>
            <w:tcW w:type="dxa" w:w="4252"/>
          </w:tcPr>
          <w:p>
            <w:pPr>
              <w:spacing w:after="20" w:before="20"/>
              <w:jc w:val="center"/>
            </w:pPr>
            <w:r/>
            <w:r>
              <w:rPr>
                <w:sz w:val="18"/>
              </w:rPr>
              <w:t>Historical VaR | Expected Shortfall | Fat tails</w:t>
            </w:r>
          </w:p>
        </w:tc>
      </w:tr>
      <w:tr>
        <w:tc>
          <w:tcPr>
            <w:tcW w:type="dxa" w:w="850"/>
            <w:shd w:val="clear" w:color="auto" w:fill="F3F6FA"/>
          </w:tcPr>
          <w:p>
            <w:pPr>
              <w:spacing w:after="20" w:before="20"/>
            </w:pPr>
            <w:r/>
            <w:r>
              <w:rPr>
                <w:b/>
                <w:sz w:val="18"/>
              </w:rPr>
              <w:t>1.4</w:t>
            </w:r>
          </w:p>
        </w:tc>
        <w:tc>
          <w:tcPr>
            <w:tcW w:type="dxa" w:w="4535"/>
            <w:shd w:val="clear" w:color="auto" w:fill="F3F6FA"/>
          </w:tcPr>
          <w:p>
            <w:pPr>
              <w:spacing w:after="20" w:before="20"/>
              <w:jc w:val="center"/>
            </w:pPr>
            <w:r/>
            <w:r>
              <w:rPr>
                <w:sz w:val="18"/>
              </w:rPr>
              <w:t>VaR Backtesting and the Basel Traffic-Light Test</w:t>
            </w:r>
          </w:p>
        </w:tc>
        <w:tc>
          <w:tcPr>
            <w:tcW w:type="dxa" w:w="4252"/>
            <w:shd w:val="clear" w:color="auto" w:fill="F3F6FA"/>
          </w:tcPr>
          <w:p>
            <w:pPr>
              <w:spacing w:after="20" w:before="20"/>
              <w:jc w:val="center"/>
            </w:pPr>
            <w:r/>
            <w:r>
              <w:rPr>
                <w:sz w:val="18"/>
              </w:rPr>
              <w:t>Backtesting | Exceptions | Capital multiplier</w:t>
            </w:r>
          </w:p>
        </w:tc>
      </w:tr>
      <w:tr>
        <w:tc>
          <w:tcPr>
            <w:tcW w:type="dxa" w:w="850"/>
          </w:tcPr>
          <w:p>
            <w:pPr>
              <w:spacing w:after="20" w:before="20"/>
            </w:pPr>
            <w:r/>
            <w:r>
              <w:rPr>
                <w:b/>
                <w:sz w:val="18"/>
              </w:rPr>
              <w:t>1.5</w:t>
            </w:r>
          </w:p>
        </w:tc>
        <w:tc>
          <w:tcPr>
            <w:tcW w:type="dxa" w:w="4535"/>
          </w:tcPr>
          <w:p>
            <w:pPr>
              <w:spacing w:after="20" w:before="20"/>
              <w:jc w:val="center"/>
            </w:pPr>
            <w:r/>
            <w:r>
              <w:rPr>
                <w:sz w:val="18"/>
              </w:rPr>
              <w:t>Interest-Rate VaR on a Government Securities Portfolio</w:t>
            </w:r>
          </w:p>
        </w:tc>
        <w:tc>
          <w:tcPr>
            <w:tcW w:type="dxa" w:w="4252"/>
          </w:tcPr>
          <w:p>
            <w:pPr>
              <w:spacing w:after="20" w:before="20"/>
              <w:jc w:val="center"/>
            </w:pPr>
            <w:r/>
            <w:r>
              <w:rPr>
                <w:sz w:val="18"/>
              </w:rPr>
              <w:t>Bond VaR | Modified duration | PV01</w:t>
            </w:r>
          </w:p>
        </w:tc>
      </w:tr>
      <w:tr>
        <w:tc>
          <w:tcPr>
            <w:tcW w:type="dxa" w:w="850"/>
            <w:shd w:val="clear" w:color="auto" w:fill="F3F6FA"/>
          </w:tcPr>
          <w:p>
            <w:pPr>
              <w:spacing w:after="20" w:before="20"/>
            </w:pPr>
            <w:r/>
            <w:r>
              <w:rPr>
                <w:b/>
                <w:sz w:val="18"/>
              </w:rPr>
              <w:t>1.6</w:t>
            </w:r>
          </w:p>
        </w:tc>
        <w:tc>
          <w:tcPr>
            <w:tcW w:type="dxa" w:w="4535"/>
            <w:shd w:val="clear" w:color="auto" w:fill="F3F6FA"/>
          </w:tcPr>
          <w:p>
            <w:pPr>
              <w:spacing w:after="20" w:before="20"/>
              <w:jc w:val="center"/>
            </w:pPr>
            <w:r/>
            <w:r>
              <w:rPr>
                <w:sz w:val="18"/>
              </w:rPr>
              <w:t>FX VaR for an Importer’s USD Payable</w:t>
            </w:r>
          </w:p>
        </w:tc>
        <w:tc>
          <w:tcPr>
            <w:tcW w:type="dxa" w:w="4252"/>
            <w:shd w:val="clear" w:color="auto" w:fill="F3F6FA"/>
          </w:tcPr>
          <w:p>
            <w:pPr>
              <w:spacing w:after="20" w:before="20"/>
              <w:jc w:val="center"/>
            </w:pPr>
            <w:r/>
            <w:r>
              <w:rPr>
                <w:sz w:val="18"/>
              </w:rPr>
              <w:t>Currency risk | Corporate VaR | Hedge decision</w:t>
            </w:r>
          </w:p>
        </w:tc>
      </w:tr>
      <w:tr>
        <w:tc>
          <w:tcPr>
            <w:tcW w:type="dxa" w:w="850"/>
          </w:tcPr>
          <w:p>
            <w:pPr>
              <w:spacing w:after="20" w:before="20"/>
            </w:pPr>
            <w:r/>
            <w:r>
              <w:rPr>
                <w:b/>
                <w:sz w:val="18"/>
              </w:rPr>
              <w:t>1.7</w:t>
            </w:r>
          </w:p>
        </w:tc>
        <w:tc>
          <w:tcPr>
            <w:tcW w:type="dxa" w:w="4535"/>
          </w:tcPr>
          <w:p>
            <w:pPr>
              <w:spacing w:after="20" w:before="20"/>
              <w:jc w:val="center"/>
            </w:pPr>
            <w:r/>
            <w:r>
              <w:rPr>
                <w:sz w:val="18"/>
              </w:rPr>
              <w:t>VaR versus Expected Shortfall under FRTB</w:t>
            </w:r>
          </w:p>
        </w:tc>
        <w:tc>
          <w:tcPr>
            <w:tcW w:type="dxa" w:w="4252"/>
          </w:tcPr>
          <w:p>
            <w:pPr>
              <w:spacing w:after="20" w:before="20"/>
              <w:jc w:val="center"/>
            </w:pPr>
            <w:r/>
            <w:r>
              <w:rPr>
                <w:sz w:val="18"/>
              </w:rPr>
              <w:t>Expected Shortfall | Coherence | Regulation</w:t>
            </w:r>
          </w:p>
        </w:tc>
      </w:tr>
      <w:tr>
        <w:tc>
          <w:tcPr>
            <w:tcW w:type="dxa" w:w="850"/>
            <w:shd w:val="clear" w:color="auto" w:fill="F3F6FA"/>
          </w:tcPr>
          <w:p>
            <w:pPr>
              <w:spacing w:after="20" w:before="20"/>
            </w:pPr>
            <w:r/>
            <w:r>
              <w:rPr>
                <w:b/>
                <w:sz w:val="18"/>
              </w:rPr>
              <w:t>1.8</w:t>
            </w:r>
          </w:p>
        </w:tc>
        <w:tc>
          <w:tcPr>
            <w:tcW w:type="dxa" w:w="4535"/>
            <w:shd w:val="clear" w:color="auto" w:fill="F3F6FA"/>
          </w:tcPr>
          <w:p>
            <w:pPr>
              <w:spacing w:after="20" w:before="20"/>
              <w:jc w:val="center"/>
            </w:pPr>
            <w:r/>
            <w:r>
              <w:rPr>
                <w:sz w:val="18"/>
              </w:rPr>
              <w:t>Market Risk Capital with VaR and Stressed VaR (Basel 2.5)</w:t>
            </w:r>
          </w:p>
        </w:tc>
        <w:tc>
          <w:tcPr>
            <w:tcW w:type="dxa" w:w="4252"/>
            <w:shd w:val="clear" w:color="auto" w:fill="F3F6FA"/>
          </w:tcPr>
          <w:p>
            <w:pPr>
              <w:spacing w:after="20" w:before="20"/>
              <w:jc w:val="center"/>
            </w:pPr>
            <w:r/>
            <w:r>
              <w:rPr>
                <w:sz w:val="18"/>
              </w:rPr>
              <w:t>Regulatory capital | Stressed VaR | Multiplier</w:t>
            </w:r>
          </w:p>
        </w:tc>
      </w:tr>
      <w:tr>
        <w:tc>
          <w:tcPr>
            <w:tcW w:type="dxa" w:w="850"/>
          </w:tcPr>
          <w:p>
            <w:pPr>
              <w:spacing w:after="20" w:before="20"/>
            </w:pPr>
            <w:r/>
            <w:r>
              <w:rPr>
                <w:b/>
                <w:sz w:val="18"/>
              </w:rPr>
              <w:t>2.1</w:t>
            </w:r>
          </w:p>
        </w:tc>
        <w:tc>
          <w:tcPr>
            <w:tcW w:type="dxa" w:w="4535"/>
          </w:tcPr>
          <w:p>
            <w:pPr>
              <w:spacing w:after="20" w:before="20"/>
              <w:jc w:val="center"/>
            </w:pPr>
            <w:r/>
            <w:r>
              <w:rPr>
                <w:sz w:val="18"/>
              </w:rPr>
              <w:t>Duration of a Corporate Bond</w:t>
            </w:r>
          </w:p>
        </w:tc>
        <w:tc>
          <w:tcPr>
            <w:tcW w:type="dxa" w:w="4252"/>
          </w:tcPr>
          <w:p>
            <w:pPr>
              <w:spacing w:after="20" w:before="20"/>
              <w:jc w:val="center"/>
            </w:pPr>
            <w:r/>
            <w:r>
              <w:rPr>
                <w:sz w:val="18"/>
              </w:rPr>
              <w:t>Macaulay &amp; modified duration</w:t>
            </w:r>
          </w:p>
        </w:tc>
      </w:tr>
      <w:tr>
        <w:tc>
          <w:tcPr>
            <w:tcW w:type="dxa" w:w="850"/>
            <w:shd w:val="clear" w:color="auto" w:fill="F3F6FA"/>
          </w:tcPr>
          <w:p>
            <w:pPr>
              <w:spacing w:after="20" w:before="20"/>
            </w:pPr>
            <w:r/>
            <w:r>
              <w:rPr>
                <w:b/>
                <w:sz w:val="18"/>
              </w:rPr>
              <w:t>2.2</w:t>
            </w:r>
          </w:p>
        </w:tc>
        <w:tc>
          <w:tcPr>
            <w:tcW w:type="dxa" w:w="4535"/>
            <w:shd w:val="clear" w:color="auto" w:fill="F3F6FA"/>
          </w:tcPr>
          <w:p>
            <w:pPr>
              <w:spacing w:after="20" w:before="20"/>
              <w:jc w:val="center"/>
            </w:pPr>
            <w:r/>
            <w:r>
              <w:rPr>
                <w:sz w:val="18"/>
              </w:rPr>
              <w:t>Convexity Adjustment for Large Rate Shocks</w:t>
            </w:r>
          </w:p>
        </w:tc>
        <w:tc>
          <w:tcPr>
            <w:tcW w:type="dxa" w:w="4252"/>
            <w:shd w:val="clear" w:color="auto" w:fill="F3F6FA"/>
          </w:tcPr>
          <w:p>
            <w:pPr>
              <w:spacing w:after="20" w:before="20"/>
              <w:jc w:val="center"/>
            </w:pPr>
            <w:r/>
            <w:r>
              <w:rPr>
                <w:sz w:val="18"/>
              </w:rPr>
              <w:t>Convexity | IRRBB shocks | Graph</w:t>
            </w:r>
          </w:p>
        </w:tc>
      </w:tr>
      <w:tr>
        <w:tc>
          <w:tcPr>
            <w:tcW w:type="dxa" w:w="850"/>
          </w:tcPr>
          <w:p>
            <w:pPr>
              <w:spacing w:after="20" w:before="20"/>
            </w:pPr>
            <w:r/>
            <w:r>
              <w:rPr>
                <w:b/>
                <w:sz w:val="18"/>
              </w:rPr>
              <w:t>2.3</w:t>
            </w:r>
          </w:p>
        </w:tc>
        <w:tc>
          <w:tcPr>
            <w:tcW w:type="dxa" w:w="4535"/>
          </w:tcPr>
          <w:p>
            <w:pPr>
              <w:spacing w:after="20" w:before="20"/>
              <w:jc w:val="center"/>
            </w:pPr>
            <w:r/>
            <w:r>
              <w:rPr>
                <w:sz w:val="18"/>
              </w:rPr>
              <w:t>PV01 Hedging with Interest Rate Futures</w:t>
            </w:r>
          </w:p>
        </w:tc>
        <w:tc>
          <w:tcPr>
            <w:tcW w:type="dxa" w:w="4252"/>
          </w:tcPr>
          <w:p>
            <w:pPr>
              <w:spacing w:after="20" w:before="20"/>
              <w:jc w:val="center"/>
            </w:pPr>
            <w:r/>
            <w:r>
              <w:rPr>
                <w:sz w:val="18"/>
              </w:rPr>
              <w:t>PV01 / DV01 | Hedge ratio</w:t>
            </w:r>
          </w:p>
        </w:tc>
      </w:tr>
      <w:tr>
        <w:tc>
          <w:tcPr>
            <w:tcW w:type="dxa" w:w="850"/>
            <w:shd w:val="clear" w:color="auto" w:fill="F3F6FA"/>
          </w:tcPr>
          <w:p>
            <w:pPr>
              <w:spacing w:after="20" w:before="20"/>
            </w:pPr>
            <w:r/>
            <w:r>
              <w:rPr>
                <w:b/>
                <w:sz w:val="18"/>
              </w:rPr>
              <w:t>2.4</w:t>
            </w:r>
          </w:p>
        </w:tc>
        <w:tc>
          <w:tcPr>
            <w:tcW w:type="dxa" w:w="4535"/>
            <w:shd w:val="clear" w:color="auto" w:fill="F3F6FA"/>
          </w:tcPr>
          <w:p>
            <w:pPr>
              <w:spacing w:after="20" w:before="20"/>
              <w:jc w:val="center"/>
            </w:pPr>
            <w:r/>
            <w:r>
              <w:rPr>
                <w:sz w:val="18"/>
              </w:rPr>
              <w:t>Beta Hedging an Equity Portfolio with Nifty Futures</w:t>
            </w:r>
          </w:p>
        </w:tc>
        <w:tc>
          <w:tcPr>
            <w:tcW w:type="dxa" w:w="4252"/>
            <w:shd w:val="clear" w:color="auto" w:fill="F3F6FA"/>
          </w:tcPr>
          <w:p>
            <w:pPr>
              <w:spacing w:after="20" w:before="20"/>
              <w:jc w:val="center"/>
            </w:pPr>
            <w:r/>
            <w:r>
              <w:rPr>
                <w:sz w:val="18"/>
              </w:rPr>
              <w:t>Beta | Index futures | Tactical de-risking</w:t>
            </w:r>
          </w:p>
        </w:tc>
      </w:tr>
      <w:tr>
        <w:tc>
          <w:tcPr>
            <w:tcW w:type="dxa" w:w="850"/>
          </w:tcPr>
          <w:p>
            <w:pPr>
              <w:spacing w:after="20" w:before="20"/>
            </w:pPr>
            <w:r/>
            <w:r>
              <w:rPr>
                <w:b/>
                <w:sz w:val="18"/>
              </w:rPr>
              <w:t>2.5</w:t>
            </w:r>
          </w:p>
        </w:tc>
        <w:tc>
          <w:tcPr>
            <w:tcW w:type="dxa" w:w="4535"/>
          </w:tcPr>
          <w:p>
            <w:pPr>
              <w:spacing w:after="20" w:before="20"/>
              <w:jc w:val="center"/>
            </w:pPr>
            <w:r/>
            <w:r>
              <w:rPr>
                <w:sz w:val="18"/>
              </w:rPr>
              <w:t>Option Greeks using Black–Scholes</w:t>
            </w:r>
          </w:p>
        </w:tc>
        <w:tc>
          <w:tcPr>
            <w:tcW w:type="dxa" w:w="4252"/>
          </w:tcPr>
          <w:p>
            <w:pPr>
              <w:spacing w:after="20" w:before="20"/>
              <w:jc w:val="center"/>
            </w:pPr>
            <w:r/>
            <w:r>
              <w:rPr>
                <w:sz w:val="18"/>
              </w:rPr>
              <w:t>Delta | Gamma | Vega | Theta</w:t>
            </w:r>
          </w:p>
        </w:tc>
      </w:tr>
      <w:tr>
        <w:tc>
          <w:tcPr>
            <w:tcW w:type="dxa" w:w="850"/>
            <w:shd w:val="clear" w:color="auto" w:fill="F3F6FA"/>
          </w:tcPr>
          <w:p>
            <w:pPr>
              <w:spacing w:after="20" w:before="20"/>
            </w:pPr>
            <w:r/>
            <w:r>
              <w:rPr>
                <w:b/>
                <w:sz w:val="18"/>
              </w:rPr>
              <w:t>2.6</w:t>
            </w:r>
          </w:p>
        </w:tc>
        <w:tc>
          <w:tcPr>
            <w:tcW w:type="dxa" w:w="4535"/>
            <w:shd w:val="clear" w:color="auto" w:fill="F3F6FA"/>
          </w:tcPr>
          <w:p>
            <w:pPr>
              <w:spacing w:after="20" w:before="20"/>
              <w:jc w:val="center"/>
            </w:pPr>
            <w:r/>
            <w:r>
              <w:rPr>
                <w:sz w:val="18"/>
              </w:rPr>
              <w:t>Delta–Gamma Neutral Hedging of an Options Book</w:t>
            </w:r>
          </w:p>
        </w:tc>
        <w:tc>
          <w:tcPr>
            <w:tcW w:type="dxa" w:w="4252"/>
            <w:shd w:val="clear" w:color="auto" w:fill="F3F6FA"/>
          </w:tcPr>
          <w:p>
            <w:pPr>
              <w:spacing w:after="20" w:before="20"/>
              <w:jc w:val="center"/>
            </w:pPr>
            <w:r/>
            <w:r>
              <w:rPr>
                <w:sz w:val="18"/>
              </w:rPr>
              <w:t>Delta hedging | Gamma hedging</w:t>
            </w:r>
          </w:p>
        </w:tc>
      </w:tr>
      <w:tr>
        <w:tc>
          <w:tcPr>
            <w:tcW w:type="dxa" w:w="850"/>
          </w:tcPr>
          <w:p>
            <w:pPr>
              <w:spacing w:after="20" w:before="20"/>
            </w:pPr>
            <w:r/>
            <w:r>
              <w:rPr>
                <w:b/>
                <w:sz w:val="18"/>
              </w:rPr>
              <w:t>2.7</w:t>
            </w:r>
          </w:p>
        </w:tc>
        <w:tc>
          <w:tcPr>
            <w:tcW w:type="dxa" w:w="4535"/>
          </w:tcPr>
          <w:p>
            <w:pPr>
              <w:spacing w:after="20" w:before="20"/>
              <w:jc w:val="center"/>
            </w:pPr>
            <w:r/>
            <w:r>
              <w:rPr>
                <w:sz w:val="18"/>
              </w:rPr>
              <w:t>Duration Gap Analysis — An SVB-Style Stress</w:t>
            </w:r>
          </w:p>
        </w:tc>
        <w:tc>
          <w:tcPr>
            <w:tcW w:type="dxa" w:w="4252"/>
          </w:tcPr>
          <w:p>
            <w:pPr>
              <w:spacing w:after="20" w:before="20"/>
              <w:jc w:val="center"/>
            </w:pPr>
            <w:r/>
            <w:r>
              <w:rPr>
                <w:sz w:val="18"/>
              </w:rPr>
              <w:t>ALM | Duration gap | Economic value of equity</w:t>
            </w:r>
          </w:p>
        </w:tc>
      </w:tr>
      <w:tr>
        <w:tc>
          <w:tcPr>
            <w:tcW w:type="dxa" w:w="850"/>
            <w:shd w:val="clear" w:color="auto" w:fill="F3F6FA"/>
          </w:tcPr>
          <w:p>
            <w:pPr>
              <w:spacing w:after="20" w:before="20"/>
            </w:pPr>
            <w:r/>
            <w:r>
              <w:rPr>
                <w:b/>
                <w:sz w:val="18"/>
              </w:rPr>
              <w:t>2.8</w:t>
            </w:r>
          </w:p>
        </w:tc>
        <w:tc>
          <w:tcPr>
            <w:tcW w:type="dxa" w:w="4535"/>
            <w:shd w:val="clear" w:color="auto" w:fill="F3F6FA"/>
          </w:tcPr>
          <w:p>
            <w:pPr>
              <w:spacing w:after="20" w:before="20"/>
              <w:jc w:val="center"/>
            </w:pPr>
            <w:r/>
            <w:r>
              <w:rPr>
                <w:sz w:val="18"/>
              </w:rPr>
              <w:t>Effective Duration and Negative Convexity of a Callable Bond</w:t>
            </w:r>
          </w:p>
        </w:tc>
        <w:tc>
          <w:tcPr>
            <w:tcW w:type="dxa" w:w="4252"/>
            <w:shd w:val="clear" w:color="auto" w:fill="F3F6FA"/>
          </w:tcPr>
          <w:p>
            <w:pPr>
              <w:spacing w:after="20" w:before="20"/>
              <w:jc w:val="center"/>
            </w:pPr>
            <w:r/>
            <w:r>
              <w:rPr>
                <w:sz w:val="18"/>
              </w:rPr>
              <w:t>Effective duration | Embedded options</w:t>
            </w:r>
          </w:p>
        </w:tc>
      </w:tr>
      <w:tr>
        <w:tc>
          <w:tcPr>
            <w:tcW w:type="dxa" w:w="850"/>
          </w:tcPr>
          <w:p>
            <w:pPr>
              <w:spacing w:after="20" w:before="20"/>
            </w:pPr>
            <w:r/>
            <w:r>
              <w:rPr>
                <w:b/>
                <w:sz w:val="18"/>
              </w:rPr>
              <w:t>3.1</w:t>
            </w:r>
          </w:p>
        </w:tc>
        <w:tc>
          <w:tcPr>
            <w:tcW w:type="dxa" w:w="4535"/>
          </w:tcPr>
          <w:p>
            <w:pPr>
              <w:spacing w:after="20" w:before="20"/>
              <w:jc w:val="center"/>
            </w:pPr>
            <w:r/>
            <w:r>
              <w:rPr>
                <w:sz w:val="18"/>
              </w:rPr>
              <w:t>RAROC of a Corporate Term Loan</w:t>
            </w:r>
          </w:p>
        </w:tc>
        <w:tc>
          <w:tcPr>
            <w:tcW w:type="dxa" w:w="4252"/>
          </w:tcPr>
          <w:p>
            <w:pPr>
              <w:spacing w:after="20" w:before="20"/>
              <w:jc w:val="center"/>
            </w:pPr>
            <w:r/>
            <w:r>
              <w:rPr>
                <w:sz w:val="18"/>
              </w:rPr>
              <w:t>Basic RAROC | Accept / reject</w:t>
            </w:r>
          </w:p>
        </w:tc>
      </w:tr>
      <w:tr>
        <w:tc>
          <w:tcPr>
            <w:tcW w:type="dxa" w:w="850"/>
            <w:shd w:val="clear" w:color="auto" w:fill="F3F6FA"/>
          </w:tcPr>
          <w:p>
            <w:pPr>
              <w:spacing w:after="20" w:before="20"/>
            </w:pPr>
            <w:r/>
            <w:r>
              <w:rPr>
                <w:b/>
                <w:sz w:val="18"/>
              </w:rPr>
              <w:t>3.2</w:t>
            </w:r>
          </w:p>
        </w:tc>
        <w:tc>
          <w:tcPr>
            <w:tcW w:type="dxa" w:w="4535"/>
            <w:shd w:val="clear" w:color="auto" w:fill="F3F6FA"/>
          </w:tcPr>
          <w:p>
            <w:pPr>
              <w:spacing w:after="20" w:before="20"/>
              <w:jc w:val="center"/>
            </w:pPr>
            <w:r/>
            <w:r>
              <w:rPr>
                <w:sz w:val="18"/>
              </w:rPr>
              <w:t>Risk-Based Pricing — Minimum Lending Rate</w:t>
            </w:r>
          </w:p>
        </w:tc>
        <w:tc>
          <w:tcPr>
            <w:tcW w:type="dxa" w:w="4252"/>
            <w:shd w:val="clear" w:color="auto" w:fill="F3F6FA"/>
          </w:tcPr>
          <w:p>
            <w:pPr>
              <w:spacing w:after="20" w:before="20"/>
              <w:jc w:val="center"/>
            </w:pPr>
            <w:r/>
            <w:r>
              <w:rPr>
                <w:sz w:val="18"/>
              </w:rPr>
              <w:t>Break-even pricing | Hurdle</w:t>
            </w:r>
          </w:p>
        </w:tc>
      </w:tr>
      <w:tr>
        <w:tc>
          <w:tcPr>
            <w:tcW w:type="dxa" w:w="850"/>
          </w:tcPr>
          <w:p>
            <w:pPr>
              <w:spacing w:after="20" w:before="20"/>
            </w:pPr>
            <w:r/>
            <w:r>
              <w:rPr>
                <w:b/>
                <w:sz w:val="18"/>
              </w:rPr>
              <w:t>3.3</w:t>
            </w:r>
          </w:p>
        </w:tc>
        <w:tc>
          <w:tcPr>
            <w:tcW w:type="dxa" w:w="4535"/>
          </w:tcPr>
          <w:p>
            <w:pPr>
              <w:spacing w:after="20" w:before="20"/>
              <w:jc w:val="center"/>
            </w:pPr>
            <w:r/>
            <w:r>
              <w:rPr>
                <w:sz w:val="18"/>
              </w:rPr>
              <w:t>Large Corporate vs SME — Which Customer Creates More Value?</w:t>
            </w:r>
          </w:p>
        </w:tc>
        <w:tc>
          <w:tcPr>
            <w:tcW w:type="dxa" w:w="4252"/>
          </w:tcPr>
          <w:p>
            <w:pPr>
              <w:spacing w:after="20" w:before="20"/>
              <w:jc w:val="center"/>
            </w:pPr>
            <w:r/>
            <w:r>
              <w:rPr>
                <w:sz w:val="18"/>
              </w:rPr>
              <w:t>Comparative RAROC | Yield vs risk</w:t>
            </w:r>
          </w:p>
        </w:tc>
      </w:tr>
      <w:tr>
        <w:tc>
          <w:tcPr>
            <w:tcW w:type="dxa" w:w="850"/>
            <w:shd w:val="clear" w:color="auto" w:fill="F3F6FA"/>
          </w:tcPr>
          <w:p>
            <w:pPr>
              <w:spacing w:after="20" w:before="20"/>
            </w:pPr>
            <w:r/>
            <w:r>
              <w:rPr>
                <w:b/>
                <w:sz w:val="18"/>
              </w:rPr>
              <w:t>3.4</w:t>
            </w:r>
          </w:p>
        </w:tc>
        <w:tc>
          <w:tcPr>
            <w:tcW w:type="dxa" w:w="4535"/>
            <w:shd w:val="clear" w:color="auto" w:fill="F3F6FA"/>
          </w:tcPr>
          <w:p>
            <w:pPr>
              <w:spacing w:after="20" w:before="20"/>
              <w:jc w:val="center"/>
            </w:pPr>
            <w:r/>
            <w:r>
              <w:rPr>
                <w:sz w:val="18"/>
              </w:rPr>
              <w:t>Economic Capital from a Credit Loss Distribution</w:t>
            </w:r>
          </w:p>
        </w:tc>
        <w:tc>
          <w:tcPr>
            <w:tcW w:type="dxa" w:w="4252"/>
            <w:shd w:val="clear" w:color="auto" w:fill="F3F6FA"/>
          </w:tcPr>
          <w:p>
            <w:pPr>
              <w:spacing w:after="20" w:before="20"/>
              <w:jc w:val="center"/>
            </w:pPr>
            <w:r/>
            <w:r>
              <w:rPr>
                <w:sz w:val="18"/>
              </w:rPr>
              <w:t>Credit VaR | EL vs UL | Regulatory comparison</w:t>
            </w:r>
          </w:p>
        </w:tc>
      </w:tr>
      <w:tr>
        <w:tc>
          <w:tcPr>
            <w:tcW w:type="dxa" w:w="850"/>
          </w:tcPr>
          <w:p>
            <w:pPr>
              <w:spacing w:after="20" w:before="20"/>
            </w:pPr>
            <w:r/>
            <w:r>
              <w:rPr>
                <w:b/>
                <w:sz w:val="18"/>
              </w:rPr>
              <w:t>3.5</w:t>
            </w:r>
          </w:p>
        </w:tc>
        <w:tc>
          <w:tcPr>
            <w:tcW w:type="dxa" w:w="4535"/>
          </w:tcPr>
          <w:p>
            <w:pPr>
              <w:spacing w:after="20" w:before="20"/>
              <w:jc w:val="center"/>
            </w:pPr>
            <w:r/>
            <w:r>
              <w:rPr>
                <w:sz w:val="18"/>
              </w:rPr>
              <w:t>RAROC for Treasury Trading Desks</w:t>
            </w:r>
          </w:p>
        </w:tc>
        <w:tc>
          <w:tcPr>
            <w:tcW w:type="dxa" w:w="4252"/>
          </w:tcPr>
          <w:p>
            <w:pPr>
              <w:spacing w:after="20" w:before="20"/>
              <w:jc w:val="center"/>
            </w:pPr>
            <w:r/>
            <w:r>
              <w:rPr>
                <w:sz w:val="18"/>
              </w:rPr>
              <w:t>Market-risk capital | Desk comparison</w:t>
            </w:r>
          </w:p>
        </w:tc>
      </w:tr>
      <w:tr>
        <w:tc>
          <w:tcPr>
            <w:tcW w:type="dxa" w:w="850"/>
            <w:shd w:val="clear" w:color="auto" w:fill="F3F6FA"/>
          </w:tcPr>
          <w:p>
            <w:pPr>
              <w:spacing w:after="20" w:before="20"/>
            </w:pPr>
            <w:r/>
            <w:r>
              <w:rPr>
                <w:b/>
                <w:sz w:val="18"/>
              </w:rPr>
              <w:t>3.6</w:t>
            </w:r>
          </w:p>
        </w:tc>
        <w:tc>
          <w:tcPr>
            <w:tcW w:type="dxa" w:w="4535"/>
            <w:shd w:val="clear" w:color="auto" w:fill="F3F6FA"/>
          </w:tcPr>
          <w:p>
            <w:pPr>
              <w:spacing w:after="20" w:before="20"/>
              <w:jc w:val="center"/>
            </w:pPr>
            <w:r/>
            <w:r>
              <w:rPr>
                <w:sz w:val="18"/>
              </w:rPr>
              <w:t>Relationship RAROC with Fee Cross-Sell</w:t>
            </w:r>
          </w:p>
        </w:tc>
        <w:tc>
          <w:tcPr>
            <w:tcW w:type="dxa" w:w="4252"/>
            <w:shd w:val="clear" w:color="auto" w:fill="F3F6FA"/>
          </w:tcPr>
          <w:p>
            <w:pPr>
              <w:spacing w:after="20" w:before="20"/>
              <w:jc w:val="center"/>
            </w:pPr>
            <w:r/>
            <w:r>
              <w:rPr>
                <w:sz w:val="18"/>
              </w:rPr>
              <w:t>Relationship pricing | Fee income</w:t>
            </w:r>
          </w:p>
        </w:tc>
      </w:tr>
      <w:tr>
        <w:tc>
          <w:tcPr>
            <w:tcW w:type="dxa" w:w="850"/>
          </w:tcPr>
          <w:p>
            <w:pPr>
              <w:spacing w:after="20" w:before="20"/>
            </w:pPr>
            <w:r/>
            <w:r>
              <w:rPr>
                <w:b/>
                <w:sz w:val="18"/>
              </w:rPr>
              <w:t>3.7</w:t>
            </w:r>
          </w:p>
        </w:tc>
        <w:tc>
          <w:tcPr>
            <w:tcW w:type="dxa" w:w="4535"/>
          </w:tcPr>
          <w:p>
            <w:pPr>
              <w:spacing w:after="20" w:before="20"/>
              <w:jc w:val="center"/>
            </w:pPr>
            <w:r/>
            <w:r>
              <w:rPr>
                <w:sz w:val="18"/>
              </w:rPr>
              <w:t>Capital Allocation with Diversification</w:t>
            </w:r>
          </w:p>
        </w:tc>
        <w:tc>
          <w:tcPr>
            <w:tcW w:type="dxa" w:w="4252"/>
          </w:tcPr>
          <w:p>
            <w:pPr>
              <w:spacing w:after="20" w:before="20"/>
              <w:jc w:val="center"/>
            </w:pPr>
            <w:r/>
            <w:r>
              <w:rPr>
                <w:sz w:val="18"/>
              </w:rPr>
              <w:t>Group EC | Diversification | Graph</w:t>
            </w:r>
          </w:p>
        </w:tc>
      </w:tr>
      <w:tr>
        <w:tc>
          <w:tcPr>
            <w:tcW w:type="dxa" w:w="850"/>
            <w:shd w:val="clear" w:color="auto" w:fill="F3F6FA"/>
          </w:tcPr>
          <w:p>
            <w:pPr>
              <w:spacing w:after="20" w:before="20"/>
            </w:pPr>
            <w:r/>
            <w:r>
              <w:rPr>
                <w:b/>
                <w:sz w:val="18"/>
              </w:rPr>
              <w:t>3.8</w:t>
            </w:r>
          </w:p>
        </w:tc>
        <w:tc>
          <w:tcPr>
            <w:tcW w:type="dxa" w:w="4535"/>
            <w:shd w:val="clear" w:color="auto" w:fill="F3F6FA"/>
          </w:tcPr>
          <w:p>
            <w:pPr>
              <w:spacing w:after="20" w:before="20"/>
              <w:jc w:val="center"/>
            </w:pPr>
            <w:r/>
            <w:r>
              <w:rPr>
                <w:sz w:val="18"/>
              </w:rPr>
              <w:t>Impact of Collateral on RAROC</w:t>
            </w:r>
          </w:p>
        </w:tc>
        <w:tc>
          <w:tcPr>
            <w:tcW w:type="dxa" w:w="4252"/>
            <w:shd w:val="clear" w:color="auto" w:fill="F3F6FA"/>
          </w:tcPr>
          <w:p>
            <w:pPr>
              <w:spacing w:after="20" w:before="20"/>
              <w:jc w:val="center"/>
            </w:pPr>
            <w:r/>
            <w:r>
              <w:rPr>
                <w:sz w:val="18"/>
              </w:rPr>
              <w:t>LGD | Credit risk mitigation</w:t>
            </w:r>
          </w:p>
        </w:tc>
      </w:tr>
      <w:tr>
        <w:tc>
          <w:tcPr>
            <w:tcW w:type="dxa" w:w="850"/>
          </w:tcPr>
          <w:p>
            <w:pPr>
              <w:spacing w:after="20" w:before="20"/>
            </w:pPr>
            <w:r/>
            <w:r>
              <w:rPr>
                <w:b/>
                <w:sz w:val="18"/>
              </w:rPr>
              <w:t>4.1</w:t>
            </w:r>
          </w:p>
        </w:tc>
        <w:tc>
          <w:tcPr>
            <w:tcW w:type="dxa" w:w="4535"/>
          </w:tcPr>
          <w:p>
            <w:pPr>
              <w:spacing w:after="20" w:before="20"/>
              <w:jc w:val="center"/>
            </w:pPr>
            <w:r/>
            <w:r>
              <w:rPr>
                <w:sz w:val="18"/>
              </w:rPr>
              <w:t>Estimating Stock Beta by OLS Regression</w:t>
            </w:r>
          </w:p>
        </w:tc>
        <w:tc>
          <w:tcPr>
            <w:tcW w:type="dxa" w:w="4252"/>
          </w:tcPr>
          <w:p>
            <w:pPr>
              <w:spacing w:after="20" w:before="20"/>
              <w:jc w:val="center"/>
            </w:pPr>
            <w:r/>
            <w:r>
              <w:rPr>
                <w:sz w:val="18"/>
              </w:rPr>
              <w:t>Simple regression | Beta | R² | Graph</w:t>
            </w:r>
          </w:p>
        </w:tc>
      </w:tr>
      <w:tr>
        <w:tc>
          <w:tcPr>
            <w:tcW w:type="dxa" w:w="850"/>
            <w:shd w:val="clear" w:color="auto" w:fill="F3F6FA"/>
          </w:tcPr>
          <w:p>
            <w:pPr>
              <w:spacing w:after="20" w:before="20"/>
            </w:pPr>
            <w:r/>
            <w:r>
              <w:rPr>
                <w:b/>
                <w:sz w:val="18"/>
              </w:rPr>
              <w:t>4.2</w:t>
            </w:r>
          </w:p>
        </w:tc>
        <w:tc>
          <w:tcPr>
            <w:tcW w:type="dxa" w:w="4535"/>
            <w:shd w:val="clear" w:color="auto" w:fill="F3F6FA"/>
          </w:tcPr>
          <w:p>
            <w:pPr>
              <w:spacing w:after="20" w:before="20"/>
              <w:jc w:val="center"/>
            </w:pPr>
            <w:r/>
            <w:r>
              <w:rPr>
                <w:sz w:val="18"/>
              </w:rPr>
              <w:t>Interpreting a Multiple Regression — NPA Stress Model</w:t>
            </w:r>
          </w:p>
        </w:tc>
        <w:tc>
          <w:tcPr>
            <w:tcW w:type="dxa" w:w="4252"/>
            <w:shd w:val="clear" w:color="auto" w:fill="F3F6FA"/>
          </w:tcPr>
          <w:p>
            <w:pPr>
              <w:spacing w:after="20" w:before="20"/>
              <w:jc w:val="center"/>
            </w:pPr>
            <w:r/>
            <w:r>
              <w:rPr>
                <w:sz w:val="18"/>
              </w:rPr>
              <w:t>Multiple regression | t-test | Forecasting</w:t>
            </w:r>
          </w:p>
        </w:tc>
      </w:tr>
      <w:tr>
        <w:tc>
          <w:tcPr>
            <w:tcW w:type="dxa" w:w="850"/>
          </w:tcPr>
          <w:p>
            <w:pPr>
              <w:spacing w:after="20" w:before="20"/>
            </w:pPr>
            <w:r/>
            <w:r>
              <w:rPr>
                <w:b/>
                <w:sz w:val="18"/>
              </w:rPr>
              <w:t>4.3</w:t>
            </w:r>
          </w:p>
        </w:tc>
        <w:tc>
          <w:tcPr>
            <w:tcW w:type="dxa" w:w="4535"/>
          </w:tcPr>
          <w:p>
            <w:pPr>
              <w:spacing w:after="20" w:before="20"/>
              <w:jc w:val="center"/>
            </w:pPr>
            <w:r/>
            <w:r>
              <w:rPr>
                <w:sz w:val="18"/>
              </w:rPr>
              <w:t>Minimum-Variance Hedge Ratio for an Airline</w:t>
            </w:r>
          </w:p>
        </w:tc>
        <w:tc>
          <w:tcPr>
            <w:tcW w:type="dxa" w:w="4252"/>
          </w:tcPr>
          <w:p>
            <w:pPr>
              <w:spacing w:after="20" w:before="20"/>
              <w:jc w:val="center"/>
            </w:pPr>
            <w:r/>
            <w:r>
              <w:rPr>
                <w:sz w:val="18"/>
              </w:rPr>
              <w:t>Cross-hedging | Hedge ratio | Effectiveness</w:t>
            </w:r>
          </w:p>
        </w:tc>
      </w:tr>
      <w:tr>
        <w:tc>
          <w:tcPr>
            <w:tcW w:type="dxa" w:w="850"/>
            <w:shd w:val="clear" w:color="auto" w:fill="F3F6FA"/>
          </w:tcPr>
          <w:p>
            <w:pPr>
              <w:spacing w:after="20" w:before="20"/>
            </w:pPr>
            <w:r/>
            <w:r>
              <w:rPr>
                <w:b/>
                <w:sz w:val="18"/>
              </w:rPr>
              <w:t>4.4</w:t>
            </w:r>
          </w:p>
        </w:tc>
        <w:tc>
          <w:tcPr>
            <w:tcW w:type="dxa" w:w="4535"/>
            <w:shd w:val="clear" w:color="auto" w:fill="F3F6FA"/>
          </w:tcPr>
          <w:p>
            <w:pPr>
              <w:spacing w:after="20" w:before="20"/>
              <w:jc w:val="center"/>
            </w:pPr>
            <w:r/>
            <w:r>
              <w:rPr>
                <w:sz w:val="18"/>
              </w:rPr>
              <w:t>Portfolio Variance and Risk Contribution</w:t>
            </w:r>
          </w:p>
        </w:tc>
        <w:tc>
          <w:tcPr>
            <w:tcW w:type="dxa" w:w="4252"/>
            <w:shd w:val="clear" w:color="auto" w:fill="F3F6FA"/>
          </w:tcPr>
          <w:p>
            <w:pPr>
              <w:spacing w:after="20" w:before="20"/>
              <w:jc w:val="center"/>
            </w:pPr>
            <w:r/>
            <w:r>
              <w:rPr>
                <w:sz w:val="18"/>
              </w:rPr>
              <w:t>Covariance matrix | Risk budgeting</w:t>
            </w:r>
          </w:p>
        </w:tc>
      </w:tr>
      <w:tr>
        <w:tc>
          <w:tcPr>
            <w:tcW w:type="dxa" w:w="850"/>
          </w:tcPr>
          <w:p>
            <w:pPr>
              <w:spacing w:after="20" w:before="20"/>
            </w:pPr>
            <w:r/>
            <w:r>
              <w:rPr>
                <w:b/>
                <w:sz w:val="18"/>
              </w:rPr>
              <w:t>4.5</w:t>
            </w:r>
          </w:p>
        </w:tc>
        <w:tc>
          <w:tcPr>
            <w:tcW w:type="dxa" w:w="4535"/>
          </w:tcPr>
          <w:p>
            <w:pPr>
              <w:spacing w:after="20" w:before="20"/>
              <w:jc w:val="center"/>
            </w:pPr>
            <w:r/>
            <w:r>
              <w:rPr>
                <w:sz w:val="18"/>
              </w:rPr>
              <w:t>Systematic vs Idiosyncratic Variance</w:t>
            </w:r>
          </w:p>
        </w:tc>
        <w:tc>
          <w:tcPr>
            <w:tcW w:type="dxa" w:w="4252"/>
          </w:tcPr>
          <w:p>
            <w:pPr>
              <w:spacing w:after="20" w:before="20"/>
              <w:jc w:val="center"/>
            </w:pPr>
            <w:r/>
            <w:r>
              <w:rPr>
                <w:sz w:val="18"/>
              </w:rPr>
              <w:t>Variance decomposition | Diversification | Graph</w:t>
            </w:r>
          </w:p>
        </w:tc>
      </w:tr>
      <w:tr>
        <w:tc>
          <w:tcPr>
            <w:tcW w:type="dxa" w:w="850"/>
            <w:shd w:val="clear" w:color="auto" w:fill="F3F6FA"/>
          </w:tcPr>
          <w:p>
            <w:pPr>
              <w:spacing w:after="20" w:before="20"/>
            </w:pPr>
            <w:r/>
            <w:r>
              <w:rPr>
                <w:b/>
                <w:sz w:val="18"/>
              </w:rPr>
              <w:t>4.6</w:t>
            </w:r>
          </w:p>
        </w:tc>
        <w:tc>
          <w:tcPr>
            <w:tcW w:type="dxa" w:w="4535"/>
            <w:shd w:val="clear" w:color="auto" w:fill="F3F6FA"/>
          </w:tcPr>
          <w:p>
            <w:pPr>
              <w:spacing w:after="20" w:before="20"/>
              <w:jc w:val="center"/>
            </w:pPr>
            <w:r/>
            <w:r>
              <w:rPr>
                <w:sz w:val="18"/>
              </w:rPr>
              <w:t>Variance, Volatility and Risk-Adjusted Performance of Two Funds</w:t>
            </w:r>
          </w:p>
        </w:tc>
        <w:tc>
          <w:tcPr>
            <w:tcW w:type="dxa" w:w="4252"/>
            <w:shd w:val="clear" w:color="auto" w:fill="F3F6FA"/>
          </w:tcPr>
          <w:p>
            <w:pPr>
              <w:spacing w:after="20" w:before="20"/>
              <w:jc w:val="center"/>
            </w:pPr>
            <w:r/>
            <w:r>
              <w:rPr>
                <w:sz w:val="18"/>
              </w:rPr>
              <w:t>Sample variance | Annualisation | Sharpe ratio</w:t>
            </w:r>
          </w:p>
        </w:tc>
      </w:tr>
      <w:tr>
        <w:tc>
          <w:tcPr>
            <w:tcW w:type="dxa" w:w="850"/>
          </w:tcPr>
          <w:p>
            <w:pPr>
              <w:spacing w:after="20" w:before="20"/>
            </w:pPr>
            <w:r/>
            <w:r>
              <w:rPr>
                <w:b/>
                <w:sz w:val="18"/>
              </w:rPr>
              <w:t>4.7</w:t>
            </w:r>
          </w:p>
        </w:tc>
        <w:tc>
          <w:tcPr>
            <w:tcW w:type="dxa" w:w="4535"/>
          </w:tcPr>
          <w:p>
            <w:pPr>
              <w:spacing w:after="20" w:before="20"/>
              <w:jc w:val="center"/>
            </w:pPr>
            <w:r/>
            <w:r>
              <w:rPr>
                <w:sz w:val="18"/>
              </w:rPr>
              <w:t>Regression-Based Flexible Budget and Cost Variance Analysis</w:t>
            </w:r>
          </w:p>
        </w:tc>
        <w:tc>
          <w:tcPr>
            <w:tcW w:type="dxa" w:w="4252"/>
          </w:tcPr>
          <w:p>
            <w:pPr>
              <w:spacing w:after="20" w:before="20"/>
              <w:jc w:val="center"/>
            </w:pPr>
            <w:r/>
            <w:r>
              <w:rPr>
                <w:sz w:val="18"/>
              </w:rPr>
              <w:t>Cost behaviour | Flexible budget | FP&amp;A | Graph</w:t>
            </w:r>
          </w:p>
        </w:tc>
      </w:tr>
      <w:tr>
        <w:tc>
          <w:tcPr>
            <w:tcW w:type="dxa" w:w="850"/>
            <w:shd w:val="clear" w:color="auto" w:fill="F3F6FA"/>
          </w:tcPr>
          <w:p>
            <w:pPr>
              <w:spacing w:after="20" w:before="20"/>
            </w:pPr>
            <w:r/>
            <w:r>
              <w:rPr>
                <w:b/>
                <w:sz w:val="18"/>
              </w:rPr>
              <w:t>4.8</w:t>
            </w:r>
          </w:p>
        </w:tc>
        <w:tc>
          <w:tcPr>
            <w:tcW w:type="dxa" w:w="4535"/>
            <w:shd w:val="clear" w:color="auto" w:fill="F3F6FA"/>
          </w:tcPr>
          <w:p>
            <w:pPr>
              <w:spacing w:after="20" w:before="20"/>
              <w:jc w:val="center"/>
            </w:pPr>
            <w:r/>
            <w:r>
              <w:rPr>
                <w:sz w:val="18"/>
              </w:rPr>
              <w:t>ANOVA Table and Goodness of Fit</w:t>
            </w:r>
          </w:p>
        </w:tc>
        <w:tc>
          <w:tcPr>
            <w:tcW w:type="dxa" w:w="4252"/>
            <w:shd w:val="clear" w:color="auto" w:fill="F3F6FA"/>
          </w:tcPr>
          <w:p>
            <w:pPr>
              <w:spacing w:after="20" w:before="20"/>
              <w:jc w:val="center"/>
            </w:pPr>
            <w:r/>
            <w:r>
              <w:rPr>
                <w:sz w:val="18"/>
              </w:rPr>
              <w:t>ANOVA | F-test | Adjusted R²</w:t>
            </w:r>
          </w:p>
        </w:tc>
      </w:tr>
    </w:tbl>
    <w:p>
      <w:pPr>
        <w:spacing w:after="40"/>
      </w:pPr>
    </w:p>
    <w:p>
      <w:r>
        <w:br w:type="page"/>
      </w:r>
    </w:p>
    <w:p>
      <w:pPr>
        <w:spacing w:after="0"/>
      </w:pPr>
      <w:r>
        <w:rPr>
          <w:b/>
          <w:color w:val="1A7F8E"/>
          <w:sz w:val="22"/>
        </w:rPr>
        <w:t>MODULE 1</w:t>
      </w:r>
    </w:p>
    <w:p>
      <w:pPr>
        <w:pStyle w:val="Heading1"/>
      </w:pPr>
      <w:r>
        <w:t>Value at Risk (VaR)</w:t>
      </w:r>
    </w:p>
    <w:p>
      <w:pPr>
        <w:pStyle w:val="Heading2"/>
      </w:pPr>
      <w:r>
        <w:t>1. What is it?</w:t>
      </w:r>
    </w:p>
    <w:p>
      <w:r>
        <w:rPr/>
        <w:t>Value at Risk is the maximum loss a portfolio is expected to suffer over a defined holding period, at a given confidence level, under normal market conditions. A statement such as “1-day 99% VaR is ₹5 crore” means that on 99 trading days out of 100 the loss should not exceed ₹5 crore — and on roughly one day in a hundred, it will. VaR therefore has three inputs: the confidence level, the holding period and the loss distribution of the portfolio.</w:t>
      </w:r>
    </w:p>
    <w:p>
      <w:pPr>
        <w:pStyle w:val="Heading2"/>
      </w:pPr>
      <w:r>
        <w:t>2. Why is it important?</w:t>
      </w:r>
    </w:p>
    <w:p>
      <w:pPr>
        <w:pStyle w:val="ListBullet"/>
      </w:pPr>
      <w:r>
        <w:rPr/>
        <w:t>Converts exposures in equities, bonds, currencies and commodities into one comparable rupee number for the Board.</w:t>
      </w:r>
    </w:p>
    <w:p>
      <w:pPr>
        <w:pStyle w:val="ListBullet"/>
      </w:pPr>
      <w:r>
        <w:rPr/>
        <w:t>Basis for trading limits, risk appetite statements and desk-level capital allocation.</w:t>
      </w:r>
    </w:p>
    <w:p>
      <w:pPr>
        <w:pStyle w:val="ListBullet"/>
      </w:pPr>
      <w:r>
        <w:rPr/>
        <w:t>Regulatory use: Basel market-risk capital (internal models), exchange margins (SEBI’s VaR margin in the cash segment), and ICAAP under Pillar 2.</w:t>
      </w:r>
    </w:p>
    <w:p>
      <w:pPr>
        <w:pStyle w:val="ListBullet"/>
      </w:pPr>
      <w:r>
        <w:rPr/>
        <w:t>Communicates risk in plain language to non-specialists — one of the reasons J.P. Morgan’s “4:15 report” and its RiskMetrics methodology (1994) made VaR an industry standard.</w:t>
      </w:r>
    </w:p>
    <w:p>
      <w:pPr>
        <w:pStyle w:val="Heading2"/>
      </w:pPr>
      <w:r>
        <w:t>3. How is it used in industry?</w:t>
      </w:r>
    </w:p>
    <w:p>
      <w:pPr>
        <w:pStyle w:val="ListBullet"/>
      </w:pPr>
      <w:r>
        <w:rPr>
          <w:b/>
        </w:rPr>
        <w:t>Banks’ treasury and trading desks</w:t>
      </w:r>
      <w:r>
        <w:rPr/>
        <w:t xml:space="preserve"> — daily VaR reports by desk, product and risk factor; limit breaches escalate to the ALCO/Risk Committee.</w:t>
      </w:r>
    </w:p>
    <w:p>
      <w:pPr>
        <w:pStyle w:val="ListBullet"/>
      </w:pPr>
      <w:r>
        <w:rPr>
          <w:b/>
        </w:rPr>
        <w:t>Clearing corporations (NSE Clearing, ICCL)</w:t>
      </w:r>
      <w:r>
        <w:rPr/>
        <w:t xml:space="preserve"> — VaR margins plus extreme-loss margins are collected from members on cash-market positions.</w:t>
      </w:r>
    </w:p>
    <w:p>
      <w:pPr>
        <w:pStyle w:val="ListBullet"/>
      </w:pPr>
      <w:r>
        <w:rPr>
          <w:b/>
        </w:rPr>
        <w:t>Mutual funds, insurers and PMS</w:t>
      </w:r>
      <w:r>
        <w:rPr/>
        <w:t xml:space="preserve"> — VaR and tracking-error limits in investment policy statements; stress tests alongside VaR.</w:t>
      </w:r>
    </w:p>
    <w:p>
      <w:pPr>
        <w:pStyle w:val="ListBullet"/>
      </w:pPr>
      <w:r>
        <w:rPr>
          <w:b/>
        </w:rPr>
        <w:t>Corporates</w:t>
      </w:r>
      <w:r>
        <w:rPr/>
        <w:t xml:space="preserve"> — Cash-flow-at-Risk / FX VaR for import–export exposures and commodity procurement.</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41"/>
            <w:shd w:val="clear" w:color="auto" w:fill="1F3864"/>
          </w:tcPr>
          <w:p>
            <w:pPr>
              <w:spacing w:after="20" w:before="20"/>
            </w:pPr>
            <w:r/>
            <w:r>
              <w:rPr>
                <w:b/>
                <w:color w:val="FFFFFF"/>
                <w:sz w:val="18"/>
              </w:rPr>
              <w:t>Approach</w:t>
            </w:r>
          </w:p>
        </w:tc>
        <w:tc>
          <w:tcPr>
            <w:tcW w:type="dxa" w:w="2532"/>
            <w:shd w:val="clear" w:color="auto" w:fill="1F3864"/>
          </w:tcPr>
          <w:p>
            <w:pPr>
              <w:spacing w:after="20" w:before="20"/>
            </w:pPr>
            <w:r/>
            <w:r>
              <w:rPr>
                <w:b/>
                <w:color w:val="FFFFFF"/>
                <w:sz w:val="18"/>
              </w:rPr>
              <w:t>How it works</w:t>
            </w:r>
          </w:p>
        </w:tc>
        <w:tc>
          <w:tcPr>
            <w:tcW w:type="dxa" w:w="2532"/>
            <w:shd w:val="clear" w:color="auto" w:fill="1F3864"/>
          </w:tcPr>
          <w:p>
            <w:pPr>
              <w:spacing w:after="20" w:before="20"/>
            </w:pPr>
            <w:r/>
            <w:r>
              <w:rPr>
                <w:b/>
                <w:color w:val="FFFFFF"/>
                <w:sz w:val="18"/>
              </w:rPr>
              <w:t>Strengths</w:t>
            </w:r>
          </w:p>
        </w:tc>
        <w:tc>
          <w:tcPr>
            <w:tcW w:type="dxa" w:w="2532"/>
            <w:shd w:val="clear" w:color="auto" w:fill="1F3864"/>
          </w:tcPr>
          <w:p>
            <w:pPr>
              <w:spacing w:after="20" w:before="20"/>
            </w:pPr>
            <w:r/>
            <w:r>
              <w:rPr>
                <w:b/>
                <w:color w:val="FFFFFF"/>
                <w:sz w:val="18"/>
              </w:rPr>
              <w:t>Limitations</w:t>
            </w:r>
          </w:p>
        </w:tc>
      </w:tr>
      <w:tr>
        <w:tc>
          <w:tcPr>
            <w:tcW w:type="dxa" w:w="2041"/>
          </w:tcPr>
          <w:p>
            <w:pPr>
              <w:spacing w:after="20" w:before="20"/>
            </w:pPr>
            <w:r/>
            <w:r>
              <w:rPr>
                <w:b/>
                <w:sz w:val="18"/>
              </w:rPr>
              <w:t>Parametric (variance–covariance)</w:t>
            </w:r>
          </w:p>
        </w:tc>
        <w:tc>
          <w:tcPr>
            <w:tcW w:type="dxa" w:w="2532"/>
          </w:tcPr>
          <w:p>
            <w:pPr>
              <w:spacing w:after="20" w:before="20"/>
              <w:jc w:val="center"/>
            </w:pPr>
            <w:r/>
            <w:r>
              <w:rPr>
                <w:sz w:val="18"/>
              </w:rPr>
              <w:t>Assumes normally distributed returns; VaR = z × σ × Portfolio value</w:t>
            </w:r>
          </w:p>
        </w:tc>
        <w:tc>
          <w:tcPr>
            <w:tcW w:type="dxa" w:w="2532"/>
          </w:tcPr>
          <w:p>
            <w:pPr>
              <w:spacing w:after="20" w:before="20"/>
              <w:jc w:val="center"/>
            </w:pPr>
            <w:r/>
            <w:r>
              <w:rPr>
                <w:sz w:val="18"/>
              </w:rPr>
              <w:t>Fast, intuitive, handles large portfolios</w:t>
            </w:r>
          </w:p>
        </w:tc>
        <w:tc>
          <w:tcPr>
            <w:tcW w:type="dxa" w:w="2532"/>
          </w:tcPr>
          <w:p>
            <w:pPr>
              <w:spacing w:after="20" w:before="20"/>
              <w:jc w:val="center"/>
            </w:pPr>
            <w:r/>
            <w:r>
              <w:rPr>
                <w:sz w:val="18"/>
              </w:rPr>
              <w:t>Under-states fat tails; poor for options</w:t>
            </w:r>
          </w:p>
        </w:tc>
      </w:tr>
      <w:tr>
        <w:tc>
          <w:tcPr>
            <w:tcW w:type="dxa" w:w="2041"/>
            <w:shd w:val="clear" w:color="auto" w:fill="F3F6FA"/>
          </w:tcPr>
          <w:p>
            <w:pPr>
              <w:spacing w:after="20" w:before="20"/>
            </w:pPr>
            <w:r/>
            <w:r>
              <w:rPr>
                <w:b/>
                <w:sz w:val="18"/>
              </w:rPr>
              <w:t>Historical simulation</w:t>
            </w:r>
          </w:p>
        </w:tc>
        <w:tc>
          <w:tcPr>
            <w:tcW w:type="dxa" w:w="2532"/>
            <w:shd w:val="clear" w:color="auto" w:fill="F3F6FA"/>
          </w:tcPr>
          <w:p>
            <w:pPr>
              <w:spacing w:after="20" w:before="20"/>
              <w:jc w:val="center"/>
            </w:pPr>
            <w:r/>
            <w:r>
              <w:rPr>
                <w:sz w:val="18"/>
              </w:rPr>
              <w:t>Re-prices today’s portfolio on actual past returns; VaR = chosen percentile loss</w:t>
            </w:r>
          </w:p>
        </w:tc>
        <w:tc>
          <w:tcPr>
            <w:tcW w:type="dxa" w:w="2532"/>
            <w:shd w:val="clear" w:color="auto" w:fill="F3F6FA"/>
          </w:tcPr>
          <w:p>
            <w:pPr>
              <w:spacing w:after="20" w:before="20"/>
              <w:jc w:val="center"/>
            </w:pPr>
            <w:r/>
            <w:r>
              <w:rPr>
                <w:sz w:val="18"/>
              </w:rPr>
              <w:t>No distribution assumption; captures fat tails and correlations seen in history</w:t>
            </w:r>
          </w:p>
        </w:tc>
        <w:tc>
          <w:tcPr>
            <w:tcW w:type="dxa" w:w="2532"/>
            <w:shd w:val="clear" w:color="auto" w:fill="F3F6FA"/>
          </w:tcPr>
          <w:p>
            <w:pPr>
              <w:spacing w:after="20" w:before="20"/>
              <w:jc w:val="center"/>
            </w:pPr>
            <w:r/>
            <w:r>
              <w:rPr>
                <w:sz w:val="18"/>
              </w:rPr>
              <w:t>Depends entirely on the look-back window</w:t>
            </w:r>
          </w:p>
        </w:tc>
      </w:tr>
      <w:tr>
        <w:tc>
          <w:tcPr>
            <w:tcW w:type="dxa" w:w="2041"/>
          </w:tcPr>
          <w:p>
            <w:pPr>
              <w:spacing w:after="20" w:before="20"/>
            </w:pPr>
            <w:r/>
            <w:r>
              <w:rPr>
                <w:b/>
                <w:sz w:val="18"/>
              </w:rPr>
              <w:t>Monte Carlo simulation</w:t>
            </w:r>
          </w:p>
        </w:tc>
        <w:tc>
          <w:tcPr>
            <w:tcW w:type="dxa" w:w="2532"/>
          </w:tcPr>
          <w:p>
            <w:pPr>
              <w:spacing w:after="20" w:before="20"/>
              <w:jc w:val="center"/>
            </w:pPr>
            <w:r/>
            <w:r>
              <w:rPr>
                <w:sz w:val="18"/>
              </w:rPr>
              <w:t>Generates thousands of random scenarios from a stochastic model</w:t>
            </w:r>
          </w:p>
        </w:tc>
        <w:tc>
          <w:tcPr>
            <w:tcW w:type="dxa" w:w="2532"/>
          </w:tcPr>
          <w:p>
            <w:pPr>
              <w:spacing w:after="20" w:before="20"/>
              <w:jc w:val="center"/>
            </w:pPr>
            <w:r/>
            <w:r>
              <w:rPr>
                <w:sz w:val="18"/>
              </w:rPr>
              <w:t>Handles non-linear products (options) and path dependency</w:t>
            </w:r>
          </w:p>
        </w:tc>
        <w:tc>
          <w:tcPr>
            <w:tcW w:type="dxa" w:w="2532"/>
          </w:tcPr>
          <w:p>
            <w:pPr>
              <w:spacing w:after="20" w:before="20"/>
              <w:jc w:val="center"/>
            </w:pPr>
            <w:r/>
            <w:r>
              <w:rPr>
                <w:sz w:val="18"/>
              </w:rPr>
              <w:t>Computationally heavy; model risk</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Parametric VaR</w:t>
            </w:r>
          </w:p>
        </w:tc>
        <w:tc>
          <w:tcPr>
            <w:tcW w:type="dxa" w:w="6803"/>
          </w:tcPr>
          <w:p>
            <w:pPr>
              <w:spacing w:after="20" w:before="20"/>
              <w:jc w:val="center"/>
            </w:pPr>
            <w:r/>
            <w:r>
              <w:rPr>
                <w:sz w:val="19"/>
              </w:rPr>
              <w:t>VaR = z_c × σ × V        (z₉₅ = 1.645, z₉₉ = 2.326)</w:t>
            </w:r>
          </w:p>
        </w:tc>
      </w:tr>
      <w:tr>
        <w:tc>
          <w:tcPr>
            <w:tcW w:type="dxa" w:w="2835"/>
            <w:shd w:val="clear" w:color="auto" w:fill="F3F6FA"/>
          </w:tcPr>
          <w:p>
            <w:pPr>
              <w:spacing w:after="20" w:before="20"/>
            </w:pPr>
            <w:r/>
            <w:r>
              <w:rPr>
                <w:b/>
                <w:sz w:val="19"/>
              </w:rPr>
              <w:t>Mean-adjusted VaR</w:t>
            </w:r>
          </w:p>
        </w:tc>
        <w:tc>
          <w:tcPr>
            <w:tcW w:type="dxa" w:w="6803"/>
            <w:shd w:val="clear" w:color="auto" w:fill="F3F6FA"/>
          </w:tcPr>
          <w:p>
            <w:pPr>
              <w:spacing w:after="20" w:before="20"/>
              <w:jc w:val="center"/>
            </w:pPr>
            <w:r/>
            <w:r>
              <w:rPr>
                <w:sz w:val="19"/>
              </w:rPr>
              <w:t>VaR = (z_c × σ − μ) × V</w:t>
            </w:r>
          </w:p>
        </w:tc>
      </w:tr>
      <w:tr>
        <w:tc>
          <w:tcPr>
            <w:tcW w:type="dxa" w:w="2835"/>
          </w:tcPr>
          <w:p>
            <w:pPr>
              <w:spacing w:after="20" w:before="20"/>
            </w:pPr>
            <w:r/>
            <w:r>
              <w:rPr>
                <w:b/>
                <w:sz w:val="19"/>
              </w:rPr>
              <w:t>Square-root-of-time scaling</w:t>
            </w:r>
          </w:p>
        </w:tc>
        <w:tc>
          <w:tcPr>
            <w:tcW w:type="dxa" w:w="6803"/>
          </w:tcPr>
          <w:p>
            <w:pPr>
              <w:spacing w:after="20" w:before="20"/>
              <w:jc w:val="center"/>
            </w:pPr>
            <w:r/>
            <w:r>
              <w:rPr>
                <w:sz w:val="19"/>
              </w:rPr>
              <w:t>VaR_T-day = VaR_1-day × √T   (assumes i.i.d. returns)</w:t>
            </w:r>
          </w:p>
        </w:tc>
      </w:tr>
      <w:tr>
        <w:tc>
          <w:tcPr>
            <w:tcW w:type="dxa" w:w="2835"/>
            <w:shd w:val="clear" w:color="auto" w:fill="F3F6FA"/>
          </w:tcPr>
          <w:p>
            <w:pPr>
              <w:spacing w:after="20" w:before="20"/>
            </w:pPr>
            <w:r/>
            <w:r>
              <w:rPr>
                <w:b/>
                <w:sz w:val="19"/>
              </w:rPr>
              <w:t>Two-asset portfolio VaR</w:t>
            </w:r>
          </w:p>
        </w:tc>
        <w:tc>
          <w:tcPr>
            <w:tcW w:type="dxa" w:w="6803"/>
            <w:shd w:val="clear" w:color="auto" w:fill="F3F6FA"/>
          </w:tcPr>
          <w:p>
            <w:pPr>
              <w:spacing w:after="20" w:before="20"/>
              <w:jc w:val="center"/>
            </w:pPr>
            <w:r/>
            <w:r>
              <w:rPr>
                <w:sz w:val="19"/>
              </w:rPr>
              <w:t>VaR_p = √(VaR₁² + VaR₂² + 2ρ·VaR₁·VaR₂)</w:t>
            </w:r>
          </w:p>
        </w:tc>
      </w:tr>
      <w:tr>
        <w:tc>
          <w:tcPr>
            <w:tcW w:type="dxa" w:w="2835"/>
          </w:tcPr>
          <w:p>
            <w:pPr>
              <w:spacing w:after="20" w:before="20"/>
            </w:pPr>
            <w:r/>
            <w:r>
              <w:rPr>
                <w:b/>
                <w:sz w:val="19"/>
              </w:rPr>
              <w:t>Diversification benefit</w:t>
            </w:r>
          </w:p>
        </w:tc>
        <w:tc>
          <w:tcPr>
            <w:tcW w:type="dxa" w:w="6803"/>
          </w:tcPr>
          <w:p>
            <w:pPr>
              <w:spacing w:after="20" w:before="20"/>
              <w:jc w:val="center"/>
            </w:pPr>
            <w:r/>
            <w:r>
              <w:rPr>
                <w:sz w:val="19"/>
              </w:rPr>
              <w:t>Σ standalone VaRs − Portfolio VaR</w:t>
            </w:r>
          </w:p>
        </w:tc>
      </w:tr>
      <w:tr>
        <w:tc>
          <w:tcPr>
            <w:tcW w:type="dxa" w:w="2835"/>
            <w:shd w:val="clear" w:color="auto" w:fill="F3F6FA"/>
          </w:tcPr>
          <w:p>
            <w:pPr>
              <w:spacing w:after="20" w:before="20"/>
            </w:pPr>
            <w:r/>
            <w:r>
              <w:rPr>
                <w:b/>
                <w:sz w:val="19"/>
              </w:rPr>
              <w:t>Expected Shortfall (normal)</w:t>
            </w:r>
          </w:p>
        </w:tc>
        <w:tc>
          <w:tcPr>
            <w:tcW w:type="dxa" w:w="6803"/>
            <w:shd w:val="clear" w:color="auto" w:fill="F3F6FA"/>
          </w:tcPr>
          <w:p>
            <w:pPr>
              <w:spacing w:after="20" w:before="20"/>
              <w:jc w:val="center"/>
            </w:pPr>
            <w:r/>
            <w:r>
              <w:rPr>
                <w:sz w:val="19"/>
              </w:rPr>
              <w:t>ES_c = σ × V × φ(z_c) / (1 − c)</w:t>
            </w:r>
          </w:p>
        </w:tc>
      </w:tr>
      <w:tr>
        <w:tc>
          <w:tcPr>
            <w:tcW w:type="dxa" w:w="2835"/>
          </w:tcPr>
          <w:p>
            <w:pPr>
              <w:spacing w:after="20" w:before="20"/>
            </w:pPr>
            <w:r/>
            <w:r>
              <w:rPr>
                <w:b/>
                <w:sz w:val="19"/>
              </w:rPr>
              <w:t>Bond VaR (delta-normal)</w:t>
            </w:r>
          </w:p>
        </w:tc>
        <w:tc>
          <w:tcPr>
            <w:tcW w:type="dxa" w:w="6803"/>
          </w:tcPr>
          <w:p>
            <w:pPr>
              <w:spacing w:after="20" w:before="20"/>
              <w:jc w:val="center"/>
            </w:pPr>
            <w:r/>
            <w:r>
              <w:rPr>
                <w:sz w:val="19"/>
              </w:rPr>
              <w:t>VaR = V × Modified Duration × σ(Δy) × z_c</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05455"/>
            <wp:docPr id="1" name="Picture 1"/>
            <wp:cNvGraphicFramePr>
              <a:graphicFrameLocks noChangeAspect="1"/>
            </wp:cNvGraphicFramePr>
            <a:graphic>
              <a:graphicData uri="http://schemas.openxmlformats.org/drawingml/2006/picture">
                <pic:pic>
                  <pic:nvPicPr>
                    <pic:cNvPr id="0" name="var_normal.png"/>
                    <pic:cNvPicPr/>
                  </pic:nvPicPr>
                  <pic:blipFill>
                    <a:blip r:embed="rId11"/>
                    <a:stretch>
                      <a:fillRect/>
                    </a:stretch>
                  </pic:blipFill>
                  <pic:spPr>
                    <a:xfrm>
                      <a:off x="0" y="0"/>
                      <a:ext cx="5580000" cy="2705455"/>
                    </a:xfrm>
                    <a:prstGeom prst="rect"/>
                  </pic:spPr>
                </pic:pic>
              </a:graphicData>
            </a:graphic>
          </wp:inline>
        </w:drawing>
      </w:r>
    </w:p>
    <w:p>
      <w:pPr>
        <w:jc w:val="center"/>
      </w:pPr>
      <w:r>
        <w:rPr>
          <w:i/>
          <w:color w:val="595959"/>
          <w:sz w:val="18"/>
        </w:rPr>
        <w:t>Shaded tails show what VaR measures (the threshold) and what Expected Shortfall measures (the average beyond it).</w:t>
      </w:r>
    </w:p>
    <w:p>
      <w:pPr>
        <w:keepNext/>
        <w:jc w:val="center"/>
      </w:pPr>
      <w:r>
        <w:drawing>
          <wp:inline xmlns:a="http://schemas.openxmlformats.org/drawingml/2006/main" xmlns:pic="http://schemas.openxmlformats.org/drawingml/2006/picture">
            <wp:extent cx="5580000" cy="2536364"/>
            <wp:docPr id="2" name="Picture 2"/>
            <wp:cNvGraphicFramePr>
              <a:graphicFrameLocks noChangeAspect="1"/>
            </wp:cNvGraphicFramePr>
            <a:graphic>
              <a:graphicData uri="http://schemas.openxmlformats.org/drawingml/2006/picture">
                <pic:pic>
                  <pic:nvPicPr>
                    <pic:cNvPr id="0" name="var_hist.png"/>
                    <pic:cNvPicPr/>
                  </pic:nvPicPr>
                  <pic:blipFill>
                    <a:blip r:embed="rId12"/>
                    <a:stretch>
                      <a:fillRect/>
                    </a:stretch>
                  </pic:blipFill>
                  <pic:spPr>
                    <a:xfrm>
                      <a:off x="0" y="0"/>
                      <a:ext cx="5580000" cy="2536364"/>
                    </a:xfrm>
                    <a:prstGeom prst="rect"/>
                  </pic:spPr>
                </pic:pic>
              </a:graphicData>
            </a:graphic>
          </wp:inline>
        </w:drawing>
      </w:r>
    </w:p>
    <w:p>
      <w:pPr>
        <w:jc w:val="center"/>
      </w:pPr>
      <w:r>
        <w:rPr>
          <w:i/>
          <w:color w:val="595959"/>
          <w:sz w:val="18"/>
        </w:rPr>
        <w:t>Real market returns have fatter tails than the normal curve, so parametric VaR can understate extreme losses.</w:t>
      </w:r>
    </w:p>
    <w:p>
      <w:pPr>
        <w:pStyle w:val="Heading2"/>
      </w:pPr>
      <w:r>
        <w:t>6. Real-life examples</w:t>
      </w:r>
    </w:p>
    <w:p>
      <w:pPr>
        <w:shd w:val="clear" w:color="auto" w:fill="F5F8FC"/>
        <w:pBdr>
          <w:left w:val="single" w:sz="18" w:space="8" w:color="1F3864"/>
        </w:pBdr>
        <w:ind w:left="227"/>
      </w:pPr>
      <w:r>
        <w:rPr>
          <w:b/>
          <w:color w:val="1F3864"/>
        </w:rPr>
        <w:t xml:space="preserve">J.P. Morgan — “London Whale” (2012).  </w:t>
      </w:r>
      <w:r>
        <w:rPr/>
        <w:t>The Chief Investment Office changed its VaR model in January 2012; the new model roughly halved the reported VaR of the synthetic credit portfolio. Positions grew, and losses eventually exceeded US$6 billion. Lesson: VaR model changes need independent validation and VaR must never be the only limit.</w:t>
      </w:r>
    </w:p>
    <w:p>
      <w:pPr>
        <w:shd w:val="clear" w:color="auto" w:fill="F5F8FC"/>
        <w:pBdr>
          <w:left w:val="single" w:sz="18" w:space="8" w:color="1F3864"/>
        </w:pBdr>
        <w:ind w:left="227"/>
      </w:pPr>
      <w:r>
        <w:rPr>
          <w:b/>
          <w:color w:val="1F3864"/>
        </w:rPr>
        <w:t xml:space="preserve">Long-Term Capital Management (1998).  </w:t>
      </w:r>
      <w:r>
        <w:rPr/>
        <w:t>LTCM’s risk models, calibrated on calm historical data, implied a very low probability of large losses. After Russia’s default, correlations converged and liquidity vanished; a Federal Reserve-brokered consortium of 14 institutions injected about US$3.6 billion. Lesson: VaR says nothing about the size of losses beyond the threshold or about liquidity.</w:t>
      </w:r>
    </w:p>
    <w:p>
      <w:pPr>
        <w:shd w:val="clear" w:color="auto" w:fill="F5F8FC"/>
        <w:pBdr>
          <w:left w:val="single" w:sz="18" w:space="8" w:color="1F3864"/>
        </w:pBdr>
        <w:ind w:left="227"/>
      </w:pPr>
      <w:r>
        <w:rPr>
          <w:b/>
          <w:color w:val="1F3864"/>
        </w:rPr>
        <w:t xml:space="preserve">Basel FRTB — move from VaR to Expected Shortfall.  </w:t>
      </w:r>
      <w:r>
        <w:rPr/>
        <w:t>Under the Fundamental Review of the Trading Book (final standard, January 2019), internal-model banks replace 99% VaR with 97.5% Expected Shortfall calibrated to a period of stress, because ES captures tail severity and is sub-additive.</w:t>
      </w:r>
    </w:p>
    <w:p>
      <w:pPr>
        <w:shd w:val="clear" w:color="auto" w:fill="F5F8FC"/>
        <w:pBdr>
          <w:left w:val="single" w:sz="18" w:space="8" w:color="1F3864"/>
        </w:pBdr>
        <w:ind w:left="227"/>
      </w:pPr>
      <w:r>
        <w:rPr>
          <w:b/>
          <w:color w:val="1F3864"/>
        </w:rPr>
        <w:t xml:space="preserve">Indian equity market margins.  </w:t>
      </w:r>
      <w:r>
        <w:rPr/>
        <w:t>In India’s cash segment, clearing corporations collect a VaR-based margin together with an Extreme Loss Margin (ELM); scrips are grouped by liquidity and volatility, so illiquid stocks attract materially higher VaR margins.</w:t>
      </w:r>
    </w:p>
    <w:p>
      <w:pPr>
        <w:pStyle w:val="Heading2"/>
      </w:pPr>
      <w:r>
        <w:t>7. Common mistakes</w:t>
      </w:r>
    </w:p>
    <w:p>
      <w:pPr>
        <w:pStyle w:val="ListBullet"/>
      </w:pPr>
      <w:r>
        <w:rPr/>
        <w:t>Treating VaR as the “worst-case loss” — it is a threshold, not a maximum.</w:t>
      </w:r>
    </w:p>
    <w:p>
      <w:pPr>
        <w:pStyle w:val="ListBullet"/>
      </w:pPr>
      <w:r>
        <w:rPr/>
        <w:t>Applying √T scaling to returns that are autocorrelated or to portfolios that change during the horizon.</w:t>
      </w:r>
    </w:p>
    <w:p>
      <w:pPr>
        <w:pStyle w:val="ListBullet"/>
      </w:pPr>
      <w:r>
        <w:rPr/>
        <w:t>Adding standalone VaRs to get portfolio VaR (ignores correlation) — or assuming correlations stay stable during a crisis.</w:t>
      </w:r>
    </w:p>
    <w:p>
      <w:pPr>
        <w:pStyle w:val="ListBullet"/>
      </w:pPr>
      <w:r>
        <w:rPr/>
        <w:t>Using parametric VaR for option-heavy books where P&amp;L is non-linear.</w:t>
      </w:r>
    </w:p>
    <w:p>
      <w:pPr>
        <w:pStyle w:val="ListBullet"/>
      </w:pPr>
      <w:r>
        <w:rPr/>
        <w:t>Ignoring backtesting results; a model with too many exceptions must be recalibrated.</w:t>
      </w:r>
    </w:p>
    <w:p>
      <w:pPr>
        <w:pStyle w:val="Heading2"/>
      </w:pPr>
      <w:r>
        <w:t>8. Interview questions</w:t>
      </w:r>
    </w:p>
    <w:p>
      <w:pPr>
        <w:spacing w:after="80"/>
      </w:pPr>
      <w:r>
        <w:rPr>
          <w:b/>
        </w:rPr>
        <w:t>Q1.</w:t>
      </w:r>
      <w:r>
        <w:rPr/>
        <w:t xml:space="preserve"> What does a 10-day 99% VaR of ₹20 crore mean?</w:t>
      </w:r>
    </w:p>
    <w:p>
      <w:pPr>
        <w:spacing w:after="80"/>
      </w:pPr>
      <w:r>
        <w:rPr>
          <w:b/>
        </w:rPr>
        <w:t>Q2.</w:t>
      </w:r>
      <w:r>
        <w:rPr/>
        <w:t xml:space="preserve"> Why is VaR not a coherent risk measure?</w:t>
      </w:r>
    </w:p>
    <w:p>
      <w:pPr>
        <w:spacing w:after="80"/>
      </w:pPr>
      <w:r>
        <w:rPr>
          <w:b/>
        </w:rPr>
        <w:t>Q3.</w:t>
      </w:r>
      <w:r>
        <w:rPr/>
        <w:t xml:space="preserve"> How would you choose between historical and Monte Carlo VaR?</w:t>
      </w:r>
    </w:p>
    <w:p>
      <w:pPr>
        <w:spacing w:after="80"/>
      </w:pPr>
      <w:r>
        <w:rPr>
          <w:b/>
        </w:rPr>
        <w:t>Q4.</w:t>
      </w:r>
      <w:r>
        <w:rPr/>
        <w:t xml:space="preserve"> What is backtesting and the Basel traffic-light approach?</w:t>
      </w:r>
    </w:p>
    <w:p>
      <w:pPr>
        <w:spacing w:after="80"/>
      </w:pPr>
      <w:r>
        <w:rPr>
          <w:b/>
        </w:rPr>
        <w:t>Q5.</w:t>
      </w:r>
      <w:r>
        <w:rPr/>
        <w:t xml:space="preserve"> What is Stressed VaR?</w:t>
      </w:r>
    </w:p>
    <w:p>
      <w:r>
        <w:br w:type="page"/>
      </w:r>
    </w:p>
    <w:p>
      <w:pPr>
        <w:pStyle w:val="Heading1"/>
      </w:pPr>
      <w:r>
        <w:t>Module 1 Cases: Value at Risk (VaR)</w:t>
      </w:r>
    </w:p>
    <w:p>
      <w:pPr>
        <w:pStyle w:val="Heading2"/>
      </w:pPr>
      <w:r>
        <w:t>Case 1.1  Parametric VaR for an Equity ETF Portfolio</w:t>
      </w:r>
    </w:p>
    <w:p>
      <w:r>
        <w:rPr>
          <w:i/>
          <w:color w:val="1A7F8E"/>
          <w:sz w:val="18"/>
        </w:rPr>
        <w:t>Single-asset VaR | Confidence level | Time scaling</w:t>
      </w:r>
    </w:p>
    <w:p>
      <w:pPr>
        <w:keepNext/>
        <w:spacing w:before="160" w:after="60"/>
      </w:pPr>
      <w:r>
        <w:rPr>
          <w:b/>
          <w:color w:val="1A7F8E"/>
          <w:sz w:val="19"/>
        </w:rPr>
        <w:t>BACKGROUND</w:t>
      </w:r>
    </w:p>
    <w:p>
      <w:r>
        <w:rPr/>
        <w:t>Shreeram Asset Managers runs a proprietary book holding ₹50 crore in a Nifty 50 ETF. The CRO wants a one-page risk summary for the Investment Committee meeting. Daily returns over the last year show a standard deviation of 1.20% and an average daily return of 0.05%.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₹50 crore</w:t>
            </w:r>
          </w:p>
        </w:tc>
      </w:tr>
      <w:tr>
        <w:tc>
          <w:tcPr>
            <w:tcW w:type="dxa" w:w="4252"/>
            <w:shd w:val="clear" w:color="auto" w:fill="F3F6FA"/>
          </w:tcPr>
          <w:p>
            <w:pPr>
              <w:spacing w:after="20" w:before="20"/>
            </w:pPr>
            <w:r/>
            <w:r>
              <w:rPr>
                <w:b/>
                <w:sz w:val="19"/>
              </w:rPr>
              <w:t>Daily volatility (σ)</w:t>
            </w:r>
          </w:p>
        </w:tc>
        <w:tc>
          <w:tcPr>
            <w:tcW w:type="dxa" w:w="5386"/>
            <w:shd w:val="clear" w:color="auto" w:fill="F3F6FA"/>
          </w:tcPr>
          <w:p>
            <w:pPr>
              <w:spacing w:after="20" w:before="20"/>
              <w:jc w:val="center"/>
            </w:pPr>
            <w:r/>
            <w:r>
              <w:rPr>
                <w:sz w:val="19"/>
              </w:rPr>
              <w:t>1.20%</w:t>
            </w:r>
          </w:p>
        </w:tc>
      </w:tr>
      <w:tr>
        <w:tc>
          <w:tcPr>
            <w:tcW w:type="dxa" w:w="4252"/>
          </w:tcPr>
          <w:p>
            <w:pPr>
              <w:spacing w:after="20" w:before="20"/>
            </w:pPr>
            <w:r/>
            <w:r>
              <w:rPr>
                <w:b/>
                <w:sz w:val="19"/>
              </w:rPr>
              <w:t>Average daily return (μ)</w:t>
            </w:r>
          </w:p>
        </w:tc>
        <w:tc>
          <w:tcPr>
            <w:tcW w:type="dxa" w:w="5386"/>
          </w:tcPr>
          <w:p>
            <w:pPr>
              <w:spacing w:after="20" w:before="20"/>
              <w:jc w:val="center"/>
            </w:pPr>
            <w:r/>
            <w:r>
              <w:rPr>
                <w:sz w:val="19"/>
              </w:rPr>
              <w:t>0.05%</w:t>
            </w:r>
          </w:p>
        </w:tc>
      </w:tr>
      <w:tr>
        <w:tc>
          <w:tcPr>
            <w:tcW w:type="dxa" w:w="4252"/>
            <w:shd w:val="clear" w:color="auto" w:fill="F3F6FA"/>
          </w:tcPr>
          <w:p>
            <w:pPr>
              <w:spacing w:after="20" w:before="20"/>
            </w:pPr>
            <w:r/>
            <w:r>
              <w:rPr>
                <w:b/>
                <w:sz w:val="19"/>
              </w:rPr>
              <w:t>z-value 95% / 99%</w:t>
            </w:r>
          </w:p>
        </w:tc>
        <w:tc>
          <w:tcPr>
            <w:tcW w:type="dxa" w:w="5386"/>
            <w:shd w:val="clear" w:color="auto" w:fill="F3F6FA"/>
          </w:tcPr>
          <w:p>
            <w:pPr>
              <w:spacing w:after="20" w:before="20"/>
              <w:jc w:val="center"/>
            </w:pPr>
            <w:r/>
            <w:r>
              <w:rPr>
                <w:sz w:val="19"/>
              </w:rPr>
              <w:t>1.645 / 2.326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1-day VaR at 95% and 99% confidence.</w:t>
      </w:r>
    </w:p>
    <w:p>
      <w:pPr>
        <w:spacing w:after="40"/>
        <w:ind w:left="454" w:hanging="454"/>
      </w:pPr>
      <w:r>
        <w:rPr>
          <w:b/>
          <w:color w:val="1F3864"/>
        </w:rPr>
        <w:t xml:space="preserve">(b)  </w:t>
      </w:r>
      <w:r>
        <w:rPr/>
        <w:t>Compute the 10-day 99% VaR using square-root-of-time scaling.</w:t>
      </w:r>
    </w:p>
    <w:p>
      <w:pPr>
        <w:spacing w:after="40"/>
        <w:ind w:left="454" w:hanging="454"/>
      </w:pPr>
      <w:r>
        <w:rPr>
          <w:b/>
          <w:color w:val="1F3864"/>
        </w:rPr>
        <w:t xml:space="preserve">(c)  </w:t>
      </w:r>
      <w:r>
        <w:rPr/>
        <w:t>Recompute the 1-day 99% VaR after adjusting for the mean return. Is the adjustment material?</w:t>
      </w:r>
    </w:p>
    <w:p>
      <w:pPr>
        <w:spacing w:after="40"/>
        <w:ind w:left="454" w:hanging="454"/>
      </w:pPr>
      <w:r>
        <w:rPr>
          <w:b/>
          <w:color w:val="1F3864"/>
        </w:rPr>
        <w:t xml:space="preserve">(d)  </w:t>
      </w:r>
      <w:r>
        <w:rPr/>
        <w:t>Explain in one sentence, for the Investment Committee, what the 1-day 99% VaR figure means.</w:t>
      </w:r>
    </w:p>
    <w:p>
      <w:pPr>
        <w:spacing w:before="160"/>
      </w:pPr>
      <w:r>
        <w:rPr>
          <w:color w:val="595959"/>
          <w:sz w:val="18"/>
        </w:rPr>
        <w:t>Space for workings  ________________________________________________________________</w:t>
      </w:r>
    </w:p>
    <w:p>
      <w:pPr>
        <w:pStyle w:val="Heading2"/>
      </w:pPr>
      <w:r>
        <w:t>Case 1.2  Diversification Benefit in a Two-Asset Portfolio</w:t>
      </w:r>
    </w:p>
    <w:p>
      <w:r>
        <w:rPr>
          <w:i/>
          <w:color w:val="1A7F8E"/>
          <w:sz w:val="18"/>
        </w:rPr>
        <w:t>Portfolio VaR | Correlation | Diversification</w:t>
      </w:r>
    </w:p>
    <w:p>
      <w:pPr>
        <w:keepNext/>
        <w:spacing w:before="160" w:after="60"/>
      </w:pPr>
      <w:r>
        <w:rPr>
          <w:b/>
          <w:color w:val="1A7F8E"/>
          <w:sz w:val="19"/>
        </w:rPr>
        <w:t>BACKGROUND</w:t>
      </w:r>
    </w:p>
    <w:p>
      <w:r>
        <w:rPr/>
        <w:t>A family office holds ₹60 crore in Indian equities and ₹40 crore in Gold ETFs. The patriarch believes gold is a “hedge” and wants to know how much risk the gold allocation actually removes.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Asset</w:t>
            </w:r>
          </w:p>
        </w:tc>
        <w:tc>
          <w:tcPr>
            <w:tcW w:type="dxa" w:w="2230"/>
            <w:shd w:val="clear" w:color="auto" w:fill="1F3864"/>
          </w:tcPr>
          <w:p>
            <w:pPr>
              <w:spacing w:after="20" w:before="20"/>
            </w:pPr>
            <w:r/>
            <w:r>
              <w:rPr>
                <w:b/>
                <w:color w:val="FFFFFF"/>
                <w:sz w:val="19"/>
              </w:rPr>
              <w:t>Value (₹ crore)</w:t>
            </w:r>
          </w:p>
        </w:tc>
        <w:tc>
          <w:tcPr>
            <w:tcW w:type="dxa" w:w="2230"/>
            <w:shd w:val="clear" w:color="auto" w:fill="1F3864"/>
          </w:tcPr>
          <w:p>
            <w:pPr>
              <w:spacing w:after="20" w:before="20"/>
            </w:pPr>
            <w:r/>
            <w:r>
              <w:rPr>
                <w:b/>
                <w:color w:val="FFFFFF"/>
                <w:sz w:val="19"/>
              </w:rPr>
              <w:t>Daily σ</w:t>
            </w:r>
          </w:p>
        </w:tc>
        <w:tc>
          <w:tcPr>
            <w:tcW w:type="dxa" w:w="2230"/>
            <w:shd w:val="clear" w:color="auto" w:fill="1F3864"/>
          </w:tcPr>
          <w:p>
            <w:pPr>
              <w:spacing w:after="20" w:before="20"/>
            </w:pPr>
            <w:r/>
            <w:r>
              <w:rPr>
                <w:b/>
                <w:color w:val="FFFFFF"/>
                <w:sz w:val="19"/>
              </w:rPr>
              <w:t>Correlation with equity</w:t>
            </w:r>
          </w:p>
        </w:tc>
      </w:tr>
      <w:tr>
        <w:tc>
          <w:tcPr>
            <w:tcW w:type="dxa" w:w="2948"/>
          </w:tcPr>
          <w:p>
            <w:pPr>
              <w:spacing w:after="20" w:before="20"/>
            </w:pPr>
            <w:r/>
            <w:r>
              <w:rPr>
                <w:b/>
                <w:sz w:val="19"/>
              </w:rPr>
              <w:t>Equity</w:t>
            </w:r>
          </w:p>
        </w:tc>
        <w:tc>
          <w:tcPr>
            <w:tcW w:type="dxa" w:w="2230"/>
          </w:tcPr>
          <w:p>
            <w:pPr>
              <w:spacing w:after="20" w:before="20"/>
              <w:jc w:val="center"/>
            </w:pPr>
            <w:r/>
            <w:r>
              <w:rPr>
                <w:sz w:val="19"/>
              </w:rPr>
              <w:t>60</w:t>
            </w:r>
          </w:p>
        </w:tc>
        <w:tc>
          <w:tcPr>
            <w:tcW w:type="dxa" w:w="2230"/>
          </w:tcPr>
          <w:p>
            <w:pPr>
              <w:spacing w:after="20" w:before="20"/>
              <w:jc w:val="center"/>
            </w:pPr>
            <w:r/>
            <w:r>
              <w:rPr>
                <w:sz w:val="19"/>
              </w:rPr>
              <w:t>1.40%</w:t>
            </w:r>
          </w:p>
        </w:tc>
        <w:tc>
          <w:tcPr>
            <w:tcW w:type="dxa" w:w="2230"/>
          </w:tcPr>
          <w:p>
            <w:pPr>
              <w:spacing w:after="20" w:before="20"/>
              <w:jc w:val="center"/>
            </w:pPr>
            <w:r/>
            <w:r>
              <w:rPr>
                <w:sz w:val="19"/>
              </w:rPr>
              <w:t>—</w:t>
            </w:r>
          </w:p>
        </w:tc>
      </w:tr>
      <w:tr>
        <w:tc>
          <w:tcPr>
            <w:tcW w:type="dxa" w:w="2948"/>
            <w:shd w:val="clear" w:color="auto" w:fill="F3F6FA"/>
          </w:tcPr>
          <w:p>
            <w:pPr>
              <w:spacing w:after="20" w:before="20"/>
            </w:pPr>
            <w:r/>
            <w:r>
              <w:rPr>
                <w:b/>
                <w:sz w:val="19"/>
              </w:rPr>
              <w:t>Gold ETF</w:t>
            </w:r>
          </w:p>
        </w:tc>
        <w:tc>
          <w:tcPr>
            <w:tcW w:type="dxa" w:w="2230"/>
            <w:shd w:val="clear" w:color="auto" w:fill="F3F6FA"/>
          </w:tcPr>
          <w:p>
            <w:pPr>
              <w:spacing w:after="20" w:before="20"/>
              <w:jc w:val="center"/>
            </w:pPr>
            <w:r/>
            <w:r>
              <w:rPr>
                <w:sz w:val="19"/>
              </w:rPr>
              <w:t>40</w:t>
            </w:r>
          </w:p>
        </w:tc>
        <w:tc>
          <w:tcPr>
            <w:tcW w:type="dxa" w:w="2230"/>
            <w:shd w:val="clear" w:color="auto" w:fill="F3F6FA"/>
          </w:tcPr>
          <w:p>
            <w:pPr>
              <w:spacing w:after="20" w:before="20"/>
              <w:jc w:val="center"/>
            </w:pPr>
            <w:r/>
            <w:r>
              <w:rPr>
                <w:sz w:val="19"/>
              </w:rPr>
              <w:t>0.90%</w:t>
            </w:r>
          </w:p>
        </w:tc>
        <w:tc>
          <w:tcPr>
            <w:tcW w:type="dxa" w:w="2230"/>
            <w:shd w:val="clear" w:color="auto" w:fill="F3F6FA"/>
          </w:tcPr>
          <w:p>
            <w:pPr>
              <w:spacing w:after="20" w:before="20"/>
              <w:jc w:val="center"/>
            </w:pPr>
            <w:r/>
            <w:r>
              <w:rPr>
                <w:sz w:val="19"/>
              </w:rPr>
              <w:t>−0.10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standalone 1-day 99% VaR of each asset.</w:t>
      </w:r>
    </w:p>
    <w:p>
      <w:pPr>
        <w:spacing w:after="40"/>
        <w:ind w:left="454" w:hanging="454"/>
      </w:pPr>
      <w:r>
        <w:rPr>
          <w:b/>
          <w:color w:val="1F3864"/>
        </w:rPr>
        <w:t xml:space="preserve">(b)  </w:t>
      </w:r>
      <w:r>
        <w:rPr/>
        <w:t>Compute the undiversified VaR and the diversified portfolio VaR.</w:t>
      </w:r>
    </w:p>
    <w:p>
      <w:pPr>
        <w:spacing w:after="40"/>
        <w:ind w:left="454" w:hanging="454"/>
      </w:pPr>
      <w:r>
        <w:rPr>
          <w:b/>
          <w:color w:val="1F3864"/>
        </w:rPr>
        <w:t xml:space="preserve">(c)  </w:t>
      </w:r>
      <w:r>
        <w:rPr/>
        <w:t>Quantify the diversification benefit in ₹ and as a % of undiversified VaR.</w:t>
      </w:r>
    </w:p>
    <w:p>
      <w:pPr>
        <w:spacing w:after="40"/>
        <w:ind w:left="454" w:hanging="454"/>
      </w:pPr>
      <w:r>
        <w:rPr>
          <w:b/>
          <w:color w:val="1F3864"/>
        </w:rPr>
        <w:t xml:space="preserve">(d)  </w:t>
      </w:r>
      <w:r>
        <w:rPr/>
        <w:t>Recompute portfolio VaR if correlation rises to +0.50 and to +1.00. What does this imply in a crisis?</w:t>
      </w:r>
    </w:p>
    <w:p>
      <w:pPr>
        <w:spacing w:before="160"/>
      </w:pPr>
      <w:r>
        <w:rPr>
          <w:color w:val="595959"/>
          <w:sz w:val="18"/>
        </w:rPr>
        <w:t>Space for workings  ________________________________________________________________</w:t>
      </w:r>
    </w:p>
    <w:p>
      <w:pPr>
        <w:pStyle w:val="Heading2"/>
      </w:pPr>
      <w:r>
        <w:t>Case 1.3  Historical Simulation VaR and Expected Shortfall</w:t>
      </w:r>
    </w:p>
    <w:p>
      <w:r>
        <w:rPr>
          <w:i/>
          <w:color w:val="1A7F8E"/>
          <w:sz w:val="18"/>
        </w:rPr>
        <w:t>Historical VaR | Expected Shortfall | Fat tails</w:t>
      </w:r>
    </w:p>
    <w:p>
      <w:pPr>
        <w:keepNext/>
        <w:spacing w:before="160" w:after="60"/>
      </w:pPr>
      <w:r>
        <w:rPr>
          <w:b/>
          <w:color w:val="1A7F8E"/>
          <w:sz w:val="19"/>
        </w:rPr>
        <w:t>BACKGROUND</w:t>
      </w:r>
    </w:p>
    <w:p>
      <w:r>
        <w:rPr/>
        <w:t>The market risk unit of Konark Bank re-priced its ₹80 crore equity trading book over the last 500 trading days. The 15 worst daily returns (sorted) are shown below. Bank policy uses the 5th worst observation as the 99% VaR (500 × 1% = 5) and the average of the worst 12 observations as the 97.5% ES (500 × 2.5% = 12.5, rounded down).</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c>
          <w:tcPr>
            <w:tcW w:type="dxa" w:w="133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c>
          <w:tcPr>
            <w:tcW w:type="dxa" w:w="133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r>
      <w:tr>
        <w:tc>
          <w:tcPr>
            <w:tcW w:type="dxa" w:w="2948"/>
          </w:tcPr>
          <w:p>
            <w:pPr>
              <w:spacing w:after="20" w:before="20"/>
            </w:pPr>
            <w:r/>
            <w:r>
              <w:rPr>
                <w:b/>
                <w:sz w:val="19"/>
              </w:rPr>
              <w:t>1</w:t>
            </w:r>
          </w:p>
        </w:tc>
        <w:tc>
          <w:tcPr>
            <w:tcW w:type="dxa" w:w="1338"/>
          </w:tcPr>
          <w:p>
            <w:pPr>
              <w:spacing w:after="20" w:before="20"/>
              <w:jc w:val="center"/>
            </w:pPr>
            <w:r/>
            <w:r>
              <w:rPr>
                <w:sz w:val="19"/>
              </w:rPr>
              <w:t>-6.85%</w:t>
            </w:r>
          </w:p>
        </w:tc>
        <w:tc>
          <w:tcPr>
            <w:tcW w:type="dxa" w:w="1338"/>
          </w:tcPr>
          <w:p>
            <w:pPr>
              <w:spacing w:after="20" w:before="20"/>
              <w:jc w:val="center"/>
            </w:pPr>
            <w:r/>
            <w:r>
              <w:rPr>
                <w:sz w:val="19"/>
              </w:rPr>
              <w:t>6</w:t>
            </w:r>
          </w:p>
        </w:tc>
        <w:tc>
          <w:tcPr>
            <w:tcW w:type="dxa" w:w="1338"/>
          </w:tcPr>
          <w:p>
            <w:pPr>
              <w:spacing w:after="20" w:before="20"/>
              <w:jc w:val="center"/>
            </w:pPr>
            <w:r/>
            <w:r>
              <w:rPr>
                <w:sz w:val="19"/>
              </w:rPr>
              <w:t>-4.05%</w:t>
            </w:r>
          </w:p>
        </w:tc>
        <w:tc>
          <w:tcPr>
            <w:tcW w:type="dxa" w:w="1338"/>
          </w:tcPr>
          <w:p>
            <w:pPr>
              <w:spacing w:after="20" w:before="20"/>
              <w:jc w:val="center"/>
            </w:pPr>
            <w:r/>
            <w:r>
              <w:rPr>
                <w:sz w:val="19"/>
              </w:rPr>
              <w:t>11</w:t>
            </w:r>
          </w:p>
        </w:tc>
        <w:tc>
          <w:tcPr>
            <w:tcW w:type="dxa" w:w="1338"/>
          </w:tcPr>
          <w:p>
            <w:pPr>
              <w:spacing w:after="20" w:before="20"/>
              <w:jc w:val="center"/>
            </w:pPr>
            <w:r/>
            <w:r>
              <w:rPr>
                <w:sz w:val="19"/>
              </w:rPr>
              <w:t>-3.20%</w:t>
            </w:r>
          </w:p>
        </w:tc>
      </w:tr>
      <w:tr>
        <w:tc>
          <w:tcPr>
            <w:tcW w:type="dxa" w:w="2948"/>
            <w:shd w:val="clear" w:color="auto" w:fill="F3F6FA"/>
          </w:tcPr>
          <w:p>
            <w:pPr>
              <w:spacing w:after="20" w:before="20"/>
            </w:pPr>
            <w:r/>
            <w:r>
              <w:rPr>
                <w:b/>
                <w:sz w:val="19"/>
              </w:rPr>
              <w:t>2</w:t>
            </w:r>
          </w:p>
        </w:tc>
        <w:tc>
          <w:tcPr>
            <w:tcW w:type="dxa" w:w="1338"/>
            <w:shd w:val="clear" w:color="auto" w:fill="F3F6FA"/>
          </w:tcPr>
          <w:p>
            <w:pPr>
              <w:spacing w:after="20" w:before="20"/>
              <w:jc w:val="center"/>
            </w:pPr>
            <w:r/>
            <w:r>
              <w:rPr>
                <w:sz w:val="19"/>
              </w:rPr>
              <w:t>-5.92%</w:t>
            </w:r>
          </w:p>
        </w:tc>
        <w:tc>
          <w:tcPr>
            <w:tcW w:type="dxa" w:w="1338"/>
            <w:shd w:val="clear" w:color="auto" w:fill="F3F6FA"/>
          </w:tcPr>
          <w:p>
            <w:pPr>
              <w:spacing w:after="20" w:before="20"/>
              <w:jc w:val="center"/>
            </w:pPr>
            <w:r/>
            <w:r>
              <w:rPr>
                <w:sz w:val="19"/>
              </w:rPr>
              <w:t>7</w:t>
            </w:r>
          </w:p>
        </w:tc>
        <w:tc>
          <w:tcPr>
            <w:tcW w:type="dxa" w:w="1338"/>
            <w:shd w:val="clear" w:color="auto" w:fill="F3F6FA"/>
          </w:tcPr>
          <w:p>
            <w:pPr>
              <w:spacing w:after="20" w:before="20"/>
              <w:jc w:val="center"/>
            </w:pPr>
            <w:r/>
            <w:r>
              <w:rPr>
                <w:sz w:val="19"/>
              </w:rPr>
              <w:t>-3.88%</w:t>
            </w:r>
          </w:p>
        </w:tc>
        <w:tc>
          <w:tcPr>
            <w:tcW w:type="dxa" w:w="1338"/>
            <w:shd w:val="clear" w:color="auto" w:fill="F3F6FA"/>
          </w:tcPr>
          <w:p>
            <w:pPr>
              <w:spacing w:after="20" w:before="20"/>
              <w:jc w:val="center"/>
            </w:pPr>
            <w:r/>
            <w:r>
              <w:rPr>
                <w:sz w:val="19"/>
              </w:rPr>
              <w:t>12</w:t>
            </w:r>
          </w:p>
        </w:tc>
        <w:tc>
          <w:tcPr>
            <w:tcW w:type="dxa" w:w="1338"/>
            <w:shd w:val="clear" w:color="auto" w:fill="F3F6FA"/>
          </w:tcPr>
          <w:p>
            <w:pPr>
              <w:spacing w:after="20" w:before="20"/>
              <w:jc w:val="center"/>
            </w:pPr>
            <w:r/>
            <w:r>
              <w:rPr>
                <w:sz w:val="19"/>
              </w:rPr>
              <w:t>-3.12%</w:t>
            </w:r>
          </w:p>
        </w:tc>
      </w:tr>
      <w:tr>
        <w:tc>
          <w:tcPr>
            <w:tcW w:type="dxa" w:w="2948"/>
          </w:tcPr>
          <w:p>
            <w:pPr>
              <w:spacing w:after="20" w:before="20"/>
            </w:pPr>
            <w:r/>
            <w:r>
              <w:rPr>
                <w:b/>
                <w:sz w:val="19"/>
              </w:rPr>
              <w:t>3</w:t>
            </w:r>
          </w:p>
        </w:tc>
        <w:tc>
          <w:tcPr>
            <w:tcW w:type="dxa" w:w="1338"/>
          </w:tcPr>
          <w:p>
            <w:pPr>
              <w:spacing w:after="20" w:before="20"/>
              <w:jc w:val="center"/>
            </w:pPr>
            <w:r/>
            <w:r>
              <w:rPr>
                <w:sz w:val="19"/>
              </w:rPr>
              <w:t>-5.10%</w:t>
            </w:r>
          </w:p>
        </w:tc>
        <w:tc>
          <w:tcPr>
            <w:tcW w:type="dxa" w:w="1338"/>
          </w:tcPr>
          <w:p>
            <w:pPr>
              <w:spacing w:after="20" w:before="20"/>
              <w:jc w:val="center"/>
            </w:pPr>
            <w:r/>
            <w:r>
              <w:rPr>
                <w:sz w:val="19"/>
              </w:rPr>
              <w:t>8</w:t>
            </w:r>
          </w:p>
        </w:tc>
        <w:tc>
          <w:tcPr>
            <w:tcW w:type="dxa" w:w="1338"/>
          </w:tcPr>
          <w:p>
            <w:pPr>
              <w:spacing w:after="20" w:before="20"/>
              <w:jc w:val="center"/>
            </w:pPr>
            <w:r/>
            <w:r>
              <w:rPr>
                <w:sz w:val="19"/>
              </w:rPr>
              <w:t>-3.62%</w:t>
            </w:r>
          </w:p>
        </w:tc>
        <w:tc>
          <w:tcPr>
            <w:tcW w:type="dxa" w:w="1338"/>
          </w:tcPr>
          <w:p>
            <w:pPr>
              <w:spacing w:after="20" w:before="20"/>
              <w:jc w:val="center"/>
            </w:pPr>
            <w:r/>
            <w:r>
              <w:rPr>
                <w:sz w:val="19"/>
              </w:rPr>
              <w:t>13</w:t>
            </w:r>
          </w:p>
        </w:tc>
        <w:tc>
          <w:tcPr>
            <w:tcW w:type="dxa" w:w="1338"/>
          </w:tcPr>
          <w:p>
            <w:pPr>
              <w:spacing w:after="20" w:before="20"/>
              <w:jc w:val="center"/>
            </w:pPr>
            <w:r/>
            <w:r>
              <w:rPr>
                <w:sz w:val="19"/>
              </w:rPr>
              <w:t>-3.02%</w:t>
            </w:r>
          </w:p>
        </w:tc>
      </w:tr>
      <w:tr>
        <w:tc>
          <w:tcPr>
            <w:tcW w:type="dxa" w:w="2948"/>
            <w:shd w:val="clear" w:color="auto" w:fill="F3F6FA"/>
          </w:tcPr>
          <w:p>
            <w:pPr>
              <w:spacing w:after="20" w:before="20"/>
            </w:pPr>
            <w:r/>
            <w:r>
              <w:rPr>
                <w:b/>
                <w:sz w:val="19"/>
              </w:rPr>
              <w:t>4</w:t>
            </w:r>
          </w:p>
        </w:tc>
        <w:tc>
          <w:tcPr>
            <w:tcW w:type="dxa" w:w="1338"/>
            <w:shd w:val="clear" w:color="auto" w:fill="F3F6FA"/>
          </w:tcPr>
          <w:p>
            <w:pPr>
              <w:spacing w:after="20" w:before="20"/>
              <w:jc w:val="center"/>
            </w:pPr>
            <w:r/>
            <w:r>
              <w:rPr>
                <w:sz w:val="19"/>
              </w:rPr>
              <w:t>-4.78%</w:t>
            </w:r>
          </w:p>
        </w:tc>
        <w:tc>
          <w:tcPr>
            <w:tcW w:type="dxa" w:w="1338"/>
            <w:shd w:val="clear" w:color="auto" w:fill="F3F6FA"/>
          </w:tcPr>
          <w:p>
            <w:pPr>
              <w:spacing w:after="20" w:before="20"/>
              <w:jc w:val="center"/>
            </w:pPr>
            <w:r/>
            <w:r>
              <w:rPr>
                <w:sz w:val="19"/>
              </w:rPr>
              <w:t>9</w:t>
            </w:r>
          </w:p>
        </w:tc>
        <w:tc>
          <w:tcPr>
            <w:tcW w:type="dxa" w:w="1338"/>
            <w:shd w:val="clear" w:color="auto" w:fill="F3F6FA"/>
          </w:tcPr>
          <w:p>
            <w:pPr>
              <w:spacing w:after="20" w:before="20"/>
              <w:jc w:val="center"/>
            </w:pPr>
            <w:r/>
            <w:r>
              <w:rPr>
                <w:sz w:val="19"/>
              </w:rPr>
              <w:t>-3.45%</w:t>
            </w:r>
          </w:p>
        </w:tc>
        <w:tc>
          <w:tcPr>
            <w:tcW w:type="dxa" w:w="1338"/>
            <w:shd w:val="clear" w:color="auto" w:fill="F3F6FA"/>
          </w:tcPr>
          <w:p>
            <w:pPr>
              <w:spacing w:after="20" w:before="20"/>
              <w:jc w:val="center"/>
            </w:pPr>
            <w:r/>
            <w:r>
              <w:rPr>
                <w:sz w:val="19"/>
              </w:rPr>
              <w:t>14</w:t>
            </w:r>
          </w:p>
        </w:tc>
        <w:tc>
          <w:tcPr>
            <w:tcW w:type="dxa" w:w="1338"/>
            <w:shd w:val="clear" w:color="auto" w:fill="F3F6FA"/>
          </w:tcPr>
          <w:p>
            <w:pPr>
              <w:spacing w:after="20" w:before="20"/>
              <w:jc w:val="center"/>
            </w:pPr>
            <w:r/>
            <w:r>
              <w:rPr>
                <w:sz w:val="19"/>
              </w:rPr>
              <w:t>-2.95%</w:t>
            </w:r>
          </w:p>
        </w:tc>
      </w:tr>
      <w:tr>
        <w:tc>
          <w:tcPr>
            <w:tcW w:type="dxa" w:w="2948"/>
          </w:tcPr>
          <w:p>
            <w:pPr>
              <w:spacing w:after="20" w:before="20"/>
            </w:pPr>
            <w:r/>
            <w:r>
              <w:rPr>
                <w:b/>
                <w:sz w:val="19"/>
              </w:rPr>
              <w:t>5</w:t>
            </w:r>
          </w:p>
        </w:tc>
        <w:tc>
          <w:tcPr>
            <w:tcW w:type="dxa" w:w="1338"/>
          </w:tcPr>
          <w:p>
            <w:pPr>
              <w:spacing w:after="20" w:before="20"/>
              <w:jc w:val="center"/>
            </w:pPr>
            <w:r/>
            <w:r>
              <w:rPr>
                <w:sz w:val="19"/>
              </w:rPr>
              <w:t>-4.41%</w:t>
            </w:r>
          </w:p>
        </w:tc>
        <w:tc>
          <w:tcPr>
            <w:tcW w:type="dxa" w:w="1338"/>
          </w:tcPr>
          <w:p>
            <w:pPr>
              <w:spacing w:after="20" w:before="20"/>
              <w:jc w:val="center"/>
            </w:pPr>
            <w:r/>
            <w:r>
              <w:rPr>
                <w:sz w:val="19"/>
              </w:rPr>
              <w:t>10</w:t>
            </w:r>
          </w:p>
        </w:tc>
        <w:tc>
          <w:tcPr>
            <w:tcW w:type="dxa" w:w="1338"/>
          </w:tcPr>
          <w:p>
            <w:pPr>
              <w:spacing w:after="20" w:before="20"/>
              <w:jc w:val="center"/>
            </w:pPr>
            <w:r/>
            <w:r>
              <w:rPr>
                <w:sz w:val="19"/>
              </w:rPr>
              <w:t>-3.31%</w:t>
            </w:r>
          </w:p>
        </w:tc>
        <w:tc>
          <w:tcPr>
            <w:tcW w:type="dxa" w:w="1338"/>
          </w:tcPr>
          <w:p>
            <w:pPr>
              <w:spacing w:after="20" w:before="20"/>
              <w:jc w:val="center"/>
            </w:pPr>
            <w:r/>
            <w:r>
              <w:rPr>
                <w:sz w:val="19"/>
              </w:rPr>
              <w:t>15</w:t>
            </w:r>
          </w:p>
        </w:tc>
        <w:tc>
          <w:tcPr>
            <w:tcW w:type="dxa" w:w="1338"/>
          </w:tcPr>
          <w:p>
            <w:pPr>
              <w:spacing w:after="20" w:before="20"/>
              <w:jc w:val="center"/>
            </w:pPr>
            <w:r/>
            <w:r>
              <w:rPr>
                <w:sz w:val="19"/>
              </w:rPr>
              <w:t>-2.88%</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1-day 99% historical VaR in % and ₹.</w:t>
      </w:r>
    </w:p>
    <w:p>
      <w:pPr>
        <w:spacing w:after="40"/>
        <w:ind w:left="454" w:hanging="454"/>
      </w:pPr>
      <w:r>
        <w:rPr>
          <w:b/>
          <w:color w:val="1F3864"/>
        </w:rPr>
        <w:t xml:space="preserve">(b)  </w:t>
      </w:r>
      <w:r>
        <w:rPr/>
        <w:t>Compute the 1-day 99% Expected Shortfall (average of the worst 5) and the 97.5% ES (average of the worst 12).</w:t>
      </w:r>
    </w:p>
    <w:p>
      <w:pPr>
        <w:spacing w:after="40"/>
        <w:ind w:left="454" w:hanging="454"/>
      </w:pPr>
      <w:r>
        <w:rPr>
          <w:b/>
          <w:color w:val="1F3864"/>
        </w:rPr>
        <w:t xml:space="preserve">(c)  </w:t>
      </w:r>
      <w:r>
        <w:rPr/>
        <w:t>If the book’s daily σ is 1.50%, compute 99% parametric VaR and compare it with the historical estimate.</w:t>
      </w:r>
    </w:p>
    <w:p>
      <w:pPr>
        <w:spacing w:after="40"/>
        <w:ind w:left="454" w:hanging="454"/>
      </w:pPr>
      <w:r>
        <w:rPr>
          <w:b/>
          <w:color w:val="1F3864"/>
        </w:rPr>
        <w:t xml:space="preserve">(d)  </w:t>
      </w:r>
      <w:r>
        <w:rPr>
          <w:b/>
          <w:color w:val="C9A227"/>
        </w:rPr>
        <w:t xml:space="preserve">Graph task: </w:t>
      </w:r>
      <w:r>
        <w:rPr/>
        <w:t>plot the 15 worst returns as a bar chart and mark the VaR cut-off.</w:t>
      </w:r>
    </w:p>
    <w:p>
      <w:pPr>
        <w:spacing w:after="40"/>
        <w:ind w:left="454" w:hanging="454"/>
      </w:pPr>
      <w:r>
        <w:rPr>
          <w:b/>
          <w:color w:val="1F3864"/>
        </w:rPr>
        <w:t xml:space="preserve">(e)  </w:t>
      </w:r>
      <w:r>
        <w:rPr/>
        <w:t>What does the gap between the two VaR numbers tell you about the return distribution?</w:t>
      </w:r>
    </w:p>
    <w:p>
      <w:pPr>
        <w:spacing w:before="160"/>
      </w:pPr>
      <w:r>
        <w:rPr>
          <w:color w:val="595959"/>
          <w:sz w:val="18"/>
        </w:rPr>
        <w:t>Space for workings  ________________________________________________________________</w:t>
      </w:r>
    </w:p>
    <w:p>
      <w:pPr>
        <w:pStyle w:val="Heading2"/>
      </w:pPr>
      <w:r>
        <w:t>Case 1.4  VaR Backtesting and the Basel Traffic-Light Test</w:t>
      </w:r>
    </w:p>
    <w:p>
      <w:r>
        <w:rPr>
          <w:i/>
          <w:color w:val="1A7F8E"/>
          <w:sz w:val="18"/>
        </w:rPr>
        <w:t>Backtesting | Exceptions | Capital multiplier</w:t>
      </w:r>
    </w:p>
    <w:p>
      <w:pPr>
        <w:keepNext/>
        <w:spacing w:before="160" w:after="60"/>
      </w:pPr>
      <w:r>
        <w:rPr>
          <w:b/>
          <w:color w:val="1A7F8E"/>
          <w:sz w:val="19"/>
        </w:rPr>
        <w:t>BACKGROUND</w:t>
      </w:r>
    </w:p>
    <w:p>
      <w:r>
        <w:rPr/>
        <w:t>Over the last 250 trading days, Deccan Bank’s 1-day 99% VaR model recorded 8 days on which the actual trading loss exceeded the predicted VaR. The average 10-day 99% VaR over the last 60 days is ₹15 crore. The Head of Market Risk must present the backtesting result to the Risk Management Committee of the Board.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Basel zone</w:t>
            </w:r>
          </w:p>
        </w:tc>
        <w:tc>
          <w:tcPr>
            <w:tcW w:type="dxa" w:w="3345"/>
            <w:shd w:val="clear" w:color="auto" w:fill="1F3864"/>
          </w:tcPr>
          <w:p>
            <w:pPr>
              <w:spacing w:after="20" w:before="20"/>
            </w:pPr>
            <w:r/>
            <w:r>
              <w:rPr>
                <w:b/>
                <w:color w:val="FFFFFF"/>
                <w:sz w:val="19"/>
              </w:rPr>
              <w:t>Exceptions (250 days)</w:t>
            </w:r>
          </w:p>
        </w:tc>
        <w:tc>
          <w:tcPr>
            <w:tcW w:type="dxa" w:w="3345"/>
            <w:shd w:val="clear" w:color="auto" w:fill="1F3864"/>
          </w:tcPr>
          <w:p>
            <w:pPr>
              <w:spacing w:after="20" w:before="20"/>
            </w:pPr>
            <w:r/>
            <w:r>
              <w:rPr>
                <w:b/>
                <w:color w:val="FFFFFF"/>
                <w:sz w:val="19"/>
              </w:rPr>
              <w:t>Plus factor</w:t>
            </w:r>
          </w:p>
        </w:tc>
      </w:tr>
      <w:tr>
        <w:tc>
          <w:tcPr>
            <w:tcW w:type="dxa" w:w="2948"/>
          </w:tcPr>
          <w:p>
            <w:pPr>
              <w:spacing w:after="20" w:before="20"/>
            </w:pPr>
            <w:r/>
            <w:r>
              <w:rPr>
                <w:b/>
                <w:sz w:val="19"/>
              </w:rPr>
              <w:t>Green</w:t>
            </w:r>
          </w:p>
        </w:tc>
        <w:tc>
          <w:tcPr>
            <w:tcW w:type="dxa" w:w="3345"/>
          </w:tcPr>
          <w:p>
            <w:pPr>
              <w:spacing w:after="20" w:before="20"/>
              <w:jc w:val="center"/>
            </w:pPr>
            <w:r/>
            <w:r>
              <w:rPr>
                <w:sz w:val="19"/>
              </w:rPr>
              <w:t>0–4</w:t>
            </w:r>
          </w:p>
        </w:tc>
        <w:tc>
          <w:tcPr>
            <w:tcW w:type="dxa" w:w="3345"/>
          </w:tcPr>
          <w:p>
            <w:pPr>
              <w:spacing w:after="20" w:before="20"/>
              <w:jc w:val="center"/>
            </w:pPr>
            <w:r/>
            <w:r>
              <w:rPr>
                <w:sz w:val="19"/>
              </w:rPr>
              <w:t>0.00</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5</w:t>
            </w:r>
          </w:p>
        </w:tc>
        <w:tc>
          <w:tcPr>
            <w:tcW w:type="dxa" w:w="3345"/>
            <w:shd w:val="clear" w:color="auto" w:fill="F3F6FA"/>
          </w:tcPr>
          <w:p>
            <w:pPr>
              <w:spacing w:after="20" w:before="20"/>
              <w:jc w:val="center"/>
            </w:pPr>
            <w:r/>
            <w:r>
              <w:rPr>
                <w:sz w:val="19"/>
              </w:rPr>
              <w:t>0.40</w:t>
            </w:r>
          </w:p>
        </w:tc>
      </w:tr>
      <w:tr>
        <w:tc>
          <w:tcPr>
            <w:tcW w:type="dxa" w:w="2948"/>
          </w:tcPr>
          <w:p>
            <w:pPr>
              <w:spacing w:after="20" w:before="20"/>
            </w:pPr>
            <w:r/>
            <w:r>
              <w:rPr>
                <w:b/>
                <w:sz w:val="19"/>
              </w:rPr>
              <w:t>Yellow</w:t>
            </w:r>
          </w:p>
        </w:tc>
        <w:tc>
          <w:tcPr>
            <w:tcW w:type="dxa" w:w="3345"/>
          </w:tcPr>
          <w:p>
            <w:pPr>
              <w:spacing w:after="20" w:before="20"/>
              <w:jc w:val="center"/>
            </w:pPr>
            <w:r/>
            <w:r>
              <w:rPr>
                <w:sz w:val="19"/>
              </w:rPr>
              <w:t>6</w:t>
            </w:r>
          </w:p>
        </w:tc>
        <w:tc>
          <w:tcPr>
            <w:tcW w:type="dxa" w:w="3345"/>
          </w:tcPr>
          <w:p>
            <w:pPr>
              <w:spacing w:after="20" w:before="20"/>
              <w:jc w:val="center"/>
            </w:pPr>
            <w:r/>
            <w:r>
              <w:rPr>
                <w:sz w:val="19"/>
              </w:rPr>
              <w:t>0.50</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7</w:t>
            </w:r>
          </w:p>
        </w:tc>
        <w:tc>
          <w:tcPr>
            <w:tcW w:type="dxa" w:w="3345"/>
            <w:shd w:val="clear" w:color="auto" w:fill="F3F6FA"/>
          </w:tcPr>
          <w:p>
            <w:pPr>
              <w:spacing w:after="20" w:before="20"/>
              <w:jc w:val="center"/>
            </w:pPr>
            <w:r/>
            <w:r>
              <w:rPr>
                <w:sz w:val="19"/>
              </w:rPr>
              <w:t>0.65</w:t>
            </w:r>
          </w:p>
        </w:tc>
      </w:tr>
      <w:tr>
        <w:tc>
          <w:tcPr>
            <w:tcW w:type="dxa" w:w="2948"/>
          </w:tcPr>
          <w:p>
            <w:pPr>
              <w:spacing w:after="20" w:before="20"/>
            </w:pPr>
            <w:r/>
            <w:r>
              <w:rPr>
                <w:b/>
                <w:sz w:val="19"/>
              </w:rPr>
              <w:t>Yellow</w:t>
            </w:r>
          </w:p>
        </w:tc>
        <w:tc>
          <w:tcPr>
            <w:tcW w:type="dxa" w:w="3345"/>
          </w:tcPr>
          <w:p>
            <w:pPr>
              <w:spacing w:after="20" w:before="20"/>
              <w:jc w:val="center"/>
            </w:pPr>
            <w:r/>
            <w:r>
              <w:rPr>
                <w:sz w:val="19"/>
              </w:rPr>
              <w:t>8</w:t>
            </w:r>
          </w:p>
        </w:tc>
        <w:tc>
          <w:tcPr>
            <w:tcW w:type="dxa" w:w="3345"/>
          </w:tcPr>
          <w:p>
            <w:pPr>
              <w:spacing w:after="20" w:before="20"/>
              <w:jc w:val="center"/>
            </w:pPr>
            <w:r/>
            <w:r>
              <w:rPr>
                <w:sz w:val="19"/>
              </w:rPr>
              <w:t>0.75</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9</w:t>
            </w:r>
          </w:p>
        </w:tc>
        <w:tc>
          <w:tcPr>
            <w:tcW w:type="dxa" w:w="3345"/>
            <w:shd w:val="clear" w:color="auto" w:fill="F3F6FA"/>
          </w:tcPr>
          <w:p>
            <w:pPr>
              <w:spacing w:after="20" w:before="20"/>
              <w:jc w:val="center"/>
            </w:pPr>
            <w:r/>
            <w:r>
              <w:rPr>
                <w:sz w:val="19"/>
              </w:rPr>
              <w:t>0.85</w:t>
            </w:r>
          </w:p>
        </w:tc>
      </w:tr>
      <w:tr>
        <w:tc>
          <w:tcPr>
            <w:tcW w:type="dxa" w:w="2948"/>
          </w:tcPr>
          <w:p>
            <w:pPr>
              <w:spacing w:after="20" w:before="20"/>
            </w:pPr>
            <w:r/>
            <w:r>
              <w:rPr>
                <w:b/>
                <w:sz w:val="19"/>
              </w:rPr>
              <w:t>Red</w:t>
            </w:r>
          </w:p>
        </w:tc>
        <w:tc>
          <w:tcPr>
            <w:tcW w:type="dxa" w:w="3345"/>
          </w:tcPr>
          <w:p>
            <w:pPr>
              <w:spacing w:after="20" w:before="20"/>
              <w:jc w:val="center"/>
            </w:pPr>
            <w:r/>
            <w:r>
              <w:rPr>
                <w:sz w:val="19"/>
              </w:rPr>
              <w:t>10 or more</w:t>
            </w:r>
          </w:p>
        </w:tc>
        <w:tc>
          <w:tcPr>
            <w:tcW w:type="dxa" w:w="3345"/>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How many exceptions would you expect for a correctly calibrated model?</w:t>
      </w:r>
    </w:p>
    <w:p>
      <w:pPr>
        <w:spacing w:after="40"/>
        <w:ind w:left="454" w:hanging="454"/>
      </w:pPr>
      <w:r>
        <w:rPr>
          <w:b/>
          <w:color w:val="1F3864"/>
        </w:rPr>
        <w:t xml:space="preserve">(b)  </w:t>
      </w:r>
      <w:r>
        <w:rPr/>
        <w:t>Using the binomial distribution, compute the probability of 8 or more exceptions if the model is correct.</w:t>
      </w:r>
    </w:p>
    <w:p>
      <w:pPr>
        <w:spacing w:after="40"/>
        <w:ind w:left="454" w:hanging="454"/>
      </w:pPr>
      <w:r>
        <w:rPr>
          <w:b/>
          <w:color w:val="1F3864"/>
        </w:rPr>
        <w:t xml:space="preserve">(c)  </w:t>
      </w:r>
      <w:r>
        <w:rPr/>
        <w:t>Identify the Basel zone and the capital multiplier.</w:t>
      </w:r>
    </w:p>
    <w:p>
      <w:pPr>
        <w:spacing w:after="40"/>
        <w:ind w:left="454" w:hanging="454"/>
      </w:pPr>
      <w:r>
        <w:rPr>
          <w:b/>
          <w:color w:val="1F3864"/>
        </w:rPr>
        <w:t xml:space="preserve">(d)  </w:t>
      </w:r>
      <w:r>
        <w:rPr/>
        <w:t>Compute the VaR-based capital charge (multiplier × average VaR) and the additional capital versus the green zone.</w:t>
      </w:r>
    </w:p>
    <w:p>
      <w:pPr>
        <w:spacing w:after="40"/>
        <w:ind w:left="454" w:hanging="454"/>
      </w:pPr>
      <w:r>
        <w:rPr>
          <w:b/>
          <w:color w:val="1F3864"/>
        </w:rPr>
        <w:t xml:space="preserve">(e)  </w:t>
      </w:r>
      <w:r>
        <w:rPr/>
        <w:t>Recommend two actions for the Risk Committee.</w:t>
      </w:r>
    </w:p>
    <w:p>
      <w:pPr>
        <w:spacing w:before="160"/>
      </w:pPr>
      <w:r>
        <w:rPr>
          <w:color w:val="595959"/>
          <w:sz w:val="18"/>
        </w:rPr>
        <w:t>Space for workings  ________________________________________________________________</w:t>
      </w:r>
    </w:p>
    <w:p>
      <w:pPr>
        <w:pStyle w:val="Heading2"/>
      </w:pPr>
      <w:r>
        <w:t>Case 1.5  Interest-Rate VaR on a Government Securities Portfolio</w:t>
      </w:r>
    </w:p>
    <w:p>
      <w:r>
        <w:rPr>
          <w:i/>
          <w:color w:val="1A7F8E"/>
          <w:sz w:val="18"/>
        </w:rPr>
        <w:t>Bond VaR | Modified duration | PV01</w:t>
      </w:r>
    </w:p>
    <w:p>
      <w:pPr>
        <w:keepNext/>
        <w:spacing w:before="160" w:after="60"/>
      </w:pPr>
      <w:r>
        <w:rPr>
          <w:b/>
          <w:color w:val="1A7F8E"/>
          <w:sz w:val="19"/>
        </w:rPr>
        <w:t>BACKGROUND</w:t>
      </w:r>
    </w:p>
    <w:p>
      <w:r>
        <w:rPr/>
        <w:t>A cooperative bank’s treasury holds ₹200 crore of Government securities in its AFS book with a portfolio modified duration of 6.5. Historical analysis shows the daily standard deviation of the 10-year G-sec yield change is 6 bps. The Board wants to know the rupee risk arising from yield movements.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Market value</w:t>
            </w:r>
          </w:p>
        </w:tc>
        <w:tc>
          <w:tcPr>
            <w:tcW w:type="dxa" w:w="5386"/>
          </w:tcPr>
          <w:p>
            <w:pPr>
              <w:spacing w:after="20" w:before="20"/>
              <w:jc w:val="center"/>
            </w:pPr>
            <w:r/>
            <w:r>
              <w:rPr>
                <w:sz w:val="19"/>
              </w:rPr>
              <w:t>₹200 crore</w:t>
            </w:r>
          </w:p>
        </w:tc>
      </w:tr>
      <w:tr>
        <w:tc>
          <w:tcPr>
            <w:tcW w:type="dxa" w:w="4252"/>
            <w:shd w:val="clear" w:color="auto" w:fill="F3F6FA"/>
          </w:tcPr>
          <w:p>
            <w:pPr>
              <w:spacing w:after="20" w:before="20"/>
            </w:pPr>
            <w:r/>
            <w:r>
              <w:rPr>
                <w:b/>
                <w:sz w:val="19"/>
              </w:rPr>
              <w:t>Modified duration</w:t>
            </w:r>
          </w:p>
        </w:tc>
        <w:tc>
          <w:tcPr>
            <w:tcW w:type="dxa" w:w="5386"/>
            <w:shd w:val="clear" w:color="auto" w:fill="F3F6FA"/>
          </w:tcPr>
          <w:p>
            <w:pPr>
              <w:spacing w:after="20" w:before="20"/>
              <w:jc w:val="center"/>
            </w:pPr>
            <w:r/>
            <w:r>
              <w:rPr>
                <w:sz w:val="19"/>
              </w:rPr>
              <w:t>6.5</w:t>
            </w:r>
          </w:p>
        </w:tc>
      </w:tr>
      <w:tr>
        <w:tc>
          <w:tcPr>
            <w:tcW w:type="dxa" w:w="4252"/>
          </w:tcPr>
          <w:p>
            <w:pPr>
              <w:spacing w:after="20" w:before="20"/>
            </w:pPr>
            <w:r/>
            <w:r>
              <w:rPr>
                <w:b/>
                <w:sz w:val="19"/>
              </w:rPr>
              <w:t>Daily σ of yield change</w:t>
            </w:r>
          </w:p>
        </w:tc>
        <w:tc>
          <w:tcPr>
            <w:tcW w:type="dxa" w:w="5386"/>
          </w:tcPr>
          <w:p>
            <w:pPr>
              <w:spacing w:after="20" w:before="20"/>
              <w:jc w:val="center"/>
            </w:pPr>
            <w:r/>
            <w:r>
              <w:rPr>
                <w:sz w:val="19"/>
              </w:rPr>
              <w:t>6 bps (0.06%)</w:t>
            </w:r>
          </w:p>
        </w:tc>
      </w:tr>
      <w:tr>
        <w:tc>
          <w:tcPr>
            <w:tcW w:type="dxa" w:w="4252"/>
            <w:shd w:val="clear" w:color="auto" w:fill="F3F6FA"/>
          </w:tcPr>
          <w:p>
            <w:pPr>
              <w:spacing w:after="20" w:before="20"/>
            </w:pPr>
            <w:r/>
            <w:r>
              <w:rPr>
                <w:b/>
                <w:sz w:val="19"/>
              </w:rPr>
              <w:t>Confidence</w:t>
            </w:r>
          </w:p>
        </w:tc>
        <w:tc>
          <w:tcPr>
            <w:tcW w:type="dxa" w:w="5386"/>
            <w:shd w:val="clear" w:color="auto" w:fill="F3F6FA"/>
          </w:tcPr>
          <w:p>
            <w:pPr>
              <w:spacing w:after="20" w:before="20"/>
              <w:jc w:val="center"/>
            </w:pPr>
            <w:r/>
            <w:r>
              <w:rPr>
                <w:sz w:val="19"/>
              </w:rPr>
              <w:t>99%</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portfolio PV01 (value change for a 1 bp move).</w:t>
      </w:r>
    </w:p>
    <w:p>
      <w:pPr>
        <w:spacing w:after="40"/>
        <w:ind w:left="454" w:hanging="454"/>
      </w:pPr>
      <w:r>
        <w:rPr>
          <w:b/>
          <w:color w:val="1F3864"/>
        </w:rPr>
        <w:t xml:space="preserve">(b)  </w:t>
      </w:r>
      <w:r>
        <w:rPr/>
        <w:t>Compute the 1-day and 10-day 99% VaR.</w:t>
      </w:r>
    </w:p>
    <w:p>
      <w:pPr>
        <w:spacing w:after="40"/>
        <w:ind w:left="454" w:hanging="454"/>
      </w:pPr>
      <w:r>
        <w:rPr>
          <w:b/>
          <w:color w:val="1F3864"/>
        </w:rPr>
        <w:t xml:space="preserve">(c)  </w:t>
      </w:r>
      <w:r>
        <w:rPr/>
        <w:t>Express the 1-day VaR as an equivalent adverse yield move in bps.</w:t>
      </w:r>
    </w:p>
    <w:p>
      <w:pPr>
        <w:spacing w:after="40"/>
        <w:ind w:left="454" w:hanging="454"/>
      </w:pPr>
      <w:r>
        <w:rPr>
          <w:b/>
          <w:color w:val="1F3864"/>
        </w:rPr>
        <w:t xml:space="preserve">(d)  </w:t>
      </w:r>
      <w:r>
        <w:rPr/>
        <w:t>State two limitations of using modified duration for VaR.</w:t>
      </w:r>
    </w:p>
    <w:p>
      <w:pPr>
        <w:spacing w:before="160"/>
      </w:pPr>
      <w:r>
        <w:rPr>
          <w:color w:val="595959"/>
          <w:sz w:val="18"/>
        </w:rPr>
        <w:t>Space for workings  ________________________________________________________________</w:t>
      </w:r>
    </w:p>
    <w:p>
      <w:pPr>
        <w:pStyle w:val="Heading2"/>
      </w:pPr>
      <w:r>
        <w:t>Case 1.6  FX VaR for an Importer’s USD Payable</w:t>
      </w:r>
    </w:p>
    <w:p>
      <w:r>
        <w:rPr>
          <w:i/>
          <w:color w:val="1A7F8E"/>
          <w:sz w:val="18"/>
        </w:rPr>
        <w:t>Currency risk | Corporate VaR | Hedge decision</w:t>
      </w:r>
    </w:p>
    <w:p>
      <w:pPr>
        <w:keepNext/>
        <w:spacing w:before="160" w:after="60"/>
      </w:pPr>
      <w:r>
        <w:rPr>
          <w:b/>
          <w:color w:val="1A7F8E"/>
          <w:sz w:val="19"/>
        </w:rPr>
        <w:t>BACKGROUND</w:t>
      </w:r>
    </w:p>
    <w:p>
      <w:r>
        <w:rPr/>
        <w:t>Bharat Electronics Components Ltd. (an unlisted importer) has a USD 10 million payable due in 10 trading days. Spot USD/INR is 84.00 and the daily volatility of USD/INR is 0.35%. The CFO wants to know the rupee risk at 95% confidence and the impact of hedging 70% of the exposure with a forward contract.</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w:t>
            </w:r>
          </w:p>
        </w:tc>
        <w:tc>
          <w:tcPr>
            <w:tcW w:type="dxa" w:w="5386"/>
          </w:tcPr>
          <w:p>
            <w:pPr>
              <w:spacing w:after="20" w:before="20"/>
              <w:jc w:val="center"/>
            </w:pPr>
            <w:r/>
            <w:r>
              <w:rPr>
                <w:sz w:val="19"/>
              </w:rPr>
              <w:t>USD 10 million (payable)</w:t>
            </w:r>
          </w:p>
        </w:tc>
      </w:tr>
      <w:tr>
        <w:tc>
          <w:tcPr>
            <w:tcW w:type="dxa" w:w="4252"/>
            <w:shd w:val="clear" w:color="auto" w:fill="F3F6FA"/>
          </w:tcPr>
          <w:p>
            <w:pPr>
              <w:spacing w:after="20" w:before="20"/>
            </w:pPr>
            <w:r/>
            <w:r>
              <w:rPr>
                <w:b/>
                <w:sz w:val="19"/>
              </w:rPr>
              <w:t>Spot USD/INR</w:t>
            </w:r>
          </w:p>
        </w:tc>
        <w:tc>
          <w:tcPr>
            <w:tcW w:type="dxa" w:w="5386"/>
            <w:shd w:val="clear" w:color="auto" w:fill="F3F6FA"/>
          </w:tcPr>
          <w:p>
            <w:pPr>
              <w:spacing w:after="20" w:before="20"/>
              <w:jc w:val="center"/>
            </w:pPr>
            <w:r/>
            <w:r>
              <w:rPr>
                <w:sz w:val="19"/>
              </w:rPr>
              <w:t>84.00</w:t>
            </w:r>
          </w:p>
        </w:tc>
      </w:tr>
      <w:tr>
        <w:tc>
          <w:tcPr>
            <w:tcW w:type="dxa" w:w="4252"/>
          </w:tcPr>
          <w:p>
            <w:pPr>
              <w:spacing w:after="20" w:before="20"/>
            </w:pPr>
            <w:r/>
            <w:r>
              <w:rPr>
                <w:b/>
                <w:sz w:val="19"/>
              </w:rPr>
              <w:t>Daily σ</w:t>
            </w:r>
          </w:p>
        </w:tc>
        <w:tc>
          <w:tcPr>
            <w:tcW w:type="dxa" w:w="5386"/>
          </w:tcPr>
          <w:p>
            <w:pPr>
              <w:spacing w:after="20" w:before="20"/>
              <w:jc w:val="center"/>
            </w:pPr>
            <w:r/>
            <w:r>
              <w:rPr>
                <w:sz w:val="19"/>
              </w:rPr>
              <w:t>0.35%</w:t>
            </w:r>
          </w:p>
        </w:tc>
      </w:tr>
      <w:tr>
        <w:tc>
          <w:tcPr>
            <w:tcW w:type="dxa" w:w="4252"/>
            <w:shd w:val="clear" w:color="auto" w:fill="F3F6FA"/>
          </w:tcPr>
          <w:p>
            <w:pPr>
              <w:spacing w:after="20" w:before="20"/>
            </w:pPr>
            <w:r/>
            <w:r>
              <w:rPr>
                <w:b/>
                <w:sz w:val="19"/>
              </w:rPr>
              <w:t>Horizon</w:t>
            </w:r>
          </w:p>
        </w:tc>
        <w:tc>
          <w:tcPr>
            <w:tcW w:type="dxa" w:w="5386"/>
            <w:shd w:val="clear" w:color="auto" w:fill="F3F6FA"/>
          </w:tcPr>
          <w:p>
            <w:pPr>
              <w:spacing w:after="20" w:before="20"/>
              <w:jc w:val="center"/>
            </w:pPr>
            <w:r/>
            <w:r>
              <w:rPr>
                <w:sz w:val="19"/>
              </w:rPr>
              <w:t>10 trading days</w:t>
            </w:r>
          </w:p>
        </w:tc>
      </w:tr>
      <w:tr>
        <w:tc>
          <w:tcPr>
            <w:tcW w:type="dxa" w:w="4252"/>
          </w:tcPr>
          <w:p>
            <w:pPr>
              <w:spacing w:after="20" w:before="20"/>
            </w:pPr>
            <w:r/>
            <w:r>
              <w:rPr>
                <w:b/>
                <w:sz w:val="19"/>
              </w:rPr>
              <w:t>Confidence</w:t>
            </w:r>
          </w:p>
        </w:tc>
        <w:tc>
          <w:tcPr>
            <w:tcW w:type="dxa" w:w="5386"/>
          </w:tcPr>
          <w:p>
            <w:pPr>
              <w:spacing w:after="20" w:before="20"/>
              <w:jc w:val="center"/>
            </w:pPr>
            <w:r/>
            <w:r>
              <w:rPr>
                <w:sz w:val="19"/>
              </w:rPr>
              <w:t>95% (z = 1.645)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INR value of the exposure.</w:t>
      </w:r>
    </w:p>
    <w:p>
      <w:pPr>
        <w:spacing w:after="40"/>
        <w:ind w:left="454" w:hanging="454"/>
      </w:pPr>
      <w:r>
        <w:rPr>
          <w:b/>
          <w:color w:val="1F3864"/>
        </w:rPr>
        <w:t xml:space="preserve">(b)  </w:t>
      </w:r>
      <w:r>
        <w:rPr/>
        <w:t>Compute the 1-day and 10-day 95% VaR in INR.</w:t>
      </w:r>
    </w:p>
    <w:p>
      <w:pPr>
        <w:spacing w:after="40"/>
        <w:ind w:left="454" w:hanging="454"/>
      </w:pPr>
      <w:r>
        <w:rPr>
          <w:b/>
          <w:color w:val="1F3864"/>
        </w:rPr>
        <w:t xml:space="preserve">(c)  </w:t>
      </w:r>
      <w:r>
        <w:rPr/>
        <w:t>Compute the residual 10-day VaR after hedging 70% with forwards.</w:t>
      </w:r>
    </w:p>
    <w:p>
      <w:pPr>
        <w:spacing w:after="40"/>
        <w:ind w:left="454" w:hanging="454"/>
      </w:pPr>
      <w:r>
        <w:rPr>
          <w:b/>
          <w:color w:val="1F3864"/>
        </w:rPr>
        <w:t xml:space="preserve">(d)  </w:t>
      </w:r>
      <w:r>
        <w:rPr/>
        <w:t>For an importer, which direction of the rupee creates the loss? Explain.</w:t>
      </w:r>
    </w:p>
    <w:p>
      <w:pPr>
        <w:spacing w:before="160"/>
      </w:pPr>
      <w:r>
        <w:rPr>
          <w:color w:val="595959"/>
          <w:sz w:val="18"/>
        </w:rPr>
        <w:t>Space for workings  ________________________________________________________________</w:t>
      </w:r>
    </w:p>
    <w:p>
      <w:pPr>
        <w:pStyle w:val="Heading2"/>
      </w:pPr>
      <w:r>
        <w:t>Case 1.7  VaR versus Expected Shortfall under FRTB</w:t>
      </w:r>
    </w:p>
    <w:p>
      <w:r>
        <w:rPr>
          <w:i/>
          <w:color w:val="1A7F8E"/>
          <w:sz w:val="18"/>
        </w:rPr>
        <w:t>Expected Shortfall | Coherence | Regulation</w:t>
      </w:r>
    </w:p>
    <w:p>
      <w:pPr>
        <w:keepNext/>
        <w:spacing w:before="160" w:after="60"/>
      </w:pPr>
      <w:r>
        <w:rPr>
          <w:b/>
          <w:color w:val="1A7F8E"/>
          <w:sz w:val="19"/>
        </w:rPr>
        <w:t>BACKGROUND</w:t>
      </w:r>
    </w:p>
    <w:p>
      <w:r>
        <w:rPr/>
        <w:t>A private bank’s ₹100 crore trading portfolio has a daily σ of 1.50%. The bank is preparing for the Basel FRTB transition, which replaces 99% VaR with 97.5% Expected Shortfall. The Board asks whether the change will increase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w:t>
            </w:r>
          </w:p>
        </w:tc>
        <w:tc>
          <w:tcPr>
            <w:tcW w:type="dxa" w:w="5386"/>
          </w:tcPr>
          <w:p>
            <w:pPr>
              <w:spacing w:after="20" w:before="20"/>
              <w:jc w:val="center"/>
            </w:pPr>
            <w:r/>
            <w:r>
              <w:rPr>
                <w:sz w:val="19"/>
              </w:rPr>
              <w:t>₹100 crore</w:t>
            </w:r>
          </w:p>
        </w:tc>
      </w:tr>
      <w:tr>
        <w:tc>
          <w:tcPr>
            <w:tcW w:type="dxa" w:w="4252"/>
            <w:shd w:val="clear" w:color="auto" w:fill="F3F6FA"/>
          </w:tcPr>
          <w:p>
            <w:pPr>
              <w:spacing w:after="20" w:before="20"/>
            </w:pPr>
            <w:r/>
            <w:r>
              <w:rPr>
                <w:b/>
                <w:sz w:val="19"/>
              </w:rPr>
              <w:t>Daily σ</w:t>
            </w:r>
          </w:p>
        </w:tc>
        <w:tc>
          <w:tcPr>
            <w:tcW w:type="dxa" w:w="5386"/>
            <w:shd w:val="clear" w:color="auto" w:fill="F3F6FA"/>
          </w:tcPr>
          <w:p>
            <w:pPr>
              <w:spacing w:after="20" w:before="20"/>
              <w:jc w:val="center"/>
            </w:pPr>
            <w:r/>
            <w:r>
              <w:rPr>
                <w:sz w:val="19"/>
              </w:rPr>
              <w:t>1.50%</w:t>
            </w:r>
          </w:p>
        </w:tc>
      </w:tr>
      <w:tr>
        <w:tc>
          <w:tcPr>
            <w:tcW w:type="dxa" w:w="4252"/>
          </w:tcPr>
          <w:p>
            <w:pPr>
              <w:spacing w:after="20" w:before="20"/>
            </w:pPr>
            <w:r/>
            <w:r>
              <w:rPr>
                <w:b/>
                <w:sz w:val="19"/>
              </w:rPr>
              <w:t>φ(2.326)</w:t>
            </w:r>
          </w:p>
        </w:tc>
        <w:tc>
          <w:tcPr>
            <w:tcW w:type="dxa" w:w="5386"/>
          </w:tcPr>
          <w:p>
            <w:pPr>
              <w:spacing w:after="20" w:before="20"/>
              <w:jc w:val="center"/>
            </w:pPr>
            <w:r/>
            <w:r>
              <w:rPr>
                <w:sz w:val="19"/>
              </w:rPr>
              <w:t>0.02665</w:t>
            </w:r>
          </w:p>
        </w:tc>
      </w:tr>
      <w:tr>
        <w:tc>
          <w:tcPr>
            <w:tcW w:type="dxa" w:w="4252"/>
            <w:shd w:val="clear" w:color="auto" w:fill="F3F6FA"/>
          </w:tcPr>
          <w:p>
            <w:pPr>
              <w:spacing w:after="20" w:before="20"/>
            </w:pPr>
            <w:r/>
            <w:r>
              <w:rPr>
                <w:b/>
                <w:sz w:val="19"/>
              </w:rPr>
              <w:t>φ(1.960)</w:t>
            </w:r>
          </w:p>
        </w:tc>
        <w:tc>
          <w:tcPr>
            <w:tcW w:type="dxa" w:w="5386"/>
            <w:shd w:val="clear" w:color="auto" w:fill="F3F6FA"/>
          </w:tcPr>
          <w:p>
            <w:pPr>
              <w:spacing w:after="20" w:before="20"/>
              <w:jc w:val="center"/>
            </w:pPr>
            <w:r/>
            <w:r>
              <w:rPr>
                <w:sz w:val="19"/>
              </w:rPr>
              <w:t>0.05845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1-day VaR at 97.5% and 99%.</w:t>
      </w:r>
    </w:p>
    <w:p>
      <w:pPr>
        <w:spacing w:after="40"/>
        <w:ind w:left="454" w:hanging="454"/>
      </w:pPr>
      <w:r>
        <w:rPr>
          <w:b/>
          <w:color w:val="1F3864"/>
        </w:rPr>
        <w:t xml:space="preserve">(b)  </w:t>
      </w:r>
      <w:r>
        <w:rPr/>
        <w:t>Compute 1-day ES at 97.5% and 99% assuming normality (ES = σ·V·φ(z)/(1 − c)).</w:t>
      </w:r>
    </w:p>
    <w:p>
      <w:pPr>
        <w:spacing w:after="40"/>
        <w:ind w:left="454" w:hanging="454"/>
      </w:pPr>
      <w:r>
        <w:rPr>
          <w:b/>
          <w:color w:val="1F3864"/>
        </w:rPr>
        <w:t xml:space="preserve">(c)  </w:t>
      </w:r>
      <w:r>
        <w:rPr/>
        <w:t>Compare 97.5% ES with 99% VaR. Why did regulators choose 97.5%?</w:t>
      </w:r>
    </w:p>
    <w:p>
      <w:pPr>
        <w:spacing w:after="40"/>
        <w:ind w:left="454" w:hanging="454"/>
      </w:pPr>
      <w:r>
        <w:rPr>
          <w:b/>
          <w:color w:val="1F3864"/>
        </w:rPr>
        <w:t xml:space="preserve">(d)  </w:t>
      </w:r>
      <w:r>
        <w:rPr/>
        <w:t>Give two reasons why ES is superior to VaR.</w:t>
      </w:r>
    </w:p>
    <w:p>
      <w:pPr>
        <w:spacing w:before="160"/>
      </w:pPr>
      <w:r>
        <w:rPr>
          <w:color w:val="595959"/>
          <w:sz w:val="18"/>
        </w:rPr>
        <w:t>Space for workings  ________________________________________________________________</w:t>
      </w:r>
    </w:p>
    <w:p>
      <w:pPr>
        <w:pStyle w:val="Heading2"/>
      </w:pPr>
      <w:r>
        <w:t>Case 1.8  Market Risk Capital with VaR and Stressed VaR (Basel 2.5)</w:t>
      </w:r>
    </w:p>
    <w:p>
      <w:r>
        <w:rPr>
          <w:i/>
          <w:color w:val="1A7F8E"/>
          <w:sz w:val="18"/>
        </w:rPr>
        <w:t>Regulatory capital | Stressed VaR | Multiplier</w:t>
      </w:r>
    </w:p>
    <w:p>
      <w:pPr>
        <w:keepNext/>
        <w:spacing w:before="160" w:after="60"/>
      </w:pPr>
      <w:r>
        <w:rPr>
          <w:b/>
          <w:color w:val="1A7F8E"/>
          <w:sz w:val="19"/>
        </w:rPr>
        <w:t>BACKGROUND</w:t>
      </w:r>
    </w:p>
    <w:p>
      <w:r>
        <w:rPr/>
        <w:t>A bank using the internal models approach reports the following 10-day 99% figures (₹ crore). The multiplier is 3.0 in the green zone; following a poor backtest, the regulator may raise it to 3.5.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Measure</w:t>
            </w:r>
          </w:p>
        </w:tc>
        <w:tc>
          <w:tcPr>
            <w:tcW w:type="dxa" w:w="3345"/>
            <w:shd w:val="clear" w:color="auto" w:fill="1F3864"/>
          </w:tcPr>
          <w:p>
            <w:pPr>
              <w:spacing w:after="20" w:before="20"/>
            </w:pPr>
            <w:r/>
            <w:r>
              <w:rPr>
                <w:b/>
                <w:color w:val="FFFFFF"/>
                <w:sz w:val="19"/>
              </w:rPr>
              <w:t>Previous day</w:t>
            </w:r>
          </w:p>
        </w:tc>
        <w:tc>
          <w:tcPr>
            <w:tcW w:type="dxa" w:w="3345"/>
            <w:shd w:val="clear" w:color="auto" w:fill="1F3864"/>
          </w:tcPr>
          <w:p>
            <w:pPr>
              <w:spacing w:after="20" w:before="20"/>
            </w:pPr>
            <w:r/>
            <w:r>
              <w:rPr>
                <w:b/>
                <w:color w:val="FFFFFF"/>
                <w:sz w:val="19"/>
              </w:rPr>
              <w:t>60-day average</w:t>
            </w:r>
          </w:p>
        </w:tc>
      </w:tr>
      <w:tr>
        <w:tc>
          <w:tcPr>
            <w:tcW w:type="dxa" w:w="2948"/>
          </w:tcPr>
          <w:p>
            <w:pPr>
              <w:spacing w:after="20" w:before="20"/>
            </w:pPr>
            <w:r/>
            <w:r>
              <w:rPr>
                <w:b/>
                <w:sz w:val="19"/>
              </w:rPr>
              <w:t>VaR</w:t>
            </w:r>
          </w:p>
        </w:tc>
        <w:tc>
          <w:tcPr>
            <w:tcW w:type="dxa" w:w="3345"/>
          </w:tcPr>
          <w:p>
            <w:pPr>
              <w:spacing w:after="20" w:before="20"/>
              <w:jc w:val="center"/>
            </w:pPr>
            <w:r/>
            <w:r>
              <w:rPr>
                <w:sz w:val="19"/>
              </w:rPr>
              <w:t>12.0</w:t>
            </w:r>
          </w:p>
        </w:tc>
        <w:tc>
          <w:tcPr>
            <w:tcW w:type="dxa" w:w="3345"/>
          </w:tcPr>
          <w:p>
            <w:pPr>
              <w:spacing w:after="20" w:before="20"/>
              <w:jc w:val="center"/>
            </w:pPr>
            <w:r/>
            <w:r>
              <w:rPr>
                <w:sz w:val="19"/>
              </w:rPr>
              <w:t>10.0</w:t>
            </w:r>
          </w:p>
        </w:tc>
      </w:tr>
      <w:tr>
        <w:tc>
          <w:tcPr>
            <w:tcW w:type="dxa" w:w="2948"/>
            <w:shd w:val="clear" w:color="auto" w:fill="F3F6FA"/>
          </w:tcPr>
          <w:p>
            <w:pPr>
              <w:spacing w:after="20" w:before="20"/>
            </w:pPr>
            <w:r/>
            <w:r>
              <w:rPr>
                <w:b/>
                <w:sz w:val="19"/>
              </w:rPr>
              <w:t>Stressed VaR</w:t>
            </w:r>
          </w:p>
        </w:tc>
        <w:tc>
          <w:tcPr>
            <w:tcW w:type="dxa" w:w="3345"/>
            <w:shd w:val="clear" w:color="auto" w:fill="F3F6FA"/>
          </w:tcPr>
          <w:p>
            <w:pPr>
              <w:spacing w:after="20" w:before="20"/>
              <w:jc w:val="center"/>
            </w:pPr>
            <w:r/>
            <w:r>
              <w:rPr>
                <w:sz w:val="19"/>
              </w:rPr>
              <w:t>22.0</w:t>
            </w:r>
          </w:p>
        </w:tc>
        <w:tc>
          <w:tcPr>
            <w:tcW w:type="dxa" w:w="3345"/>
            <w:shd w:val="clear" w:color="auto" w:fill="F3F6FA"/>
          </w:tcPr>
          <w:p>
            <w:pPr>
              <w:spacing w:after="20" w:before="20"/>
              <w:jc w:val="center"/>
            </w:pPr>
            <w:r/>
            <w:r>
              <w:rPr>
                <w:sz w:val="19"/>
              </w:rPr>
              <w:t>20.0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market-risk capital charge: max(VaRₜ₋₁, m × VaR_avg) + max(sVaRₜ₋₁, m × sVaR_avg) with m = 3.0.</w:t>
      </w:r>
    </w:p>
    <w:p>
      <w:pPr>
        <w:spacing w:after="40"/>
        <w:ind w:left="454" w:hanging="454"/>
      </w:pPr>
      <w:r>
        <w:rPr>
          <w:b/>
          <w:color w:val="1F3864"/>
        </w:rPr>
        <w:t xml:space="preserve">(b)  </w:t>
      </w:r>
      <w:r>
        <w:rPr/>
        <w:t>Recompute with m = 3.5 and quantify the increase.</w:t>
      </w:r>
    </w:p>
    <w:p>
      <w:pPr>
        <w:spacing w:after="40"/>
        <w:ind w:left="454" w:hanging="454"/>
      </w:pPr>
      <w:r>
        <w:rPr>
          <w:b/>
          <w:color w:val="1F3864"/>
        </w:rPr>
        <w:t xml:space="preserve">(c)  </w:t>
      </w:r>
      <w:r>
        <w:rPr/>
        <w:t>Convert the m = 3.0 capital into risk-weighted assets (RWA = capital × 12.5).</w:t>
      </w:r>
    </w:p>
    <w:p>
      <w:pPr>
        <w:spacing w:after="40"/>
        <w:ind w:left="454" w:hanging="454"/>
      </w:pPr>
      <w:r>
        <w:rPr>
          <w:b/>
          <w:color w:val="1F3864"/>
        </w:rPr>
        <w:t xml:space="preserve">(d)  </w:t>
      </w:r>
      <w:r>
        <w:rPr/>
        <w:t>Why was Stressed VaR introduced after 2008?</w:t>
      </w:r>
    </w:p>
    <w:p>
      <w:pPr>
        <w:spacing w:before="160"/>
      </w:pPr>
      <w:r>
        <w:rPr>
          <w:color w:val="595959"/>
          <w:sz w:val="18"/>
        </w:rPr>
        <w:t>Space for workings  ________________________________________________________________</w:t>
      </w:r>
    </w:p>
    <w:p>
      <w:r>
        <w:br w:type="page"/>
      </w:r>
    </w:p>
    <w:p>
      <w:pPr>
        <w:spacing w:after="0"/>
      </w:pPr>
      <w:r>
        <w:rPr>
          <w:b/>
          <w:color w:val="1A7F8E"/>
          <w:sz w:val="22"/>
        </w:rPr>
        <w:t>MODULE 2</w:t>
      </w:r>
    </w:p>
    <w:p>
      <w:pPr>
        <w:pStyle w:val="Heading1"/>
      </w:pPr>
      <w:r>
        <w:t>Sensitivity Measures</w:t>
      </w:r>
    </w:p>
    <w:p>
      <w:pPr>
        <w:pStyle w:val="Heading2"/>
      </w:pPr>
      <w:r>
        <w:t>1. What is it?</w:t>
      </w:r>
    </w:p>
    <w:p>
      <w:r>
        <w:rPr/>
        <w:t>Sensitivity measures quantify how much the value of a position changes for a small change in one risk factor, holding others constant. They are the “first line” of market-risk management: duration, convexity and PV01/DV01 for interest rates; beta for equities; and the option Greeks — delta, gamma, vega, theta and rho — for derivatives. Unlike VaR, they do not need a probability distribution; they answer the question “what happens if this factor moves by one unit?”</w:t>
      </w:r>
    </w:p>
    <w:p>
      <w:pPr>
        <w:pStyle w:val="Heading2"/>
      </w:pPr>
      <w:r>
        <w:t>2. Why is it important?</w:t>
      </w:r>
    </w:p>
    <w:p>
      <w:pPr>
        <w:pStyle w:val="ListBullet"/>
      </w:pPr>
      <w:r>
        <w:rPr/>
        <w:t>They identify *which* risk factor drives P&amp;L and therefore *what* to hedge and *how much*.</w:t>
      </w:r>
    </w:p>
    <w:p>
      <w:pPr>
        <w:pStyle w:val="ListBullet"/>
      </w:pPr>
      <w:r>
        <w:rPr/>
        <w:t>They are additive across positions (PV01s and deltas can be summed), making limit-setting and aggregation simple.</w:t>
      </w:r>
    </w:p>
    <w:p>
      <w:pPr>
        <w:pStyle w:val="ListBullet"/>
      </w:pPr>
      <w:r>
        <w:rPr/>
        <w:t>Inputs to VaR (delta-normal), stress tests and regulatory capital (the FRTB Standardised Approach is built on sensitivities).</w:t>
      </w:r>
    </w:p>
    <w:p>
      <w:pPr>
        <w:pStyle w:val="ListBullet"/>
      </w:pPr>
      <w:r>
        <w:rPr/>
        <w:t>Essential for ALM: duration gap and earnings sensitivity drive Interest Rate Risk in the Banking Book (IRRBB).</w:t>
      </w:r>
    </w:p>
    <w:p>
      <w:pPr>
        <w:pStyle w:val="Heading2"/>
      </w:pPr>
      <w:r>
        <w:t>3. How is it used in industry?</w:t>
      </w:r>
    </w:p>
    <w:p>
      <w:pPr>
        <w:pStyle w:val="ListBullet"/>
      </w:pPr>
      <w:r>
        <w:rPr>
          <w:b/>
        </w:rPr>
        <w:t>Bank treasuries</w:t>
      </w:r>
      <w:r>
        <w:rPr/>
        <w:t xml:space="preserve"> — PV01 limits per portfolio and tenor bucket; duration of AFS/HFT books reported daily.</w:t>
      </w:r>
    </w:p>
    <w:p>
      <w:pPr>
        <w:pStyle w:val="ListBullet"/>
      </w:pPr>
      <w:r>
        <w:rPr>
          <w:b/>
        </w:rPr>
        <w:t>ALM / IRRBB</w:t>
      </w:r>
      <w:r>
        <w:rPr/>
        <w:t xml:space="preserve"> — duration gap and economic value of equity (EVE) sensitivity to ±200 bps shocks.</w:t>
      </w:r>
    </w:p>
    <w:p>
      <w:pPr>
        <w:pStyle w:val="ListBullet"/>
      </w:pPr>
      <w:r>
        <w:rPr>
          <w:b/>
        </w:rPr>
        <w:t>Options desks and market makers</w:t>
      </w:r>
      <w:r>
        <w:rPr/>
        <w:t xml:space="preserve"> — delta-hedge continuously, manage gamma and vega limits.</w:t>
      </w:r>
    </w:p>
    <w:p>
      <w:pPr>
        <w:pStyle w:val="ListBullet"/>
      </w:pPr>
      <w:r>
        <w:rPr>
          <w:b/>
        </w:rPr>
        <w:t>Portfolio managers</w:t>
      </w:r>
      <w:r>
        <w:rPr/>
        <w:t xml:space="preserve"> — beta-adjust portfolios with index futures; duration-manage debt funds.</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41"/>
            <w:shd w:val="clear" w:color="auto" w:fill="1F3864"/>
          </w:tcPr>
          <w:p>
            <w:pPr>
              <w:spacing w:after="20" w:before="20"/>
            </w:pPr>
            <w:r/>
            <w:r>
              <w:rPr>
                <w:b/>
                <w:color w:val="FFFFFF"/>
                <w:sz w:val="18"/>
              </w:rPr>
              <w:t>Measure</w:t>
            </w:r>
          </w:p>
        </w:tc>
        <w:tc>
          <w:tcPr>
            <w:tcW w:type="dxa" w:w="2532"/>
            <w:shd w:val="clear" w:color="auto" w:fill="1F3864"/>
          </w:tcPr>
          <w:p>
            <w:pPr>
              <w:spacing w:after="20" w:before="20"/>
            </w:pPr>
            <w:r/>
            <w:r>
              <w:rPr>
                <w:b/>
                <w:color w:val="FFFFFF"/>
                <w:sz w:val="18"/>
              </w:rPr>
              <w:t>Risk factor</w:t>
            </w:r>
          </w:p>
        </w:tc>
        <w:tc>
          <w:tcPr>
            <w:tcW w:type="dxa" w:w="2532"/>
            <w:shd w:val="clear" w:color="auto" w:fill="1F3864"/>
          </w:tcPr>
          <w:p>
            <w:pPr>
              <w:spacing w:after="20" w:before="20"/>
            </w:pPr>
            <w:r/>
            <w:r>
              <w:rPr>
                <w:b/>
                <w:color w:val="FFFFFF"/>
                <w:sz w:val="18"/>
              </w:rPr>
              <w:t>What it captures</w:t>
            </w:r>
          </w:p>
        </w:tc>
        <w:tc>
          <w:tcPr>
            <w:tcW w:type="dxa" w:w="2532"/>
            <w:shd w:val="clear" w:color="auto" w:fill="1F3864"/>
          </w:tcPr>
          <w:p>
            <w:pPr>
              <w:spacing w:after="20" w:before="20"/>
            </w:pPr>
            <w:r/>
            <w:r>
              <w:rPr>
                <w:b/>
                <w:color w:val="FFFFFF"/>
                <w:sz w:val="18"/>
              </w:rPr>
              <w:t>Typical use</w:t>
            </w:r>
          </w:p>
        </w:tc>
      </w:tr>
      <w:tr>
        <w:tc>
          <w:tcPr>
            <w:tcW w:type="dxa" w:w="2041"/>
          </w:tcPr>
          <w:p>
            <w:pPr>
              <w:spacing w:after="20" w:before="20"/>
            </w:pPr>
            <w:r/>
            <w:r>
              <w:rPr>
                <w:b/>
                <w:sz w:val="18"/>
              </w:rPr>
              <w:t>Modified duration / PV01</w:t>
            </w:r>
          </w:p>
        </w:tc>
        <w:tc>
          <w:tcPr>
            <w:tcW w:type="dxa" w:w="2532"/>
          </w:tcPr>
          <w:p>
            <w:pPr>
              <w:spacing w:after="20" w:before="20"/>
              <w:jc w:val="center"/>
            </w:pPr>
            <w:r/>
            <w:r>
              <w:rPr>
                <w:sz w:val="18"/>
              </w:rPr>
              <w:t>Interest rates</w:t>
            </w:r>
          </w:p>
        </w:tc>
        <w:tc>
          <w:tcPr>
            <w:tcW w:type="dxa" w:w="2532"/>
          </w:tcPr>
          <w:p>
            <w:pPr>
              <w:spacing w:after="20" w:before="20"/>
              <w:jc w:val="center"/>
            </w:pPr>
            <w:r/>
            <w:r>
              <w:rPr>
                <w:sz w:val="18"/>
              </w:rPr>
              <w:t>% (or ₹) price change for a 1% (or 1 bp) yield change</w:t>
            </w:r>
          </w:p>
        </w:tc>
        <w:tc>
          <w:tcPr>
            <w:tcW w:type="dxa" w:w="2532"/>
          </w:tcPr>
          <w:p>
            <w:pPr>
              <w:spacing w:after="20" w:before="20"/>
              <w:jc w:val="center"/>
            </w:pPr>
            <w:r/>
            <w:r>
              <w:rPr>
                <w:sz w:val="18"/>
              </w:rPr>
              <w:t>Bond portfolios, ALM</w:t>
            </w:r>
          </w:p>
        </w:tc>
      </w:tr>
      <w:tr>
        <w:tc>
          <w:tcPr>
            <w:tcW w:type="dxa" w:w="2041"/>
            <w:shd w:val="clear" w:color="auto" w:fill="F3F6FA"/>
          </w:tcPr>
          <w:p>
            <w:pPr>
              <w:spacing w:after="20" w:before="20"/>
            </w:pPr>
            <w:r/>
            <w:r>
              <w:rPr>
                <w:b/>
                <w:sz w:val="18"/>
              </w:rPr>
              <w:t>Convexity</w:t>
            </w:r>
          </w:p>
        </w:tc>
        <w:tc>
          <w:tcPr>
            <w:tcW w:type="dxa" w:w="2532"/>
            <w:shd w:val="clear" w:color="auto" w:fill="F3F6FA"/>
          </w:tcPr>
          <w:p>
            <w:pPr>
              <w:spacing w:after="20" w:before="20"/>
              <w:jc w:val="center"/>
            </w:pPr>
            <w:r/>
            <w:r>
              <w:rPr>
                <w:sz w:val="18"/>
              </w:rPr>
              <w:t>Interest rates (2nd order)</w:t>
            </w:r>
          </w:p>
        </w:tc>
        <w:tc>
          <w:tcPr>
            <w:tcW w:type="dxa" w:w="2532"/>
            <w:shd w:val="clear" w:color="auto" w:fill="F3F6FA"/>
          </w:tcPr>
          <w:p>
            <w:pPr>
              <w:spacing w:after="20" w:before="20"/>
              <w:jc w:val="center"/>
            </w:pPr>
            <w:r/>
            <w:r>
              <w:rPr>
                <w:sz w:val="18"/>
              </w:rPr>
              <w:t>Curvature of the price–yield curve</w:t>
            </w:r>
          </w:p>
        </w:tc>
        <w:tc>
          <w:tcPr>
            <w:tcW w:type="dxa" w:w="2532"/>
            <w:shd w:val="clear" w:color="auto" w:fill="F3F6FA"/>
          </w:tcPr>
          <w:p>
            <w:pPr>
              <w:spacing w:after="20" w:before="20"/>
              <w:jc w:val="center"/>
            </w:pPr>
            <w:r/>
            <w:r>
              <w:rPr>
                <w:sz w:val="18"/>
              </w:rPr>
              <w:t>Large rate moves, callable bonds</w:t>
            </w:r>
          </w:p>
        </w:tc>
      </w:tr>
      <w:tr>
        <w:tc>
          <w:tcPr>
            <w:tcW w:type="dxa" w:w="2041"/>
          </w:tcPr>
          <w:p>
            <w:pPr>
              <w:spacing w:after="20" w:before="20"/>
            </w:pPr>
            <w:r/>
            <w:r>
              <w:rPr>
                <w:b/>
                <w:sz w:val="18"/>
              </w:rPr>
              <w:t>Beta</w:t>
            </w:r>
          </w:p>
        </w:tc>
        <w:tc>
          <w:tcPr>
            <w:tcW w:type="dxa" w:w="2532"/>
          </w:tcPr>
          <w:p>
            <w:pPr>
              <w:spacing w:after="20" w:before="20"/>
              <w:jc w:val="center"/>
            </w:pPr>
            <w:r/>
            <w:r>
              <w:rPr>
                <w:sz w:val="18"/>
              </w:rPr>
              <w:t>Equity market</w:t>
            </w:r>
          </w:p>
        </w:tc>
        <w:tc>
          <w:tcPr>
            <w:tcW w:type="dxa" w:w="2532"/>
          </w:tcPr>
          <w:p>
            <w:pPr>
              <w:spacing w:after="20" w:before="20"/>
              <w:jc w:val="center"/>
            </w:pPr>
            <w:r/>
            <w:r>
              <w:rPr>
                <w:sz w:val="18"/>
              </w:rPr>
              <w:t>Stock return sensitivity to index return</w:t>
            </w:r>
          </w:p>
        </w:tc>
        <w:tc>
          <w:tcPr>
            <w:tcW w:type="dxa" w:w="2532"/>
          </w:tcPr>
          <w:p>
            <w:pPr>
              <w:spacing w:after="20" w:before="20"/>
              <w:jc w:val="center"/>
            </w:pPr>
            <w:r/>
            <w:r>
              <w:rPr>
                <w:sz w:val="18"/>
              </w:rPr>
              <w:t>Equity hedging, CAPM</w:t>
            </w:r>
          </w:p>
        </w:tc>
      </w:tr>
      <w:tr>
        <w:tc>
          <w:tcPr>
            <w:tcW w:type="dxa" w:w="2041"/>
            <w:shd w:val="clear" w:color="auto" w:fill="F3F6FA"/>
          </w:tcPr>
          <w:p>
            <w:pPr>
              <w:spacing w:after="20" w:before="20"/>
            </w:pPr>
            <w:r/>
            <w:r>
              <w:rPr>
                <w:b/>
                <w:sz w:val="18"/>
              </w:rPr>
              <w:t>Delta / Gamma</w:t>
            </w:r>
          </w:p>
        </w:tc>
        <w:tc>
          <w:tcPr>
            <w:tcW w:type="dxa" w:w="2532"/>
            <w:shd w:val="clear" w:color="auto" w:fill="F3F6FA"/>
          </w:tcPr>
          <w:p>
            <w:pPr>
              <w:spacing w:after="20" w:before="20"/>
              <w:jc w:val="center"/>
            </w:pPr>
            <w:r/>
            <w:r>
              <w:rPr>
                <w:sz w:val="18"/>
              </w:rPr>
              <w:t>Underlying price</w:t>
            </w:r>
          </w:p>
        </w:tc>
        <w:tc>
          <w:tcPr>
            <w:tcW w:type="dxa" w:w="2532"/>
            <w:shd w:val="clear" w:color="auto" w:fill="F3F6FA"/>
          </w:tcPr>
          <w:p>
            <w:pPr>
              <w:spacing w:after="20" w:before="20"/>
              <w:jc w:val="center"/>
            </w:pPr>
            <w:r/>
            <w:r>
              <w:rPr>
                <w:sz w:val="18"/>
              </w:rPr>
              <w:t>Option price change / change in delta</w:t>
            </w:r>
          </w:p>
        </w:tc>
        <w:tc>
          <w:tcPr>
            <w:tcW w:type="dxa" w:w="2532"/>
            <w:shd w:val="clear" w:color="auto" w:fill="F3F6FA"/>
          </w:tcPr>
          <w:p>
            <w:pPr>
              <w:spacing w:after="20" w:before="20"/>
              <w:jc w:val="center"/>
            </w:pPr>
            <w:r/>
            <w:r>
              <w:rPr>
                <w:sz w:val="18"/>
              </w:rPr>
              <w:t>Options hedging</w:t>
            </w:r>
          </w:p>
        </w:tc>
      </w:tr>
      <w:tr>
        <w:tc>
          <w:tcPr>
            <w:tcW w:type="dxa" w:w="2041"/>
          </w:tcPr>
          <w:p>
            <w:pPr>
              <w:spacing w:after="20" w:before="20"/>
            </w:pPr>
            <w:r/>
            <w:r>
              <w:rPr>
                <w:b/>
                <w:sz w:val="18"/>
              </w:rPr>
              <w:t>Vega / Theta / Rho</w:t>
            </w:r>
          </w:p>
        </w:tc>
        <w:tc>
          <w:tcPr>
            <w:tcW w:type="dxa" w:w="2532"/>
          </w:tcPr>
          <w:p>
            <w:pPr>
              <w:spacing w:after="20" w:before="20"/>
              <w:jc w:val="center"/>
            </w:pPr>
            <w:r/>
            <w:r>
              <w:rPr>
                <w:sz w:val="18"/>
              </w:rPr>
              <w:t>Volatility / time / rates</w:t>
            </w:r>
          </w:p>
        </w:tc>
        <w:tc>
          <w:tcPr>
            <w:tcW w:type="dxa" w:w="2532"/>
          </w:tcPr>
          <w:p>
            <w:pPr>
              <w:spacing w:after="20" w:before="20"/>
              <w:jc w:val="center"/>
            </w:pPr>
            <w:r/>
            <w:r>
              <w:rPr>
                <w:sz w:val="18"/>
              </w:rPr>
              <w:t>Change in option value per unit change</w:t>
            </w:r>
          </w:p>
        </w:tc>
        <w:tc>
          <w:tcPr>
            <w:tcW w:type="dxa" w:w="2532"/>
          </w:tcPr>
          <w:p>
            <w:pPr>
              <w:spacing w:after="20" w:before="20"/>
              <w:jc w:val="center"/>
            </w:pPr>
            <w:r/>
            <w:r>
              <w:rPr>
                <w:sz w:val="18"/>
              </w:rPr>
              <w:t>Volatility trading, P&amp;L attribution</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Macaulay duration</w:t>
            </w:r>
          </w:p>
        </w:tc>
        <w:tc>
          <w:tcPr>
            <w:tcW w:type="dxa" w:w="6803"/>
          </w:tcPr>
          <w:p>
            <w:pPr>
              <w:spacing w:after="20" w:before="20"/>
              <w:jc w:val="center"/>
            </w:pPr>
            <w:r/>
            <w:r>
              <w:rPr>
                <w:sz w:val="19"/>
              </w:rPr>
              <w:t>D_Mac = Σ [t × PV(CFₜ)] / Price</w:t>
            </w:r>
          </w:p>
        </w:tc>
      </w:tr>
      <w:tr>
        <w:tc>
          <w:tcPr>
            <w:tcW w:type="dxa" w:w="2835"/>
            <w:shd w:val="clear" w:color="auto" w:fill="F3F6FA"/>
          </w:tcPr>
          <w:p>
            <w:pPr>
              <w:spacing w:after="20" w:before="20"/>
            </w:pPr>
            <w:r/>
            <w:r>
              <w:rPr>
                <w:b/>
                <w:sz w:val="19"/>
              </w:rPr>
              <w:t>Modified duration</w:t>
            </w:r>
          </w:p>
        </w:tc>
        <w:tc>
          <w:tcPr>
            <w:tcW w:type="dxa" w:w="6803"/>
            <w:shd w:val="clear" w:color="auto" w:fill="F3F6FA"/>
          </w:tcPr>
          <w:p>
            <w:pPr>
              <w:spacing w:after="20" w:before="20"/>
              <w:jc w:val="center"/>
            </w:pPr>
            <w:r/>
            <w:r>
              <w:rPr>
                <w:sz w:val="19"/>
              </w:rPr>
              <w:t>D_Mod = D_Mac / (1 + y/m)</w:t>
            </w:r>
          </w:p>
        </w:tc>
      </w:tr>
      <w:tr>
        <w:tc>
          <w:tcPr>
            <w:tcW w:type="dxa" w:w="2835"/>
          </w:tcPr>
          <w:p>
            <w:pPr>
              <w:spacing w:after="20" w:before="20"/>
            </w:pPr>
            <w:r/>
            <w:r>
              <w:rPr>
                <w:b/>
                <w:sz w:val="19"/>
              </w:rPr>
              <w:t>Price change (duration + convexity)</w:t>
            </w:r>
          </w:p>
        </w:tc>
        <w:tc>
          <w:tcPr>
            <w:tcW w:type="dxa" w:w="6803"/>
          </w:tcPr>
          <w:p>
            <w:pPr>
              <w:spacing w:after="20" w:before="20"/>
              <w:jc w:val="center"/>
            </w:pPr>
            <w:r/>
            <w:r>
              <w:rPr>
                <w:sz w:val="19"/>
              </w:rPr>
              <w:t>ΔP/P ≈ −D_Mod × Δy + ½ × Convexity × (Δy)²</w:t>
            </w:r>
          </w:p>
        </w:tc>
      </w:tr>
      <w:tr>
        <w:tc>
          <w:tcPr>
            <w:tcW w:type="dxa" w:w="2835"/>
            <w:shd w:val="clear" w:color="auto" w:fill="F3F6FA"/>
          </w:tcPr>
          <w:p>
            <w:pPr>
              <w:spacing w:after="20" w:before="20"/>
            </w:pPr>
            <w:r/>
            <w:r>
              <w:rPr>
                <w:b/>
                <w:sz w:val="19"/>
              </w:rPr>
              <w:t>PV01 / DV01</w:t>
            </w:r>
          </w:p>
        </w:tc>
        <w:tc>
          <w:tcPr>
            <w:tcW w:type="dxa" w:w="6803"/>
            <w:shd w:val="clear" w:color="auto" w:fill="F3F6FA"/>
          </w:tcPr>
          <w:p>
            <w:pPr>
              <w:spacing w:after="20" w:before="20"/>
              <w:jc w:val="center"/>
            </w:pPr>
            <w:r/>
            <w:r>
              <w:rPr>
                <w:sz w:val="19"/>
              </w:rPr>
              <w:t>PV01 = D_Mod × Price × 0.0001</w:t>
            </w:r>
          </w:p>
        </w:tc>
      </w:tr>
      <w:tr>
        <w:tc>
          <w:tcPr>
            <w:tcW w:type="dxa" w:w="2835"/>
          </w:tcPr>
          <w:p>
            <w:pPr>
              <w:spacing w:after="20" w:before="20"/>
            </w:pPr>
            <w:r/>
            <w:r>
              <w:rPr>
                <w:b/>
                <w:sz w:val="19"/>
              </w:rPr>
              <w:t>Effective duration &amp; convexity</w:t>
            </w:r>
          </w:p>
        </w:tc>
        <w:tc>
          <w:tcPr>
            <w:tcW w:type="dxa" w:w="6803"/>
          </w:tcPr>
          <w:p>
            <w:pPr>
              <w:spacing w:after="20" w:before="20"/>
              <w:jc w:val="center"/>
            </w:pPr>
            <w:r/>
            <w:r>
              <w:rPr>
                <w:sz w:val="19"/>
              </w:rPr>
              <w:t>ED = (P₋ − P₊)/(2·P₀·Δy);   EC = (P₋ + P₊ − 2P₀)/(P₀·Δy²)</w:t>
            </w:r>
          </w:p>
        </w:tc>
      </w:tr>
      <w:tr>
        <w:tc>
          <w:tcPr>
            <w:tcW w:type="dxa" w:w="2835"/>
            <w:shd w:val="clear" w:color="auto" w:fill="F3F6FA"/>
          </w:tcPr>
          <w:p>
            <w:pPr>
              <w:spacing w:after="20" w:before="20"/>
            </w:pPr>
            <w:r/>
            <w:r>
              <w:rPr>
                <w:b/>
                <w:sz w:val="19"/>
              </w:rPr>
              <w:t>Beta hedge (futures)</w:t>
            </w:r>
          </w:p>
        </w:tc>
        <w:tc>
          <w:tcPr>
            <w:tcW w:type="dxa" w:w="6803"/>
            <w:shd w:val="clear" w:color="auto" w:fill="F3F6FA"/>
          </w:tcPr>
          <w:p>
            <w:pPr>
              <w:spacing w:after="20" w:before="20"/>
              <w:jc w:val="center"/>
            </w:pPr>
            <w:r/>
            <w:r>
              <w:rPr>
                <w:sz w:val="19"/>
              </w:rPr>
              <w:t>N = (β_target − β_current) × Portfolio value / (Futures price × Lot size)</w:t>
            </w:r>
          </w:p>
        </w:tc>
      </w:tr>
      <w:tr>
        <w:tc>
          <w:tcPr>
            <w:tcW w:type="dxa" w:w="2835"/>
          </w:tcPr>
          <w:p>
            <w:pPr>
              <w:spacing w:after="20" w:before="20"/>
            </w:pPr>
            <w:r/>
            <w:r>
              <w:rPr>
                <w:b/>
                <w:sz w:val="19"/>
              </w:rPr>
              <w:t>Delta–gamma approximation</w:t>
            </w:r>
          </w:p>
        </w:tc>
        <w:tc>
          <w:tcPr>
            <w:tcW w:type="dxa" w:w="6803"/>
          </w:tcPr>
          <w:p>
            <w:pPr>
              <w:spacing w:after="20" w:before="20"/>
              <w:jc w:val="center"/>
            </w:pPr>
            <w:r/>
            <w:r>
              <w:rPr>
                <w:sz w:val="19"/>
              </w:rPr>
              <w:t>ΔC ≈ Δ × ΔS + ½ × Γ × (ΔS)²</w:t>
            </w:r>
          </w:p>
        </w:tc>
      </w:tr>
      <w:tr>
        <w:tc>
          <w:tcPr>
            <w:tcW w:type="dxa" w:w="2835"/>
            <w:shd w:val="clear" w:color="auto" w:fill="F3F6FA"/>
          </w:tcPr>
          <w:p>
            <w:pPr>
              <w:spacing w:after="20" w:before="20"/>
            </w:pPr>
            <w:r/>
            <w:r>
              <w:rPr>
                <w:b/>
                <w:sz w:val="19"/>
              </w:rPr>
              <w:t>Duration gap</w:t>
            </w:r>
          </w:p>
        </w:tc>
        <w:tc>
          <w:tcPr>
            <w:tcW w:type="dxa" w:w="6803"/>
            <w:shd w:val="clear" w:color="auto" w:fill="F3F6FA"/>
          </w:tcPr>
          <w:p>
            <w:pPr>
              <w:spacing w:after="20" w:before="20"/>
              <w:jc w:val="center"/>
            </w:pPr>
            <w:r/>
            <w:r>
              <w:rPr>
                <w:sz w:val="19"/>
              </w:rPr>
              <w:t>DGAP = D_A − (L/A) × D_L;   ΔE ≈ −DGAP × A × Δy/(1 + y)</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05455"/>
            <wp:docPr id="3" name="Picture 3"/>
            <wp:cNvGraphicFramePr>
              <a:graphicFrameLocks noChangeAspect="1"/>
            </wp:cNvGraphicFramePr>
            <a:graphic>
              <a:graphicData uri="http://schemas.openxmlformats.org/drawingml/2006/picture">
                <pic:pic>
                  <pic:nvPicPr>
                    <pic:cNvPr id="0" name="price_yield.png"/>
                    <pic:cNvPicPr/>
                  </pic:nvPicPr>
                  <pic:blipFill>
                    <a:blip r:embed="rId13"/>
                    <a:stretch>
                      <a:fillRect/>
                    </a:stretch>
                  </pic:blipFill>
                  <pic:spPr>
                    <a:xfrm>
                      <a:off x="0" y="0"/>
                      <a:ext cx="5580000" cy="2705455"/>
                    </a:xfrm>
                    <a:prstGeom prst="rect"/>
                  </pic:spPr>
                </pic:pic>
              </a:graphicData>
            </a:graphic>
          </wp:inline>
        </w:drawing>
      </w:r>
    </w:p>
    <w:p>
      <w:pPr>
        <w:jc w:val="center"/>
      </w:pPr>
      <w:r>
        <w:rPr>
          <w:i/>
          <w:color w:val="595959"/>
          <w:sz w:val="18"/>
        </w:rPr>
        <w:t>Duration is the slope (tangent) of the price–yield curve; convexity is its curvature.</w:t>
      </w:r>
    </w:p>
    <w:p>
      <w:pPr>
        <w:keepNext/>
        <w:jc w:val="center"/>
      </w:pPr>
      <w:r>
        <w:drawing>
          <wp:inline xmlns:a="http://schemas.openxmlformats.org/drawingml/2006/main" xmlns:pic="http://schemas.openxmlformats.org/drawingml/2006/picture">
            <wp:extent cx="5580000" cy="2536364"/>
            <wp:docPr id="4" name="Picture 4"/>
            <wp:cNvGraphicFramePr>
              <a:graphicFrameLocks noChangeAspect="1"/>
            </wp:cNvGraphicFramePr>
            <a:graphic>
              <a:graphicData uri="http://schemas.openxmlformats.org/drawingml/2006/picture">
                <pic:pic>
                  <pic:nvPicPr>
                    <pic:cNvPr id="0" name="greeks.png"/>
                    <pic:cNvPicPr/>
                  </pic:nvPicPr>
                  <pic:blipFill>
                    <a:blip r:embed="rId14"/>
                    <a:stretch>
                      <a:fillRect/>
                    </a:stretch>
                  </pic:blipFill>
                  <pic:spPr>
                    <a:xfrm>
                      <a:off x="0" y="0"/>
                      <a:ext cx="5580000" cy="2536364"/>
                    </a:xfrm>
                    <a:prstGeom prst="rect"/>
                  </pic:spPr>
                </pic:pic>
              </a:graphicData>
            </a:graphic>
          </wp:inline>
        </w:drawing>
      </w:r>
    </w:p>
    <w:p>
      <w:pPr>
        <w:jc w:val="center"/>
      </w:pPr>
      <w:r>
        <w:rPr>
          <w:i/>
          <w:color w:val="595959"/>
          <w:sz w:val="18"/>
        </w:rPr>
        <w:t>Delta rises from 0 to 1 as the option moves into the money; gamma peaks at-the-money near expiry, where hedges need the most frequent rebalancing.</w:t>
      </w:r>
    </w:p>
    <w:p>
      <w:pPr>
        <w:pStyle w:val="Heading2"/>
      </w:pPr>
      <w:r>
        <w:t>6. Real-life examples</w:t>
      </w:r>
    </w:p>
    <w:p>
      <w:pPr>
        <w:shd w:val="clear" w:color="auto" w:fill="F5F8FC"/>
        <w:pBdr>
          <w:left w:val="single" w:sz="18" w:space="8" w:color="1F3864"/>
        </w:pBdr>
        <w:ind w:left="227"/>
      </w:pPr>
      <w:r>
        <w:rPr>
          <w:b/>
          <w:color w:val="1F3864"/>
        </w:rPr>
        <w:t xml:space="preserve">Silicon Valley Bank (March 2023).  </w:t>
      </w:r>
      <w:r>
        <w:rPr/>
        <w:t>SVB invested deposit inflows in long-duration Treasuries and MBS. As the Fed raised rates by ~450 bps, unrealised losses on its securities exceeded its equity. A US$1.8 billion realised loss on sale of AFS securities triggered a deposit run and the bank failed on 10 March 2023 — a textbook duration-gap failure.</w:t>
      </w:r>
    </w:p>
    <w:p>
      <w:pPr>
        <w:shd w:val="clear" w:color="auto" w:fill="F5F8FC"/>
        <w:pBdr>
          <w:left w:val="single" w:sz="18" w:space="8" w:color="1F3864"/>
        </w:pBdr>
        <w:ind w:left="227"/>
      </w:pPr>
      <w:r>
        <w:rPr>
          <w:b/>
          <w:color w:val="1F3864"/>
        </w:rPr>
        <w:t xml:space="preserve">Orange County, California (1994).  </w:t>
      </w:r>
      <w:r>
        <w:rPr/>
        <w:t>The county investment pool used leveraged reverse repos to buy rate-sensitive notes, effectively running a very high duration. When the Fed raised rates through 1994, losses of about US$1.7 billion forced the county into bankruptcy.</w:t>
      </w:r>
    </w:p>
    <w:p>
      <w:pPr>
        <w:shd w:val="clear" w:color="auto" w:fill="F5F8FC"/>
        <w:pBdr>
          <w:left w:val="single" w:sz="18" w:space="8" w:color="1F3864"/>
        </w:pBdr>
        <w:ind w:left="227"/>
      </w:pPr>
      <w:r>
        <w:rPr>
          <w:b/>
          <w:color w:val="1F3864"/>
        </w:rPr>
        <w:t xml:space="preserve">Indian banks’ MTM losses (2017–18).  </w:t>
      </w:r>
      <w:r>
        <w:rPr/>
        <w:t>When the 10-year G-sec yield rose by roughly 100 bps between mid-2017 and early 2018, banks faced heavy mark-to-market losses on their bond books; the RBI permitted banks to spread these losses over four quarters. Banks subsequently tightened PV01 and duration limits.</w:t>
      </w:r>
    </w:p>
    <w:p>
      <w:pPr>
        <w:shd w:val="clear" w:color="auto" w:fill="F5F8FC"/>
        <w:pBdr>
          <w:left w:val="single" w:sz="18" w:space="8" w:color="1F3864"/>
        </w:pBdr>
        <w:ind w:left="227"/>
      </w:pPr>
      <w:r>
        <w:rPr>
          <w:b/>
          <w:color w:val="1F3864"/>
        </w:rPr>
        <w:t xml:space="preserve">Index options market-making in India.  </w:t>
      </w:r>
      <w:r>
        <w:rPr/>
        <w:t>NSE is among the world’s largest derivatives exchanges by contracts traded, dominated by index options. Market makers manage net delta and gamma intraday; on expiry days gamma near the strike is extreme, which is why SEBI’s 2024 measures on index derivatives targeted expiry-day risk.</w:t>
      </w:r>
    </w:p>
    <w:p>
      <w:pPr>
        <w:pStyle w:val="Heading2"/>
      </w:pPr>
      <w:r>
        <w:t>7. Common mistakes</w:t>
      </w:r>
    </w:p>
    <w:p>
      <w:pPr>
        <w:pStyle w:val="ListBullet"/>
      </w:pPr>
      <w:r>
        <w:rPr/>
        <w:t>Using modified duration for bonds with embedded options — use effective duration instead.</w:t>
      </w:r>
    </w:p>
    <w:p>
      <w:pPr>
        <w:pStyle w:val="ListBullet"/>
      </w:pPr>
      <w:r>
        <w:rPr/>
        <w:t>Ignoring convexity for large shocks such as the ±200 bps IRRBB scenarios.</w:t>
      </w:r>
    </w:p>
    <w:p>
      <w:pPr>
        <w:pStyle w:val="ListBullet"/>
      </w:pPr>
      <w:r>
        <w:rPr/>
        <w:t>Confusing the sign of DV01 for long vs short positions when netting a hedge.</w:t>
      </w:r>
    </w:p>
    <w:p>
      <w:pPr>
        <w:pStyle w:val="ListBullet"/>
      </w:pPr>
      <w:r>
        <w:rPr/>
        <w:t>Assuming a delta hedge is permanent — delta changes with price (gamma) and time (charm).</w:t>
      </w:r>
    </w:p>
    <w:p>
      <w:pPr>
        <w:pStyle w:val="ListBullet"/>
      </w:pPr>
      <w:r>
        <w:rPr/>
        <w:t>Using beta estimated from a short or unrepresentative window when sizing hedges.</w:t>
      </w:r>
    </w:p>
    <w:p>
      <w:pPr>
        <w:pStyle w:val="Heading2"/>
      </w:pPr>
      <w:r>
        <w:t>8. Interview questions</w:t>
      </w:r>
    </w:p>
    <w:p>
      <w:pPr>
        <w:spacing w:after="80"/>
      </w:pPr>
      <w:r>
        <w:rPr>
          <w:b/>
        </w:rPr>
        <w:t>Q1.</w:t>
      </w:r>
      <w:r>
        <w:rPr/>
        <w:t xml:space="preserve"> Why does a zero-coupon bond have the highest duration for a given maturity?</w:t>
      </w:r>
    </w:p>
    <w:p>
      <w:pPr>
        <w:spacing w:after="80"/>
      </w:pPr>
      <w:r>
        <w:rPr>
          <w:b/>
        </w:rPr>
        <w:t>Q2.</w:t>
      </w:r>
      <w:r>
        <w:rPr/>
        <w:t xml:space="preserve"> What is negative convexity?</w:t>
      </w:r>
    </w:p>
    <w:p>
      <w:pPr>
        <w:spacing w:after="80"/>
      </w:pPr>
      <w:r>
        <w:rPr>
          <w:b/>
        </w:rPr>
        <w:t>Q3.</w:t>
      </w:r>
      <w:r>
        <w:rPr/>
        <w:t xml:space="preserve"> How do you make a portfolio delta- and gamma-neutral?</w:t>
      </w:r>
    </w:p>
    <w:p>
      <w:pPr>
        <w:spacing w:after="80"/>
      </w:pPr>
      <w:r>
        <w:rPr>
          <w:b/>
        </w:rPr>
        <w:t>Q4.</w:t>
      </w:r>
      <w:r>
        <w:rPr/>
        <w:t xml:space="preserve"> Explain PV01 vs modified duration.</w:t>
      </w:r>
    </w:p>
    <w:p>
      <w:pPr>
        <w:spacing w:after="80"/>
      </w:pPr>
      <w:r>
        <w:rPr>
          <w:b/>
        </w:rPr>
        <w:t>Q5.</w:t>
      </w:r>
      <w:r>
        <w:rPr/>
        <w:t xml:space="preserve"> What caused SVB’s failure from a risk perspective?</w:t>
      </w:r>
    </w:p>
    <w:p>
      <w:r>
        <w:br w:type="page"/>
      </w:r>
    </w:p>
    <w:p>
      <w:pPr>
        <w:pStyle w:val="Heading1"/>
      </w:pPr>
      <w:r>
        <w:t>Module 2 Cases: Sensitivity Measures</w:t>
      </w:r>
    </w:p>
    <w:p>
      <w:pPr>
        <w:pStyle w:val="Heading2"/>
      </w:pPr>
      <w:r>
        <w:t>Case 2.1  Duration of a Corporate Bond</w:t>
      </w:r>
    </w:p>
    <w:p>
      <w:r>
        <w:rPr>
          <w:i/>
          <w:color w:val="1A7F8E"/>
          <w:sz w:val="18"/>
        </w:rPr>
        <w:t>Macaulay &amp; modified duration</w:t>
      </w:r>
    </w:p>
    <w:p>
      <w:pPr>
        <w:keepNext/>
        <w:spacing w:before="160" w:after="60"/>
      </w:pPr>
      <w:r>
        <w:rPr>
          <w:b/>
          <w:color w:val="1A7F8E"/>
          <w:sz w:val="19"/>
        </w:rPr>
        <w:t>BACKGROUND</w:t>
      </w:r>
    </w:p>
    <w:p>
      <w:r>
        <w:rPr/>
        <w:t>An AAA-rated NBFC has issued a 5-year bond with a 7.50% annual coupon, face value ₹100. The current yield to maturity is 8.00%. A debt fund manager wants to understand the bond’s rate sensitivity before buying ₹25 crore of face value.</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Coupon</w:t>
            </w:r>
          </w:p>
        </w:tc>
        <w:tc>
          <w:tcPr>
            <w:tcW w:type="dxa" w:w="5386"/>
          </w:tcPr>
          <w:p>
            <w:pPr>
              <w:spacing w:after="20" w:before="20"/>
              <w:jc w:val="center"/>
            </w:pPr>
            <w:r/>
            <w:r>
              <w:rPr>
                <w:sz w:val="19"/>
              </w:rPr>
              <w:t>7.50% annual</w:t>
            </w:r>
          </w:p>
        </w:tc>
      </w:tr>
      <w:tr>
        <w:tc>
          <w:tcPr>
            <w:tcW w:type="dxa" w:w="4252"/>
            <w:shd w:val="clear" w:color="auto" w:fill="F3F6FA"/>
          </w:tcPr>
          <w:p>
            <w:pPr>
              <w:spacing w:after="20" w:before="20"/>
            </w:pPr>
            <w:r/>
            <w:r>
              <w:rPr>
                <w:b/>
                <w:sz w:val="19"/>
              </w:rPr>
              <w:t>Maturity</w:t>
            </w:r>
          </w:p>
        </w:tc>
        <w:tc>
          <w:tcPr>
            <w:tcW w:type="dxa" w:w="5386"/>
            <w:shd w:val="clear" w:color="auto" w:fill="F3F6FA"/>
          </w:tcPr>
          <w:p>
            <w:pPr>
              <w:spacing w:after="20" w:before="20"/>
              <w:jc w:val="center"/>
            </w:pPr>
            <w:r/>
            <w:r>
              <w:rPr>
                <w:sz w:val="19"/>
              </w:rPr>
              <w:t>5 years</w:t>
            </w:r>
          </w:p>
        </w:tc>
      </w:tr>
      <w:tr>
        <w:tc>
          <w:tcPr>
            <w:tcW w:type="dxa" w:w="4252"/>
          </w:tcPr>
          <w:p>
            <w:pPr>
              <w:spacing w:after="20" w:before="20"/>
            </w:pPr>
            <w:r/>
            <w:r>
              <w:rPr>
                <w:b/>
                <w:sz w:val="19"/>
              </w:rPr>
              <w:t>YTM</w:t>
            </w:r>
          </w:p>
        </w:tc>
        <w:tc>
          <w:tcPr>
            <w:tcW w:type="dxa" w:w="5386"/>
          </w:tcPr>
          <w:p>
            <w:pPr>
              <w:spacing w:after="20" w:before="20"/>
              <w:jc w:val="center"/>
            </w:pPr>
            <w:r/>
            <w:r>
              <w:rPr>
                <w:sz w:val="19"/>
              </w:rPr>
              <w:t>8.00%</w:t>
            </w:r>
          </w:p>
        </w:tc>
      </w:tr>
      <w:tr>
        <w:tc>
          <w:tcPr>
            <w:tcW w:type="dxa" w:w="4252"/>
            <w:shd w:val="clear" w:color="auto" w:fill="F3F6FA"/>
          </w:tcPr>
          <w:p>
            <w:pPr>
              <w:spacing w:after="20" w:before="20"/>
            </w:pPr>
            <w:r/>
            <w:r>
              <w:rPr>
                <w:b/>
                <w:sz w:val="19"/>
              </w:rPr>
              <w:t>Face value</w:t>
            </w:r>
          </w:p>
        </w:tc>
        <w:tc>
          <w:tcPr>
            <w:tcW w:type="dxa" w:w="5386"/>
            <w:shd w:val="clear" w:color="auto" w:fill="F3F6FA"/>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bond price.</w:t>
      </w:r>
    </w:p>
    <w:p>
      <w:pPr>
        <w:spacing w:after="40"/>
        <w:ind w:left="454" w:hanging="454"/>
      </w:pPr>
      <w:r>
        <w:rPr>
          <w:b/>
          <w:color w:val="1F3864"/>
        </w:rPr>
        <w:t xml:space="preserve">(b)  </w:t>
      </w:r>
      <w:r>
        <w:rPr/>
        <w:t>Compute Macaulay and modified duration.</w:t>
      </w:r>
    </w:p>
    <w:p>
      <w:pPr>
        <w:spacing w:after="40"/>
        <w:ind w:left="454" w:hanging="454"/>
      </w:pPr>
      <w:r>
        <w:rPr>
          <w:b/>
          <w:color w:val="1F3864"/>
        </w:rPr>
        <w:t xml:space="preserve">(c)  </w:t>
      </w:r>
      <w:r>
        <w:rPr/>
        <w:t>Estimate the % price change for a +50 bps yield rise using modified duration, and compare it with the actual change from full repricing.</w:t>
      </w:r>
    </w:p>
    <w:p>
      <w:pPr>
        <w:spacing w:after="40"/>
        <w:ind w:left="454" w:hanging="454"/>
      </w:pPr>
      <w:r>
        <w:rPr>
          <w:b/>
          <w:color w:val="1F3864"/>
        </w:rPr>
        <w:t xml:space="preserve">(d)  </w:t>
      </w:r>
      <w:r>
        <w:rPr/>
        <w:t>Estimate the rupee loss on ₹25 crore face value for a +50 bps move.</w:t>
      </w:r>
    </w:p>
    <w:p>
      <w:pPr>
        <w:spacing w:before="160"/>
      </w:pPr>
      <w:r>
        <w:rPr>
          <w:color w:val="595959"/>
          <w:sz w:val="18"/>
        </w:rPr>
        <w:t>Space for workings  ________________________________________________________________</w:t>
      </w:r>
    </w:p>
    <w:p>
      <w:pPr>
        <w:pStyle w:val="Heading2"/>
      </w:pPr>
      <w:r>
        <w:t>Case 2.2  Convexity Adjustment for Large Rate Shocks</w:t>
      </w:r>
    </w:p>
    <w:p>
      <w:r>
        <w:rPr>
          <w:i/>
          <w:color w:val="1A7F8E"/>
          <w:sz w:val="18"/>
        </w:rPr>
        <w:t>Convexity | IRRBB shocks | Graph</w:t>
      </w:r>
    </w:p>
    <w:p>
      <w:pPr>
        <w:keepNext/>
        <w:spacing w:before="160" w:after="60"/>
      </w:pPr>
      <w:r>
        <w:rPr>
          <w:b/>
          <w:color w:val="1A7F8E"/>
          <w:sz w:val="19"/>
        </w:rPr>
        <w:t>BACKGROUND</w:t>
      </w:r>
    </w:p>
    <w:p>
      <w:r>
        <w:rPr/>
        <w:t>A bank’s ALM desk holds a 10-year 7.20% annual-coupon G-sec trading at par (YTM 7.20%). For IRRBB reporting it must estimate price changes under ±100 bps and ±200 bps parallel shocks.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Coupon / YTM</w:t>
            </w:r>
          </w:p>
        </w:tc>
        <w:tc>
          <w:tcPr>
            <w:tcW w:type="dxa" w:w="5386"/>
          </w:tcPr>
          <w:p>
            <w:pPr>
              <w:spacing w:after="20" w:before="20"/>
              <w:jc w:val="center"/>
            </w:pPr>
            <w:r/>
            <w:r>
              <w:rPr>
                <w:sz w:val="19"/>
              </w:rPr>
              <w:t>7.20% / 7.20%</w:t>
            </w:r>
          </w:p>
        </w:tc>
      </w:tr>
      <w:tr>
        <w:tc>
          <w:tcPr>
            <w:tcW w:type="dxa" w:w="4252"/>
            <w:shd w:val="clear" w:color="auto" w:fill="F3F6FA"/>
          </w:tcPr>
          <w:p>
            <w:pPr>
              <w:spacing w:after="20" w:before="20"/>
            </w:pPr>
            <w:r/>
            <w:r>
              <w:rPr>
                <w:b/>
                <w:sz w:val="19"/>
              </w:rPr>
              <w:t>Maturity</w:t>
            </w:r>
          </w:p>
        </w:tc>
        <w:tc>
          <w:tcPr>
            <w:tcW w:type="dxa" w:w="5386"/>
            <w:shd w:val="clear" w:color="auto" w:fill="F3F6FA"/>
          </w:tcPr>
          <w:p>
            <w:pPr>
              <w:spacing w:after="20" w:before="20"/>
              <w:jc w:val="center"/>
            </w:pPr>
            <w:r/>
            <w:r>
              <w:rPr>
                <w:sz w:val="19"/>
              </w:rPr>
              <w:t>10 years, annual coupons</w:t>
            </w:r>
          </w:p>
        </w:tc>
      </w:tr>
      <w:tr>
        <w:tc>
          <w:tcPr>
            <w:tcW w:type="dxa" w:w="4252"/>
          </w:tcPr>
          <w:p>
            <w:pPr>
              <w:spacing w:after="20" w:before="20"/>
            </w:pPr>
            <w:r/>
            <w:r>
              <w:rPr>
                <w:b/>
                <w:sz w:val="19"/>
              </w:rPr>
              <w:t>Price</w:t>
            </w:r>
          </w:p>
        </w:tc>
        <w:tc>
          <w:tcPr>
            <w:tcW w:type="dxa" w:w="5386"/>
          </w:tcPr>
          <w:p>
            <w:pPr>
              <w:spacing w:after="20" w:before="20"/>
              <w:jc w:val="center"/>
            </w:pPr>
            <w:r/>
            <w:r>
              <w:rPr>
                <w:sz w:val="19"/>
              </w:rPr>
              <w:t>₹100.00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Macaulay duration, modified duration and convexity.</w:t>
      </w:r>
    </w:p>
    <w:p>
      <w:pPr>
        <w:spacing w:after="40"/>
        <w:ind w:left="454" w:hanging="454"/>
      </w:pPr>
      <w:r>
        <w:rPr>
          <w:b/>
          <w:color w:val="1F3864"/>
        </w:rPr>
        <w:t xml:space="preserve">(b)  </w:t>
      </w:r>
      <w:r>
        <w:rPr/>
        <w:t>For shocks of −200, −100, +100 and +200 bps, estimate % price change using (a) duration only and (b) duration + convexity.</w:t>
      </w:r>
    </w:p>
    <w:p>
      <w:pPr>
        <w:spacing w:after="40"/>
        <w:ind w:left="454" w:hanging="454"/>
      </w:pPr>
      <w:r>
        <w:rPr>
          <w:b/>
          <w:color w:val="1F3864"/>
        </w:rPr>
        <w:t xml:space="preserve">(c)  </w:t>
      </w:r>
      <w:r>
        <w:rPr/>
        <w:t>Compare with the actual % change from full repricing.</w:t>
      </w:r>
    </w:p>
    <w:p>
      <w:pPr>
        <w:spacing w:after="40"/>
        <w:ind w:left="454" w:hanging="454"/>
      </w:pPr>
      <w:r>
        <w:rPr>
          <w:b/>
          <w:color w:val="1F3864"/>
        </w:rPr>
        <w:t xml:space="preserve">(d)  </w:t>
      </w:r>
      <w:r>
        <w:rPr>
          <w:b/>
          <w:color w:val="C9A227"/>
        </w:rPr>
        <w:t xml:space="preserve">Graph task: </w:t>
      </w:r>
      <w:r>
        <w:rPr/>
        <w:t>plot the three estimates for each shock as a clustered bar chart and comment.</w:t>
      </w:r>
    </w:p>
    <w:p>
      <w:pPr>
        <w:spacing w:before="160"/>
      </w:pPr>
      <w:r>
        <w:rPr>
          <w:color w:val="595959"/>
          <w:sz w:val="18"/>
        </w:rPr>
        <w:t>Space for workings  ________________________________________________________________</w:t>
      </w:r>
    </w:p>
    <w:p>
      <w:pPr>
        <w:pStyle w:val="Heading2"/>
      </w:pPr>
      <w:r>
        <w:t>Case 2.3  PV01 Hedging with Interest Rate Futures</w:t>
      </w:r>
    </w:p>
    <w:p>
      <w:r>
        <w:rPr>
          <w:i/>
          <w:color w:val="1A7F8E"/>
          <w:sz w:val="18"/>
        </w:rPr>
        <w:t>PV01 / DV01 | Hedge ratio</w:t>
      </w:r>
    </w:p>
    <w:p>
      <w:pPr>
        <w:keepNext/>
        <w:spacing w:before="160" w:after="60"/>
      </w:pPr>
      <w:r>
        <w:rPr>
          <w:b/>
          <w:color w:val="1A7F8E"/>
          <w:sz w:val="19"/>
        </w:rPr>
        <w:t>BACKGROUND</w:t>
      </w:r>
    </w:p>
    <w:p>
      <w:r>
        <w:rPr/>
        <w:t>A bank holds ₹500 crore (market value) of G-secs with a modified duration of 5.2. The treasurer expects RBI to pause rate cuts and wants to neutralise rate risk for the next month using exchange-traded interest rate futures. The DV01 of one futures contract is ₹130 (assumed for this case).</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₹500 crore</w:t>
            </w:r>
          </w:p>
        </w:tc>
      </w:tr>
      <w:tr>
        <w:tc>
          <w:tcPr>
            <w:tcW w:type="dxa" w:w="4252"/>
            <w:shd w:val="clear" w:color="auto" w:fill="F3F6FA"/>
          </w:tcPr>
          <w:p>
            <w:pPr>
              <w:spacing w:after="20" w:before="20"/>
            </w:pPr>
            <w:r/>
            <w:r>
              <w:rPr>
                <w:b/>
                <w:sz w:val="19"/>
              </w:rPr>
              <w:t>Modified duration</w:t>
            </w:r>
          </w:p>
        </w:tc>
        <w:tc>
          <w:tcPr>
            <w:tcW w:type="dxa" w:w="5386"/>
            <w:shd w:val="clear" w:color="auto" w:fill="F3F6FA"/>
          </w:tcPr>
          <w:p>
            <w:pPr>
              <w:spacing w:after="20" w:before="20"/>
              <w:jc w:val="center"/>
            </w:pPr>
            <w:r/>
            <w:r>
              <w:rPr>
                <w:sz w:val="19"/>
              </w:rPr>
              <w:t>5.2</w:t>
            </w:r>
          </w:p>
        </w:tc>
      </w:tr>
      <w:tr>
        <w:tc>
          <w:tcPr>
            <w:tcW w:type="dxa" w:w="4252"/>
          </w:tcPr>
          <w:p>
            <w:pPr>
              <w:spacing w:after="20" w:before="20"/>
            </w:pPr>
            <w:r/>
            <w:r>
              <w:rPr>
                <w:b/>
                <w:sz w:val="19"/>
              </w:rPr>
              <w:t>DV01 per futures contract</w:t>
            </w:r>
          </w:p>
        </w:tc>
        <w:tc>
          <w:tcPr>
            <w:tcW w:type="dxa" w:w="5386"/>
          </w:tcPr>
          <w:p>
            <w:pPr>
              <w:spacing w:after="20" w:before="20"/>
              <w:jc w:val="center"/>
            </w:pPr>
            <w:r/>
            <w:r>
              <w:rPr>
                <w:sz w:val="19"/>
              </w:rPr>
              <w:t>₹130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portfolio DV01.</w:t>
      </w:r>
    </w:p>
    <w:p>
      <w:pPr>
        <w:spacing w:after="40"/>
        <w:ind w:left="454" w:hanging="454"/>
      </w:pPr>
      <w:r>
        <w:rPr>
          <w:b/>
          <w:color w:val="1F3864"/>
        </w:rPr>
        <w:t xml:space="preserve">(b)  </w:t>
      </w:r>
      <w:r>
        <w:rPr/>
        <w:t>Compute the number of futures contracts to sell for a full hedge.</w:t>
      </w:r>
    </w:p>
    <w:p>
      <w:pPr>
        <w:spacing w:after="40"/>
        <w:ind w:left="454" w:hanging="454"/>
      </w:pPr>
      <w:r>
        <w:rPr>
          <w:b/>
          <w:color w:val="1F3864"/>
        </w:rPr>
        <w:t xml:space="preserve">(c)  </w:t>
      </w:r>
      <w:r>
        <w:rPr/>
        <w:t>Estimate the unhedged loss if yields rise by 25 bps and the net result after hedging.</w:t>
      </w:r>
    </w:p>
    <w:p>
      <w:pPr>
        <w:spacing w:after="40"/>
        <w:ind w:left="454" w:hanging="454"/>
      </w:pPr>
      <w:r>
        <w:rPr>
          <w:b/>
          <w:color w:val="1F3864"/>
        </w:rPr>
        <w:t xml:space="preserve">(d)  </w:t>
      </w:r>
      <w:r>
        <w:rPr/>
        <w:t>List two residual risks that remain after the hedge.</w:t>
      </w:r>
    </w:p>
    <w:p>
      <w:pPr>
        <w:spacing w:before="160"/>
      </w:pPr>
      <w:r>
        <w:rPr>
          <w:color w:val="595959"/>
          <w:sz w:val="18"/>
        </w:rPr>
        <w:t>Space for workings  ________________________________________________________________</w:t>
      </w:r>
    </w:p>
    <w:p>
      <w:pPr>
        <w:pStyle w:val="Heading2"/>
      </w:pPr>
      <w:r>
        <w:t>Case 2.4  Beta Hedging an Equity Portfolio with Nifty Futures</w:t>
      </w:r>
    </w:p>
    <w:p>
      <w:r>
        <w:rPr>
          <w:i/>
          <w:color w:val="1A7F8E"/>
          <w:sz w:val="18"/>
        </w:rPr>
        <w:t>Beta | Index futures | Tactical de-risking</w:t>
      </w:r>
    </w:p>
    <w:p>
      <w:pPr>
        <w:keepNext/>
        <w:spacing w:before="160" w:after="60"/>
      </w:pPr>
      <w:r>
        <w:rPr>
          <w:b/>
          <w:color w:val="1A7F8E"/>
          <w:sz w:val="19"/>
        </w:rPr>
        <w:t>BACKGROUND</w:t>
      </w:r>
    </w:p>
    <w:p>
      <w:r>
        <w:rPr/>
        <w:t>A PMS manager runs a ₹25 crore equity portfolio with a beta of 1.25 to the Nifty 50. Ahead of the Union Budget and a US Fed decision, the manager wants to reduce market exposure without selling stocks. Nifty futures trade at 24,500 with a lot size of 75 (assumed).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₹25 crore</w:t>
            </w:r>
          </w:p>
        </w:tc>
      </w:tr>
      <w:tr>
        <w:tc>
          <w:tcPr>
            <w:tcW w:type="dxa" w:w="4252"/>
            <w:shd w:val="clear" w:color="auto" w:fill="F3F6FA"/>
          </w:tcPr>
          <w:p>
            <w:pPr>
              <w:spacing w:after="20" w:before="20"/>
            </w:pPr>
            <w:r/>
            <w:r>
              <w:rPr>
                <w:b/>
                <w:sz w:val="19"/>
              </w:rPr>
              <w:t>Portfolio beta</w:t>
            </w:r>
          </w:p>
        </w:tc>
        <w:tc>
          <w:tcPr>
            <w:tcW w:type="dxa" w:w="5386"/>
            <w:shd w:val="clear" w:color="auto" w:fill="F3F6FA"/>
          </w:tcPr>
          <w:p>
            <w:pPr>
              <w:spacing w:after="20" w:before="20"/>
              <w:jc w:val="center"/>
            </w:pPr>
            <w:r/>
            <w:r>
              <w:rPr>
                <w:sz w:val="19"/>
              </w:rPr>
              <w:t>1.25</w:t>
            </w:r>
          </w:p>
        </w:tc>
      </w:tr>
      <w:tr>
        <w:tc>
          <w:tcPr>
            <w:tcW w:type="dxa" w:w="4252"/>
          </w:tcPr>
          <w:p>
            <w:pPr>
              <w:spacing w:after="20" w:before="20"/>
            </w:pPr>
            <w:r/>
            <w:r>
              <w:rPr>
                <w:b/>
                <w:sz w:val="19"/>
              </w:rPr>
              <w:t>Nifty futures price</w:t>
            </w:r>
          </w:p>
        </w:tc>
        <w:tc>
          <w:tcPr>
            <w:tcW w:type="dxa" w:w="5386"/>
          </w:tcPr>
          <w:p>
            <w:pPr>
              <w:spacing w:after="20" w:before="20"/>
              <w:jc w:val="center"/>
            </w:pPr>
            <w:r/>
            <w:r>
              <w:rPr>
                <w:sz w:val="19"/>
              </w:rPr>
              <w:t>24,500</w:t>
            </w:r>
          </w:p>
        </w:tc>
      </w:tr>
      <w:tr>
        <w:tc>
          <w:tcPr>
            <w:tcW w:type="dxa" w:w="4252"/>
            <w:shd w:val="clear" w:color="auto" w:fill="F3F6FA"/>
          </w:tcPr>
          <w:p>
            <w:pPr>
              <w:spacing w:after="20" w:before="20"/>
            </w:pPr>
            <w:r/>
            <w:r>
              <w:rPr>
                <w:b/>
                <w:sz w:val="19"/>
              </w:rPr>
              <w:t>Lot size</w:t>
            </w:r>
          </w:p>
        </w:tc>
        <w:tc>
          <w:tcPr>
            <w:tcW w:type="dxa" w:w="5386"/>
            <w:shd w:val="clear" w:color="auto" w:fill="F3F6FA"/>
          </w:tcPr>
          <w:p>
            <w:pPr>
              <w:spacing w:after="20" w:before="20"/>
              <w:jc w:val="center"/>
            </w:pPr>
            <w:r/>
            <w:r>
              <w:rPr>
                <w:sz w:val="19"/>
              </w:rPr>
              <w:t>75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value of one futures contract.</w:t>
      </w:r>
    </w:p>
    <w:p>
      <w:pPr>
        <w:spacing w:after="40"/>
        <w:ind w:left="454" w:hanging="454"/>
      </w:pPr>
      <w:r>
        <w:rPr>
          <w:b/>
          <w:color w:val="1F3864"/>
        </w:rPr>
        <w:t xml:space="preserve">(b)  </w:t>
      </w:r>
      <w:r>
        <w:rPr/>
        <w:t>How many contracts must be sold to make the portfolio beta zero?</w:t>
      </w:r>
    </w:p>
    <w:p>
      <w:pPr>
        <w:spacing w:after="40"/>
        <w:ind w:left="454" w:hanging="454"/>
      </w:pPr>
      <w:r>
        <w:rPr>
          <w:b/>
          <w:color w:val="1F3864"/>
        </w:rPr>
        <w:t xml:space="preserve">(c)  </w:t>
      </w:r>
      <w:r>
        <w:rPr/>
        <w:t>How many contracts to reduce beta to 0.60?</w:t>
      </w:r>
    </w:p>
    <w:p>
      <w:pPr>
        <w:spacing w:after="40"/>
        <w:ind w:left="454" w:hanging="454"/>
      </w:pPr>
      <w:r>
        <w:rPr>
          <w:b/>
          <w:color w:val="1F3864"/>
        </w:rPr>
        <w:t xml:space="preserve">(d)  </w:t>
      </w:r>
      <w:r>
        <w:rPr/>
        <w:t>If Nifty falls 8%, compute the portfolio loss unhedged and the futures gain on the full hedge.</w:t>
      </w:r>
    </w:p>
    <w:p>
      <w:pPr>
        <w:spacing w:before="160"/>
      </w:pPr>
      <w:r>
        <w:rPr>
          <w:color w:val="595959"/>
          <w:sz w:val="18"/>
        </w:rPr>
        <w:t>Space for workings  ________________________________________________________________</w:t>
      </w:r>
    </w:p>
    <w:p>
      <w:pPr>
        <w:pStyle w:val="Heading2"/>
      </w:pPr>
      <w:r>
        <w:t>Case 2.5  Option Greeks using Black–Scholes</w:t>
      </w:r>
    </w:p>
    <w:p>
      <w:r>
        <w:rPr>
          <w:i/>
          <w:color w:val="1A7F8E"/>
          <w:sz w:val="18"/>
        </w:rPr>
        <w:t>Delta | Gamma | Vega | Theta</w:t>
      </w:r>
    </w:p>
    <w:p>
      <w:pPr>
        <w:keepNext/>
        <w:spacing w:before="160" w:after="60"/>
      </w:pPr>
      <w:r>
        <w:rPr>
          <w:b/>
          <w:color w:val="1A7F8E"/>
          <w:sz w:val="19"/>
        </w:rPr>
        <w:t>BACKGROUND</w:t>
      </w:r>
    </w:p>
    <w:p>
      <w:r>
        <w:rPr/>
        <w:t>A derivatives desk has written at-the-money 3-month call options on a large-cap stock. Spot = ₹1,500, strike = ₹1,500, risk-free rate = 6.50% (continuous), volatility = 25%, time to expiry = 0.25 years. The desk head wants the Greeks to set hedges.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S / K</w:t>
            </w:r>
          </w:p>
        </w:tc>
        <w:tc>
          <w:tcPr>
            <w:tcW w:type="dxa" w:w="5386"/>
          </w:tcPr>
          <w:p>
            <w:pPr>
              <w:spacing w:after="20" w:before="20"/>
              <w:jc w:val="center"/>
            </w:pPr>
            <w:r/>
            <w:r>
              <w:rPr>
                <w:sz w:val="19"/>
              </w:rPr>
              <w:t>₹1,500 / ₹1,500</w:t>
            </w:r>
          </w:p>
        </w:tc>
      </w:tr>
      <w:tr>
        <w:tc>
          <w:tcPr>
            <w:tcW w:type="dxa" w:w="4252"/>
            <w:shd w:val="clear" w:color="auto" w:fill="F3F6FA"/>
          </w:tcPr>
          <w:p>
            <w:pPr>
              <w:spacing w:after="20" w:before="20"/>
            </w:pPr>
            <w:r/>
            <w:r>
              <w:rPr>
                <w:b/>
                <w:sz w:val="19"/>
              </w:rPr>
              <w:t>r</w:t>
            </w:r>
          </w:p>
        </w:tc>
        <w:tc>
          <w:tcPr>
            <w:tcW w:type="dxa" w:w="5386"/>
            <w:shd w:val="clear" w:color="auto" w:fill="F3F6FA"/>
          </w:tcPr>
          <w:p>
            <w:pPr>
              <w:spacing w:after="20" w:before="20"/>
              <w:jc w:val="center"/>
            </w:pPr>
            <w:r/>
            <w:r>
              <w:rPr>
                <w:sz w:val="19"/>
              </w:rPr>
              <w:t>6.50%</w:t>
            </w:r>
          </w:p>
        </w:tc>
      </w:tr>
      <w:tr>
        <w:tc>
          <w:tcPr>
            <w:tcW w:type="dxa" w:w="4252"/>
          </w:tcPr>
          <w:p>
            <w:pPr>
              <w:spacing w:after="20" w:before="20"/>
            </w:pPr>
            <w:r/>
            <w:r>
              <w:rPr>
                <w:b/>
                <w:sz w:val="19"/>
              </w:rPr>
              <w:t>σ</w:t>
            </w:r>
          </w:p>
        </w:tc>
        <w:tc>
          <w:tcPr>
            <w:tcW w:type="dxa" w:w="5386"/>
          </w:tcPr>
          <w:p>
            <w:pPr>
              <w:spacing w:after="20" w:before="20"/>
              <w:jc w:val="center"/>
            </w:pPr>
            <w:r/>
            <w:r>
              <w:rPr>
                <w:sz w:val="19"/>
              </w:rPr>
              <w:t>25%</w:t>
            </w:r>
          </w:p>
        </w:tc>
      </w:tr>
      <w:tr>
        <w:tc>
          <w:tcPr>
            <w:tcW w:type="dxa" w:w="4252"/>
            <w:shd w:val="clear" w:color="auto" w:fill="F3F6FA"/>
          </w:tcPr>
          <w:p>
            <w:pPr>
              <w:spacing w:after="20" w:before="20"/>
            </w:pPr>
            <w:r/>
            <w:r>
              <w:rPr>
                <w:b/>
                <w:sz w:val="19"/>
              </w:rPr>
              <w:t>T</w:t>
            </w:r>
          </w:p>
        </w:tc>
        <w:tc>
          <w:tcPr>
            <w:tcW w:type="dxa" w:w="5386"/>
            <w:shd w:val="clear" w:color="auto" w:fill="F3F6FA"/>
          </w:tcPr>
          <w:p>
            <w:pPr>
              <w:spacing w:after="20" w:before="20"/>
              <w:jc w:val="center"/>
            </w:pPr>
            <w:r/>
            <w:r>
              <w:rPr>
                <w:sz w:val="19"/>
              </w:rPr>
              <w:t>0.25 years</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d₁, d₂, N(d₁), N(d₂) and the call price.</w:t>
      </w:r>
    </w:p>
    <w:p>
      <w:pPr>
        <w:spacing w:after="40"/>
        <w:ind w:left="454" w:hanging="454"/>
      </w:pPr>
      <w:r>
        <w:rPr>
          <w:b/>
          <w:color w:val="1F3864"/>
        </w:rPr>
        <w:t xml:space="preserve">(b)  </w:t>
      </w:r>
      <w:r>
        <w:rPr/>
        <w:t>Compute delta, gamma, vega (per 1% vol) and theta (per day).</w:t>
      </w:r>
    </w:p>
    <w:p>
      <w:pPr>
        <w:spacing w:after="40"/>
        <w:ind w:left="454" w:hanging="454"/>
      </w:pPr>
      <w:r>
        <w:rPr>
          <w:b/>
          <w:color w:val="1F3864"/>
        </w:rPr>
        <w:t xml:space="preserve">(c)  </w:t>
      </w:r>
      <w:r>
        <w:rPr/>
        <w:t>Estimate the change in call price for a ₹30 rise in the stock using (a) delta only and (b) delta + gamma. Compare with the actual Black–Scholes reprice.</w:t>
      </w:r>
    </w:p>
    <w:p>
      <w:pPr>
        <w:spacing w:after="40"/>
        <w:ind w:left="454" w:hanging="454"/>
      </w:pPr>
      <w:r>
        <w:rPr>
          <w:b/>
          <w:color w:val="1F3864"/>
        </w:rPr>
        <w:t xml:space="preserve">(d)  </w:t>
      </w:r>
      <w:r>
        <w:rPr/>
        <w:t>Why is gamma most dangerous for a short-option position close to expiry?</w:t>
      </w:r>
    </w:p>
    <w:p>
      <w:pPr>
        <w:spacing w:before="160"/>
      </w:pPr>
      <w:r>
        <w:rPr>
          <w:color w:val="595959"/>
          <w:sz w:val="18"/>
        </w:rPr>
        <w:t>Space for workings  ________________________________________________________________</w:t>
      </w:r>
    </w:p>
    <w:p>
      <w:pPr>
        <w:pStyle w:val="Heading2"/>
      </w:pPr>
      <w:r>
        <w:t>Case 2.6  Delta–Gamma Neutral Hedging of an Options Book</w:t>
      </w:r>
    </w:p>
    <w:p>
      <w:r>
        <w:rPr>
          <w:i/>
          <w:color w:val="1A7F8E"/>
          <w:sz w:val="18"/>
        </w:rPr>
        <w:t>Delta hedging | Gamma hedging</w:t>
      </w:r>
    </w:p>
    <w:p>
      <w:pPr>
        <w:keepNext/>
        <w:spacing w:before="160" w:after="60"/>
      </w:pPr>
      <w:r>
        <w:rPr>
          <w:b/>
          <w:color w:val="1A7F8E"/>
          <w:sz w:val="19"/>
        </w:rPr>
        <w:t>BACKGROUND</w:t>
      </w:r>
    </w:p>
    <w:p>
      <w:r>
        <w:rPr/>
        <w:t>A dealer is short 50,000 call options (Option A) with delta 0.55 and gamma 0.0021 each. A second traded option (Option B) on the same stock has delta 0.40 and gamma 0.0030. The dealer wants a hedge that survives larger moves.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Instrument</w:t>
            </w:r>
          </w:p>
        </w:tc>
        <w:tc>
          <w:tcPr>
            <w:tcW w:type="dxa" w:w="2230"/>
            <w:shd w:val="clear" w:color="auto" w:fill="1F3864"/>
          </w:tcPr>
          <w:p>
            <w:pPr>
              <w:spacing w:after="20" w:before="20"/>
            </w:pPr>
            <w:r/>
            <w:r>
              <w:rPr>
                <w:b/>
                <w:color w:val="FFFFFF"/>
                <w:sz w:val="19"/>
              </w:rPr>
              <w:t>Position</w:t>
            </w:r>
          </w:p>
        </w:tc>
        <w:tc>
          <w:tcPr>
            <w:tcW w:type="dxa" w:w="2230"/>
            <w:shd w:val="clear" w:color="auto" w:fill="1F3864"/>
          </w:tcPr>
          <w:p>
            <w:pPr>
              <w:spacing w:after="20" w:before="20"/>
            </w:pPr>
            <w:r/>
            <w:r>
              <w:rPr>
                <w:b/>
                <w:color w:val="FFFFFF"/>
                <w:sz w:val="19"/>
              </w:rPr>
              <w:t>Delta</w:t>
            </w:r>
          </w:p>
        </w:tc>
        <w:tc>
          <w:tcPr>
            <w:tcW w:type="dxa" w:w="2230"/>
            <w:shd w:val="clear" w:color="auto" w:fill="1F3864"/>
          </w:tcPr>
          <w:p>
            <w:pPr>
              <w:spacing w:after="20" w:before="20"/>
            </w:pPr>
            <w:r/>
            <w:r>
              <w:rPr>
                <w:b/>
                <w:color w:val="FFFFFF"/>
                <w:sz w:val="19"/>
              </w:rPr>
              <w:t>Gamma</w:t>
            </w:r>
          </w:p>
        </w:tc>
      </w:tr>
      <w:tr>
        <w:tc>
          <w:tcPr>
            <w:tcW w:type="dxa" w:w="2948"/>
          </w:tcPr>
          <w:p>
            <w:pPr>
              <w:spacing w:after="20" w:before="20"/>
            </w:pPr>
            <w:r/>
            <w:r>
              <w:rPr>
                <w:b/>
                <w:sz w:val="19"/>
              </w:rPr>
              <w:t>Option A</w:t>
            </w:r>
          </w:p>
        </w:tc>
        <w:tc>
          <w:tcPr>
            <w:tcW w:type="dxa" w:w="2230"/>
          </w:tcPr>
          <w:p>
            <w:pPr>
              <w:spacing w:after="20" w:before="20"/>
              <w:jc w:val="center"/>
            </w:pPr>
            <w:r/>
            <w:r>
              <w:rPr>
                <w:sz w:val="19"/>
              </w:rPr>
              <w:t>−50,000</w:t>
            </w:r>
          </w:p>
        </w:tc>
        <w:tc>
          <w:tcPr>
            <w:tcW w:type="dxa" w:w="2230"/>
          </w:tcPr>
          <w:p>
            <w:pPr>
              <w:spacing w:after="20" w:before="20"/>
              <w:jc w:val="center"/>
            </w:pPr>
            <w:r/>
            <w:r>
              <w:rPr>
                <w:sz w:val="19"/>
              </w:rPr>
              <w:t>0.55</w:t>
            </w:r>
          </w:p>
        </w:tc>
        <w:tc>
          <w:tcPr>
            <w:tcW w:type="dxa" w:w="2230"/>
          </w:tcPr>
          <w:p>
            <w:pPr>
              <w:spacing w:after="20" w:before="20"/>
              <w:jc w:val="center"/>
            </w:pPr>
            <w:r/>
            <w:r>
              <w:rPr>
                <w:sz w:val="19"/>
              </w:rPr>
              <w:t>0.0021</w:t>
            </w:r>
          </w:p>
        </w:tc>
      </w:tr>
      <w:tr>
        <w:tc>
          <w:tcPr>
            <w:tcW w:type="dxa" w:w="2948"/>
            <w:shd w:val="clear" w:color="auto" w:fill="F3F6FA"/>
          </w:tcPr>
          <w:p>
            <w:pPr>
              <w:spacing w:after="20" w:before="20"/>
            </w:pPr>
            <w:r/>
            <w:r>
              <w:rPr>
                <w:b/>
                <w:sz w:val="19"/>
              </w:rPr>
              <w:t>Option B</w:t>
            </w:r>
          </w:p>
        </w:tc>
        <w:tc>
          <w:tcPr>
            <w:tcW w:type="dxa" w:w="2230"/>
            <w:shd w:val="clear" w:color="auto" w:fill="F3F6FA"/>
          </w:tcPr>
          <w:p>
            <w:pPr>
              <w:spacing w:after="20" w:before="20"/>
              <w:jc w:val="center"/>
            </w:pPr>
            <w:r/>
            <w:r>
              <w:rPr>
                <w:sz w:val="19"/>
              </w:rPr>
              <w:t>to be decided</w:t>
            </w:r>
          </w:p>
        </w:tc>
        <w:tc>
          <w:tcPr>
            <w:tcW w:type="dxa" w:w="2230"/>
            <w:shd w:val="clear" w:color="auto" w:fill="F3F6FA"/>
          </w:tcPr>
          <w:p>
            <w:pPr>
              <w:spacing w:after="20" w:before="20"/>
              <w:jc w:val="center"/>
            </w:pPr>
            <w:r/>
            <w:r>
              <w:rPr>
                <w:sz w:val="19"/>
              </w:rPr>
              <w:t>0.40</w:t>
            </w:r>
          </w:p>
        </w:tc>
        <w:tc>
          <w:tcPr>
            <w:tcW w:type="dxa" w:w="2230"/>
            <w:shd w:val="clear" w:color="auto" w:fill="F3F6FA"/>
          </w:tcPr>
          <w:p>
            <w:pPr>
              <w:spacing w:after="20" w:before="20"/>
              <w:jc w:val="center"/>
            </w:pPr>
            <w:r/>
            <w:r>
              <w:rPr>
                <w:sz w:val="19"/>
              </w:rPr>
              <w:t>0.0030</w:t>
            </w:r>
          </w:p>
        </w:tc>
      </w:tr>
      <w:tr>
        <w:tc>
          <w:tcPr>
            <w:tcW w:type="dxa" w:w="2948"/>
          </w:tcPr>
          <w:p>
            <w:pPr>
              <w:spacing w:after="20" w:before="20"/>
            </w:pPr>
            <w:r/>
            <w:r>
              <w:rPr>
                <w:b/>
                <w:sz w:val="19"/>
              </w:rPr>
              <w:t>Stock</w:t>
            </w:r>
          </w:p>
        </w:tc>
        <w:tc>
          <w:tcPr>
            <w:tcW w:type="dxa" w:w="2230"/>
          </w:tcPr>
          <w:p>
            <w:pPr>
              <w:spacing w:after="20" w:before="20"/>
              <w:jc w:val="center"/>
            </w:pPr>
            <w:r/>
            <w:r>
              <w:rPr>
                <w:sz w:val="19"/>
              </w:rPr>
              <w:t>to be decided</w:t>
            </w:r>
          </w:p>
        </w:tc>
        <w:tc>
          <w:tcPr>
            <w:tcW w:type="dxa" w:w="2230"/>
          </w:tcPr>
          <w:p>
            <w:pPr>
              <w:spacing w:after="20" w:before="20"/>
              <w:jc w:val="center"/>
            </w:pPr>
            <w:r/>
            <w:r>
              <w:rPr>
                <w:sz w:val="19"/>
              </w:rPr>
              <w:t>1.00</w:t>
            </w:r>
          </w:p>
        </w:tc>
        <w:tc>
          <w:tcPr>
            <w:tcW w:type="dxa" w:w="2230"/>
          </w:tcPr>
          <w:p>
            <w:pPr>
              <w:spacing w:after="20" w:before="20"/>
              <w:jc w:val="center"/>
            </w:pPr>
            <w:r/>
            <w:r>
              <w:rPr>
                <w:sz w:val="19"/>
              </w:rPr>
              <w:t>0.0000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How many shares are needed for a delta-only hedge?</w:t>
      </w:r>
    </w:p>
    <w:p>
      <w:pPr>
        <w:spacing w:after="40"/>
        <w:ind w:left="454" w:hanging="454"/>
      </w:pPr>
      <w:r>
        <w:rPr>
          <w:b/>
          <w:color w:val="1F3864"/>
        </w:rPr>
        <w:t xml:space="preserve">(b)  </w:t>
      </w:r>
      <w:r>
        <w:rPr/>
        <w:t>How many Option B contracts make the book gamma-neutral?</w:t>
      </w:r>
    </w:p>
    <w:p>
      <w:pPr>
        <w:spacing w:after="40"/>
        <w:ind w:left="454" w:hanging="454"/>
      </w:pPr>
      <w:r>
        <w:rPr>
          <w:b/>
          <w:color w:val="1F3864"/>
        </w:rPr>
        <w:t xml:space="preserve">(c)  </w:t>
      </w:r>
      <w:r>
        <w:rPr/>
        <w:t>After the gamma hedge, how many shares make the book delta-neutral as well?</w:t>
      </w:r>
    </w:p>
    <w:p>
      <w:pPr>
        <w:spacing w:after="40"/>
        <w:ind w:left="454" w:hanging="454"/>
      </w:pPr>
      <w:r>
        <w:rPr>
          <w:b/>
          <w:color w:val="1F3864"/>
        </w:rPr>
        <w:t xml:space="preserve">(d)  </w:t>
      </w:r>
      <w:r>
        <w:rPr/>
        <w:t>Why must the gamma hedge be done first?</w:t>
      </w:r>
    </w:p>
    <w:p>
      <w:pPr>
        <w:spacing w:before="160"/>
      </w:pPr>
      <w:r>
        <w:rPr>
          <w:color w:val="595959"/>
          <w:sz w:val="18"/>
        </w:rPr>
        <w:t>Space for workings  ________________________________________________________________</w:t>
      </w:r>
    </w:p>
    <w:p>
      <w:pPr>
        <w:pStyle w:val="Heading2"/>
      </w:pPr>
      <w:r>
        <w:t>Case 2.7  Duration Gap Analysis — An SVB-Style Stress</w:t>
      </w:r>
    </w:p>
    <w:p>
      <w:r>
        <w:rPr>
          <w:i/>
          <w:color w:val="1A7F8E"/>
          <w:sz w:val="18"/>
        </w:rPr>
        <w:t>ALM | Duration gap | Economic value of equity</w:t>
      </w:r>
    </w:p>
    <w:p>
      <w:pPr>
        <w:keepNext/>
        <w:spacing w:before="160" w:after="60"/>
      </w:pPr>
      <w:r>
        <w:rPr>
          <w:b/>
          <w:color w:val="1A7F8E"/>
          <w:sz w:val="19"/>
        </w:rPr>
        <w:t>BACKGROUND</w:t>
      </w:r>
    </w:p>
    <w:p>
      <w:r>
        <w:rPr/>
        <w:t>A mid-sized bank has total assets of ₹10,000 crore (duration 4.5 years, largely fixed-rate bonds and home loans) and liabilities of ₹9,200 crore (duration 1.2 years, mostly term deposits and CASA). Equity is ₹800 crore and the average yield is 7%. The Board asks what a 200 bps rise in rates would do to the economic value of equity.</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Item</w:t>
            </w:r>
          </w:p>
        </w:tc>
        <w:tc>
          <w:tcPr>
            <w:tcW w:type="dxa" w:w="3345"/>
            <w:shd w:val="clear" w:color="auto" w:fill="1F3864"/>
          </w:tcPr>
          <w:p>
            <w:pPr>
              <w:spacing w:after="20" w:before="20"/>
            </w:pPr>
            <w:r/>
            <w:r>
              <w:rPr>
                <w:b/>
                <w:color w:val="FFFFFF"/>
                <w:sz w:val="19"/>
              </w:rPr>
              <w:t>Value (₹ crore)</w:t>
            </w:r>
          </w:p>
        </w:tc>
        <w:tc>
          <w:tcPr>
            <w:tcW w:type="dxa" w:w="3345"/>
            <w:shd w:val="clear" w:color="auto" w:fill="1F3864"/>
          </w:tcPr>
          <w:p>
            <w:pPr>
              <w:spacing w:after="20" w:before="20"/>
            </w:pPr>
            <w:r/>
            <w:r>
              <w:rPr>
                <w:b/>
                <w:color w:val="FFFFFF"/>
                <w:sz w:val="19"/>
              </w:rPr>
              <w:t>Duration (yrs)</w:t>
            </w:r>
          </w:p>
        </w:tc>
      </w:tr>
      <w:tr>
        <w:tc>
          <w:tcPr>
            <w:tcW w:type="dxa" w:w="2948"/>
          </w:tcPr>
          <w:p>
            <w:pPr>
              <w:spacing w:after="20" w:before="20"/>
            </w:pPr>
            <w:r/>
            <w:r>
              <w:rPr>
                <w:b/>
                <w:sz w:val="19"/>
              </w:rPr>
              <w:t>Assets</w:t>
            </w:r>
          </w:p>
        </w:tc>
        <w:tc>
          <w:tcPr>
            <w:tcW w:type="dxa" w:w="3345"/>
          </w:tcPr>
          <w:p>
            <w:pPr>
              <w:spacing w:after="20" w:before="20"/>
              <w:jc w:val="center"/>
            </w:pPr>
            <w:r/>
            <w:r>
              <w:rPr>
                <w:sz w:val="19"/>
              </w:rPr>
              <w:t>10,000</w:t>
            </w:r>
          </w:p>
        </w:tc>
        <w:tc>
          <w:tcPr>
            <w:tcW w:type="dxa" w:w="3345"/>
          </w:tcPr>
          <w:p>
            <w:pPr>
              <w:spacing w:after="20" w:before="20"/>
              <w:jc w:val="center"/>
            </w:pPr>
            <w:r/>
            <w:r>
              <w:rPr>
                <w:sz w:val="19"/>
              </w:rPr>
              <w:t>4.5</w:t>
            </w:r>
          </w:p>
        </w:tc>
      </w:tr>
      <w:tr>
        <w:tc>
          <w:tcPr>
            <w:tcW w:type="dxa" w:w="2948"/>
            <w:shd w:val="clear" w:color="auto" w:fill="F3F6FA"/>
          </w:tcPr>
          <w:p>
            <w:pPr>
              <w:spacing w:after="20" w:before="20"/>
            </w:pPr>
            <w:r/>
            <w:r>
              <w:rPr>
                <w:b/>
                <w:sz w:val="19"/>
              </w:rPr>
              <w:t>Liabilities</w:t>
            </w:r>
          </w:p>
        </w:tc>
        <w:tc>
          <w:tcPr>
            <w:tcW w:type="dxa" w:w="3345"/>
            <w:shd w:val="clear" w:color="auto" w:fill="F3F6FA"/>
          </w:tcPr>
          <w:p>
            <w:pPr>
              <w:spacing w:after="20" w:before="20"/>
              <w:jc w:val="center"/>
            </w:pPr>
            <w:r/>
            <w:r>
              <w:rPr>
                <w:sz w:val="19"/>
              </w:rPr>
              <w:t>9,200</w:t>
            </w:r>
          </w:p>
        </w:tc>
        <w:tc>
          <w:tcPr>
            <w:tcW w:type="dxa" w:w="3345"/>
            <w:shd w:val="clear" w:color="auto" w:fill="F3F6FA"/>
          </w:tcPr>
          <w:p>
            <w:pPr>
              <w:spacing w:after="20" w:before="20"/>
              <w:jc w:val="center"/>
            </w:pPr>
            <w:r/>
            <w:r>
              <w:rPr>
                <w:sz w:val="19"/>
              </w:rPr>
              <w:t>1.2</w:t>
            </w:r>
          </w:p>
        </w:tc>
      </w:tr>
      <w:tr>
        <w:tc>
          <w:tcPr>
            <w:tcW w:type="dxa" w:w="2948"/>
          </w:tcPr>
          <w:p>
            <w:pPr>
              <w:spacing w:after="20" w:before="20"/>
            </w:pPr>
            <w:r/>
            <w:r>
              <w:rPr>
                <w:b/>
                <w:sz w:val="19"/>
              </w:rPr>
              <w:t>Equity</w:t>
            </w:r>
          </w:p>
        </w:tc>
        <w:tc>
          <w:tcPr>
            <w:tcW w:type="dxa" w:w="3345"/>
          </w:tcPr>
          <w:p>
            <w:pPr>
              <w:spacing w:after="20" w:before="20"/>
              <w:jc w:val="center"/>
            </w:pPr>
            <w:r/>
            <w:r>
              <w:rPr>
                <w:sz w:val="19"/>
              </w:rPr>
              <w:t>800</w:t>
            </w:r>
          </w:p>
        </w:tc>
        <w:tc>
          <w:tcPr>
            <w:tcW w:type="dxa" w:w="3345"/>
          </w:tcPr>
          <w:p>
            <w:pPr>
              <w:spacing w:after="20" w:before="20"/>
              <w:jc w:val="center"/>
            </w:pPr>
            <w:r/>
            <w:r>
              <w:rPr>
                <w:sz w:val="19"/>
              </w:rPr>
              <w:t>—</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duration gap.</w:t>
      </w:r>
    </w:p>
    <w:p>
      <w:pPr>
        <w:spacing w:after="40"/>
        <w:ind w:left="454" w:hanging="454"/>
      </w:pPr>
      <w:r>
        <w:rPr>
          <w:b/>
          <w:color w:val="1F3864"/>
        </w:rPr>
        <w:t xml:space="preserve">(b)  </w:t>
      </w:r>
      <w:r>
        <w:rPr/>
        <w:t>Estimate the change in the economic value of equity for +200 bps.</w:t>
      </w:r>
    </w:p>
    <w:p>
      <w:pPr>
        <w:spacing w:after="40"/>
        <w:ind w:left="454" w:hanging="454"/>
      </w:pPr>
      <w:r>
        <w:rPr>
          <w:b/>
          <w:color w:val="1F3864"/>
        </w:rPr>
        <w:t xml:space="preserve">(c)  </w:t>
      </w:r>
      <w:r>
        <w:rPr/>
        <w:t>Express it as a % of equity and comment.</w:t>
      </w:r>
    </w:p>
    <w:p>
      <w:pPr>
        <w:spacing w:after="40"/>
        <w:ind w:left="454" w:hanging="454"/>
      </w:pPr>
      <w:r>
        <w:rPr>
          <w:b/>
          <w:color w:val="1F3864"/>
        </w:rPr>
        <w:t xml:space="preserve">(d)  </w:t>
      </w:r>
      <w:r>
        <w:rPr/>
        <w:t>What asset duration would immunise equity? Suggest two practical actions.</w:t>
      </w:r>
    </w:p>
    <w:p>
      <w:pPr>
        <w:spacing w:before="160"/>
      </w:pPr>
      <w:r>
        <w:rPr>
          <w:color w:val="595959"/>
          <w:sz w:val="18"/>
        </w:rPr>
        <w:t>Space for workings  ________________________________________________________________</w:t>
      </w:r>
    </w:p>
    <w:p>
      <w:pPr>
        <w:pStyle w:val="Heading2"/>
      </w:pPr>
      <w:r>
        <w:t>Case 2.8  Effective Duration and Negative Convexity of a Callable Bond</w:t>
      </w:r>
    </w:p>
    <w:p>
      <w:r>
        <w:rPr>
          <w:i/>
          <w:color w:val="1A7F8E"/>
          <w:sz w:val="18"/>
        </w:rPr>
        <w:t>Effective duration | Embedded options</w:t>
      </w:r>
    </w:p>
    <w:p>
      <w:pPr>
        <w:keepNext/>
        <w:spacing w:before="160" w:after="60"/>
      </w:pPr>
      <w:r>
        <w:rPr>
          <w:b/>
          <w:color w:val="1A7F8E"/>
          <w:sz w:val="19"/>
        </w:rPr>
        <w:t>BACKGROUND</w:t>
      </w:r>
    </w:p>
    <w:p>
      <w:r>
        <w:rPr/>
        <w:t>A callable corporate bond currently trades at ₹100.80. A pricing model (OAS) shows the price would be ₹102.10 if yields fell 50 bps and ₹99.30 if yields rose 50 bps. The issuer can call the bond at ₹102.</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Scenario</w:t>
            </w:r>
          </w:p>
        </w:tc>
        <w:tc>
          <w:tcPr>
            <w:tcW w:type="dxa" w:w="5386"/>
            <w:shd w:val="clear" w:color="auto" w:fill="1F3864"/>
          </w:tcPr>
          <w:p>
            <w:pPr>
              <w:spacing w:after="20" w:before="20"/>
            </w:pPr>
            <w:r/>
            <w:r>
              <w:rPr>
                <w:b/>
                <w:color w:val="FFFFFF"/>
                <w:sz w:val="19"/>
              </w:rPr>
              <w:t>Price (₹)</w:t>
            </w:r>
          </w:p>
        </w:tc>
      </w:tr>
      <w:tr>
        <w:tc>
          <w:tcPr>
            <w:tcW w:type="dxa" w:w="4252"/>
          </w:tcPr>
          <w:p>
            <w:pPr>
              <w:spacing w:after="20" w:before="20"/>
            </w:pPr>
            <w:r/>
            <w:r>
              <w:rPr>
                <w:b/>
                <w:sz w:val="19"/>
              </w:rPr>
              <w:t>Yield −50 bps</w:t>
            </w:r>
          </w:p>
        </w:tc>
        <w:tc>
          <w:tcPr>
            <w:tcW w:type="dxa" w:w="5386"/>
          </w:tcPr>
          <w:p>
            <w:pPr>
              <w:spacing w:after="20" w:before="20"/>
              <w:jc w:val="center"/>
            </w:pPr>
            <w:r/>
            <w:r>
              <w:rPr>
                <w:sz w:val="19"/>
              </w:rPr>
              <w:t>102.10</w:t>
            </w:r>
          </w:p>
        </w:tc>
      </w:tr>
      <w:tr>
        <w:tc>
          <w:tcPr>
            <w:tcW w:type="dxa" w:w="4252"/>
            <w:shd w:val="clear" w:color="auto" w:fill="F3F6FA"/>
          </w:tcPr>
          <w:p>
            <w:pPr>
              <w:spacing w:after="20" w:before="20"/>
            </w:pPr>
            <w:r/>
            <w:r>
              <w:rPr>
                <w:b/>
                <w:sz w:val="19"/>
              </w:rPr>
              <w:t>Current</w:t>
            </w:r>
          </w:p>
        </w:tc>
        <w:tc>
          <w:tcPr>
            <w:tcW w:type="dxa" w:w="5386"/>
            <w:shd w:val="clear" w:color="auto" w:fill="F3F6FA"/>
          </w:tcPr>
          <w:p>
            <w:pPr>
              <w:spacing w:after="20" w:before="20"/>
              <w:jc w:val="center"/>
            </w:pPr>
            <w:r/>
            <w:r>
              <w:rPr>
                <w:sz w:val="19"/>
              </w:rPr>
              <w:t>100.80</w:t>
            </w:r>
          </w:p>
        </w:tc>
      </w:tr>
      <w:tr>
        <w:tc>
          <w:tcPr>
            <w:tcW w:type="dxa" w:w="4252"/>
          </w:tcPr>
          <w:p>
            <w:pPr>
              <w:spacing w:after="20" w:before="20"/>
            </w:pPr>
            <w:r/>
            <w:r>
              <w:rPr>
                <w:b/>
                <w:sz w:val="19"/>
              </w:rPr>
              <w:t>Yield +50 bps</w:t>
            </w:r>
          </w:p>
        </w:tc>
        <w:tc>
          <w:tcPr>
            <w:tcW w:type="dxa" w:w="5386"/>
          </w:tcPr>
          <w:p>
            <w:pPr>
              <w:spacing w:after="20" w:before="20"/>
              <w:jc w:val="center"/>
            </w:pPr>
            <w:r/>
            <w:r>
              <w:rPr>
                <w:sz w:val="19"/>
              </w:rPr>
              <w:t>99.30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effective duration.</w:t>
      </w:r>
    </w:p>
    <w:p>
      <w:pPr>
        <w:spacing w:after="40"/>
        <w:ind w:left="454" w:hanging="454"/>
      </w:pPr>
      <w:r>
        <w:rPr>
          <w:b/>
          <w:color w:val="1F3864"/>
        </w:rPr>
        <w:t xml:space="preserve">(b)  </w:t>
      </w:r>
      <w:r>
        <w:rPr/>
        <w:t>Compute effective convexity and interpret its sign.</w:t>
      </w:r>
    </w:p>
    <w:p>
      <w:pPr>
        <w:spacing w:after="40"/>
        <w:ind w:left="454" w:hanging="454"/>
      </w:pPr>
      <w:r>
        <w:rPr>
          <w:b/>
          <w:color w:val="1F3864"/>
        </w:rPr>
        <w:t xml:space="preserve">(c)  </w:t>
      </w:r>
      <w:r>
        <w:rPr/>
        <w:t>Estimate the % price change for a +100 bps shock.</w:t>
      </w:r>
    </w:p>
    <w:p>
      <w:pPr>
        <w:spacing w:after="40"/>
        <w:ind w:left="454" w:hanging="454"/>
      </w:pPr>
      <w:r>
        <w:rPr>
          <w:b/>
          <w:color w:val="1F3864"/>
        </w:rPr>
        <w:t xml:space="preserve">(d)  </w:t>
      </w:r>
      <w:r>
        <w:rPr/>
        <w:t>Why is modified duration inappropriate for this bond?</w:t>
      </w:r>
    </w:p>
    <w:p>
      <w:pPr>
        <w:spacing w:before="160"/>
      </w:pPr>
      <w:r>
        <w:rPr>
          <w:color w:val="595959"/>
          <w:sz w:val="18"/>
        </w:rPr>
        <w:t>Space for workings  ________________________________________________________________</w:t>
      </w:r>
    </w:p>
    <w:p>
      <w:r>
        <w:br w:type="page"/>
      </w:r>
    </w:p>
    <w:p>
      <w:pPr>
        <w:spacing w:after="0"/>
      </w:pPr>
      <w:r>
        <w:rPr>
          <w:b/>
          <w:color w:val="1A7F8E"/>
          <w:sz w:val="22"/>
        </w:rPr>
        <w:t>MODULE 3</w:t>
      </w:r>
    </w:p>
    <w:p>
      <w:pPr>
        <w:pStyle w:val="Heading1"/>
      </w:pPr>
      <w:r>
        <w:t>Risk-Adjusted Return on Capital (RAROC)</w:t>
      </w:r>
    </w:p>
    <w:p>
      <w:pPr>
        <w:pStyle w:val="Heading2"/>
      </w:pPr>
      <w:r>
        <w:t>1. What is it?</w:t>
      </w:r>
    </w:p>
    <w:p>
      <w:r>
        <w:rPr/>
        <w:t>RAROC measures the return a business, product or customer earns on the economic capital it consumes. It adjusts profit for expected loss (the average cost of risk) and divides by economic capital (the buffer against unexpected loss). A loan that looks highly profitable on yield may destroy value once its credit risk and capital consumption are recognised.</w:t>
      </w:r>
    </w:p>
    <w:p>
      <w:pPr>
        <w:pStyle w:val="Heading2"/>
      </w:pPr>
      <w:r>
        <w:t>2. Why is it important?</w:t>
      </w:r>
    </w:p>
    <w:p>
      <w:pPr>
        <w:pStyle w:val="ListBullet"/>
      </w:pPr>
      <w:r>
        <w:rPr/>
        <w:t>Puts businesses with very different risk profiles — retail loans, corporate lending, treasury, fee businesses — on one comparable scale.</w:t>
      </w:r>
    </w:p>
    <w:p>
      <w:pPr>
        <w:pStyle w:val="ListBullet"/>
      </w:pPr>
      <w:r>
        <w:rPr/>
        <w:t>Drives risk-based pricing: the minimum rate a bank should charge to meet shareholder expectations.</w:t>
      </w:r>
    </w:p>
    <w:p>
      <w:pPr>
        <w:pStyle w:val="ListBullet"/>
      </w:pPr>
      <w:r>
        <w:rPr/>
        <w:t>Links risk management to value creation: Economic Value Added (EVA) = (RAROC − hurdle) × capital.</w:t>
      </w:r>
    </w:p>
    <w:p>
      <w:pPr>
        <w:pStyle w:val="ListBullet"/>
      </w:pPr>
      <w:r>
        <w:rPr/>
        <w:t>Supports ICAAP, capital budgeting across divisions and performance-linked compensation.</w:t>
      </w:r>
    </w:p>
    <w:p>
      <w:pPr>
        <w:pStyle w:val="Heading2"/>
      </w:pPr>
      <w:r>
        <w:t>3. How is it used in industry?</w:t>
      </w:r>
    </w:p>
    <w:p>
      <w:pPr>
        <w:pStyle w:val="ListBullet"/>
      </w:pPr>
      <w:r>
        <w:rPr>
          <w:b/>
        </w:rPr>
        <w:t>Loan pricing</w:t>
      </w:r>
      <w:r>
        <w:rPr/>
        <w:t xml:space="preserve"> — relationship managers use a RAROC calculator before sanctioning; deals below hurdle need higher pricing, collateral or fee cross-sell.</w:t>
      </w:r>
    </w:p>
    <w:p>
      <w:pPr>
        <w:pStyle w:val="ListBullet"/>
      </w:pPr>
      <w:r>
        <w:rPr>
          <w:b/>
        </w:rPr>
        <w:t>Capital allocation</w:t>
      </w:r>
      <w:r>
        <w:rPr/>
        <w:t xml:space="preserve"> — the Board allocates economic capital to business lines that earn above-hurdle RAROC.</w:t>
      </w:r>
    </w:p>
    <w:p>
      <w:pPr>
        <w:pStyle w:val="ListBullet"/>
      </w:pPr>
      <w:r>
        <w:rPr>
          <w:b/>
        </w:rPr>
        <w:t>Performance measurement</w:t>
      </w:r>
      <w:r>
        <w:rPr/>
        <w:t xml:space="preserve"> — business heads are measured on risk-adjusted profit rather than volumes.</w:t>
      </w:r>
    </w:p>
    <w:p>
      <w:pPr>
        <w:pStyle w:val="ListBullet"/>
      </w:pPr>
      <w:r>
        <w:rPr>
          <w:b/>
        </w:rPr>
        <w:t>Portfolio strategy</w:t>
      </w:r>
      <w:r>
        <w:rPr/>
        <w:t xml:space="preserve"> — exit or re-price segments where RAROC is persistently below the cost of equity.</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shd w:val="clear" w:color="auto" w:fill="1F3864"/>
          </w:tcPr>
          <w:p>
            <w:pPr>
              <w:spacing w:after="20" w:before="20"/>
            </w:pPr>
            <w:r/>
            <w:r>
              <w:rPr>
                <w:b/>
                <w:color w:val="FFFFFF"/>
                <w:sz w:val="18"/>
              </w:rPr>
              <w:t>RAROC building block</w:t>
            </w:r>
          </w:p>
        </w:tc>
        <w:tc>
          <w:tcPr>
            <w:tcW w:type="dxa" w:w="3798"/>
            <w:shd w:val="clear" w:color="auto" w:fill="1F3864"/>
          </w:tcPr>
          <w:p>
            <w:pPr>
              <w:spacing w:after="20" w:before="20"/>
            </w:pPr>
            <w:r/>
            <w:r>
              <w:rPr>
                <w:b/>
                <w:color w:val="FFFFFF"/>
                <w:sz w:val="18"/>
              </w:rPr>
              <w:t>Definition</w:t>
            </w:r>
          </w:p>
        </w:tc>
        <w:tc>
          <w:tcPr>
            <w:tcW w:type="dxa" w:w="3798"/>
            <w:shd w:val="clear" w:color="auto" w:fill="1F3864"/>
          </w:tcPr>
          <w:p>
            <w:pPr>
              <w:spacing w:after="20" w:before="20"/>
            </w:pPr>
            <w:r/>
            <w:r>
              <w:rPr>
                <w:b/>
                <w:color w:val="FFFFFF"/>
                <w:sz w:val="18"/>
              </w:rPr>
              <w:t>Practitioner note</w:t>
            </w:r>
          </w:p>
        </w:tc>
      </w:tr>
      <w:tr>
        <w:tc>
          <w:tcPr>
            <w:tcW w:type="dxa" w:w="2041"/>
          </w:tcPr>
          <w:p>
            <w:pPr>
              <w:spacing w:after="20" w:before="20"/>
            </w:pPr>
            <w:r/>
            <w:r>
              <w:rPr>
                <w:b/>
                <w:sz w:val="18"/>
              </w:rPr>
              <w:t>Revenue</w:t>
            </w:r>
          </w:p>
        </w:tc>
        <w:tc>
          <w:tcPr>
            <w:tcW w:type="dxa" w:w="3798"/>
          </w:tcPr>
          <w:p>
            <w:pPr>
              <w:spacing w:after="20" w:before="20"/>
              <w:jc w:val="center"/>
            </w:pPr>
            <w:r/>
            <w:r>
              <w:rPr>
                <w:sz w:val="18"/>
              </w:rPr>
              <w:t>Interest + fees + other income</w:t>
            </w:r>
          </w:p>
        </w:tc>
        <w:tc>
          <w:tcPr>
            <w:tcW w:type="dxa" w:w="3798"/>
          </w:tcPr>
          <w:p>
            <w:pPr>
              <w:spacing w:after="20" w:before="20"/>
              <w:jc w:val="center"/>
            </w:pPr>
            <w:r/>
            <w:r>
              <w:rPr>
                <w:sz w:val="18"/>
              </w:rPr>
              <w:t>Includes cross-sell income in relationship RAROC</w:t>
            </w:r>
          </w:p>
        </w:tc>
      </w:tr>
      <w:tr>
        <w:tc>
          <w:tcPr>
            <w:tcW w:type="dxa" w:w="2041"/>
            <w:shd w:val="clear" w:color="auto" w:fill="F3F6FA"/>
          </w:tcPr>
          <w:p>
            <w:pPr>
              <w:spacing w:after="20" w:before="20"/>
            </w:pPr>
            <w:r/>
            <w:r>
              <w:rPr>
                <w:b/>
                <w:sz w:val="18"/>
              </w:rPr>
              <w:t>− Funding cost</w:t>
            </w:r>
          </w:p>
        </w:tc>
        <w:tc>
          <w:tcPr>
            <w:tcW w:type="dxa" w:w="3798"/>
            <w:shd w:val="clear" w:color="auto" w:fill="F3F6FA"/>
          </w:tcPr>
          <w:p>
            <w:pPr>
              <w:spacing w:after="20" w:before="20"/>
              <w:jc w:val="center"/>
            </w:pPr>
            <w:r/>
            <w:r>
              <w:rPr>
                <w:sz w:val="18"/>
              </w:rPr>
              <w:t>Cost of funds on debt-funded portion</w:t>
            </w:r>
          </w:p>
        </w:tc>
        <w:tc>
          <w:tcPr>
            <w:tcW w:type="dxa" w:w="3798"/>
            <w:shd w:val="clear" w:color="auto" w:fill="F3F6FA"/>
          </w:tcPr>
          <w:p>
            <w:pPr>
              <w:spacing w:after="20" w:before="20"/>
              <w:jc w:val="center"/>
            </w:pPr>
            <w:r/>
            <w:r>
              <w:rPr>
                <w:sz w:val="18"/>
              </w:rPr>
              <w:t>Often from the FTP (funds transfer pricing) curve</w:t>
            </w:r>
          </w:p>
        </w:tc>
      </w:tr>
      <w:tr>
        <w:tc>
          <w:tcPr>
            <w:tcW w:type="dxa" w:w="2041"/>
          </w:tcPr>
          <w:p>
            <w:pPr>
              <w:spacing w:after="20" w:before="20"/>
            </w:pPr>
            <w:r/>
            <w:r>
              <w:rPr>
                <w:b/>
                <w:sz w:val="18"/>
              </w:rPr>
              <w:t>− Operating cost</w:t>
            </w:r>
          </w:p>
        </w:tc>
        <w:tc>
          <w:tcPr>
            <w:tcW w:type="dxa" w:w="3798"/>
          </w:tcPr>
          <w:p>
            <w:pPr>
              <w:spacing w:after="20" w:before="20"/>
              <w:jc w:val="center"/>
            </w:pPr>
            <w:r/>
            <w:r>
              <w:rPr>
                <w:sz w:val="18"/>
              </w:rPr>
              <w:t>Direct and allocated costs</w:t>
            </w:r>
          </w:p>
        </w:tc>
        <w:tc>
          <w:tcPr>
            <w:tcW w:type="dxa" w:w="3798"/>
          </w:tcPr>
          <w:p>
            <w:pPr>
              <w:spacing w:after="20" w:before="20"/>
              <w:jc w:val="center"/>
            </w:pPr>
            <w:r/>
            <w:r>
              <w:rPr>
                <w:sz w:val="18"/>
              </w:rPr>
              <w:t>Origination, monitoring, collections</w:t>
            </w:r>
          </w:p>
        </w:tc>
      </w:tr>
      <w:tr>
        <w:tc>
          <w:tcPr>
            <w:tcW w:type="dxa" w:w="2041"/>
            <w:shd w:val="clear" w:color="auto" w:fill="F3F6FA"/>
          </w:tcPr>
          <w:p>
            <w:pPr>
              <w:spacing w:after="20" w:before="20"/>
            </w:pPr>
            <w:r/>
            <w:r>
              <w:rPr>
                <w:b/>
                <w:sz w:val="18"/>
              </w:rPr>
              <w:t>− Expected loss</w:t>
            </w:r>
          </w:p>
        </w:tc>
        <w:tc>
          <w:tcPr>
            <w:tcW w:type="dxa" w:w="3798"/>
            <w:shd w:val="clear" w:color="auto" w:fill="F3F6FA"/>
          </w:tcPr>
          <w:p>
            <w:pPr>
              <w:spacing w:after="20" w:before="20"/>
              <w:jc w:val="center"/>
            </w:pPr>
            <w:r/>
            <w:r>
              <w:rPr>
                <w:sz w:val="18"/>
              </w:rPr>
              <w:t>EL = PD × LGD × EAD</w:t>
            </w:r>
          </w:p>
        </w:tc>
        <w:tc>
          <w:tcPr>
            <w:tcW w:type="dxa" w:w="3798"/>
            <w:shd w:val="clear" w:color="auto" w:fill="F3F6FA"/>
          </w:tcPr>
          <w:p>
            <w:pPr>
              <w:spacing w:after="20" w:before="20"/>
              <w:jc w:val="center"/>
            </w:pPr>
            <w:r/>
            <w:r>
              <w:rPr>
                <w:sz w:val="18"/>
              </w:rPr>
              <w:t>The average cost of credit risk, priced in like an insurance premium</w:t>
            </w:r>
          </w:p>
        </w:tc>
      </w:tr>
      <w:tr>
        <w:tc>
          <w:tcPr>
            <w:tcW w:type="dxa" w:w="2041"/>
          </w:tcPr>
          <w:p>
            <w:pPr>
              <w:spacing w:after="20" w:before="20"/>
            </w:pPr>
            <w:r/>
            <w:r>
              <w:rPr>
                <w:b/>
                <w:sz w:val="18"/>
              </w:rPr>
              <w:t>÷ Economic capital</w:t>
            </w:r>
          </w:p>
        </w:tc>
        <w:tc>
          <w:tcPr>
            <w:tcW w:type="dxa" w:w="3798"/>
          </w:tcPr>
          <w:p>
            <w:pPr>
              <w:spacing w:after="20" w:before="20"/>
              <w:jc w:val="center"/>
            </w:pPr>
            <w:r/>
            <w:r>
              <w:rPr>
                <w:sz w:val="18"/>
              </w:rPr>
              <w:t>Unexpected loss at chosen confidence (e.g. 99.9%)</w:t>
            </w:r>
          </w:p>
        </w:tc>
        <w:tc>
          <w:tcPr>
            <w:tcW w:type="dxa" w:w="3798"/>
          </w:tcPr>
          <w:p>
            <w:pPr>
              <w:spacing w:after="20" w:before="20"/>
              <w:jc w:val="center"/>
            </w:pPr>
            <w:r/>
            <w:r>
              <w:rPr>
                <w:sz w:val="18"/>
              </w:rPr>
              <w:t>Credit, market and operational risk capital</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RAROC</w:t>
            </w:r>
          </w:p>
        </w:tc>
        <w:tc>
          <w:tcPr>
            <w:tcW w:type="dxa" w:w="6803"/>
          </w:tcPr>
          <w:p>
            <w:pPr>
              <w:spacing w:after="20" w:before="20"/>
              <w:jc w:val="center"/>
            </w:pPr>
            <w:r/>
            <w:r>
              <w:rPr>
                <w:sz w:val="19"/>
              </w:rPr>
              <w:t>RAROC = (Revenue − Funding cost − Operating cost − Expected loss ± Other) × (1 − tax) / Economic Capital</w:t>
            </w:r>
          </w:p>
        </w:tc>
      </w:tr>
      <w:tr>
        <w:tc>
          <w:tcPr>
            <w:tcW w:type="dxa" w:w="2835"/>
            <w:shd w:val="clear" w:color="auto" w:fill="F3F6FA"/>
          </w:tcPr>
          <w:p>
            <w:pPr>
              <w:spacing w:after="20" w:before="20"/>
            </w:pPr>
            <w:r/>
            <w:r>
              <w:rPr>
                <w:b/>
                <w:sz w:val="19"/>
              </w:rPr>
              <w:t>Expected loss</w:t>
            </w:r>
          </w:p>
        </w:tc>
        <w:tc>
          <w:tcPr>
            <w:tcW w:type="dxa" w:w="6803"/>
            <w:shd w:val="clear" w:color="auto" w:fill="F3F6FA"/>
          </w:tcPr>
          <w:p>
            <w:pPr>
              <w:spacing w:after="20" w:before="20"/>
              <w:jc w:val="center"/>
            </w:pPr>
            <w:r/>
            <w:r>
              <w:rPr>
                <w:sz w:val="19"/>
              </w:rPr>
              <w:t>EL = PD × LGD × EAD</w:t>
            </w:r>
          </w:p>
        </w:tc>
      </w:tr>
      <w:tr>
        <w:tc>
          <w:tcPr>
            <w:tcW w:type="dxa" w:w="2835"/>
          </w:tcPr>
          <w:p>
            <w:pPr>
              <w:spacing w:after="20" w:before="20"/>
            </w:pPr>
            <w:r/>
            <w:r>
              <w:rPr>
                <w:b/>
                <w:sz w:val="19"/>
              </w:rPr>
              <w:t>Economic capital (credit)</w:t>
            </w:r>
          </w:p>
        </w:tc>
        <w:tc>
          <w:tcPr>
            <w:tcW w:type="dxa" w:w="6803"/>
          </w:tcPr>
          <w:p>
            <w:pPr>
              <w:spacing w:after="20" w:before="20"/>
              <w:jc w:val="center"/>
            </w:pPr>
            <w:r/>
            <w:r>
              <w:rPr>
                <w:sz w:val="19"/>
              </w:rPr>
              <w:t>EC = Credit VaR at 99.9% − EL  (= Unexpected loss)</w:t>
            </w:r>
          </w:p>
        </w:tc>
      </w:tr>
      <w:tr>
        <w:tc>
          <w:tcPr>
            <w:tcW w:type="dxa" w:w="2835"/>
            <w:shd w:val="clear" w:color="auto" w:fill="F3F6FA"/>
          </w:tcPr>
          <w:p>
            <w:pPr>
              <w:spacing w:after="20" w:before="20"/>
            </w:pPr>
            <w:r/>
            <w:r>
              <w:rPr>
                <w:b/>
                <w:sz w:val="19"/>
              </w:rPr>
              <w:t>Value creation</w:t>
            </w:r>
          </w:p>
        </w:tc>
        <w:tc>
          <w:tcPr>
            <w:tcW w:type="dxa" w:w="6803"/>
            <w:shd w:val="clear" w:color="auto" w:fill="F3F6FA"/>
          </w:tcPr>
          <w:p>
            <w:pPr>
              <w:spacing w:after="20" w:before="20"/>
              <w:jc w:val="center"/>
            </w:pPr>
            <w:r/>
            <w:r>
              <w:rPr>
                <w:sz w:val="19"/>
              </w:rPr>
              <w:t>EVA (SVA) = (RAROC − Hurdle rate) × Economic Capital</w:t>
            </w:r>
          </w:p>
        </w:tc>
      </w:tr>
      <w:tr>
        <w:tc>
          <w:tcPr>
            <w:tcW w:type="dxa" w:w="2835"/>
          </w:tcPr>
          <w:p>
            <w:pPr>
              <w:spacing w:after="20" w:before="20"/>
            </w:pPr>
            <w:r/>
            <w:r>
              <w:rPr>
                <w:b/>
                <w:sz w:val="19"/>
              </w:rPr>
              <w:t>Decision rule</w:t>
            </w:r>
          </w:p>
        </w:tc>
        <w:tc>
          <w:tcPr>
            <w:tcW w:type="dxa" w:w="6803"/>
          </w:tcPr>
          <w:p>
            <w:pPr>
              <w:spacing w:after="20" w:before="20"/>
              <w:jc w:val="center"/>
            </w:pPr>
            <w:r/>
            <w:r>
              <w:rPr>
                <w:sz w:val="19"/>
              </w:rPr>
              <w:t>Accept if RAROC ≥ Hurdle (cost of equity)</w:t>
            </w:r>
          </w:p>
        </w:tc>
      </w:tr>
      <w:tr>
        <w:tc>
          <w:tcPr>
            <w:tcW w:type="dxa" w:w="2835"/>
            <w:shd w:val="clear" w:color="auto" w:fill="F3F6FA"/>
          </w:tcPr>
          <w:p>
            <w:pPr>
              <w:spacing w:after="20" w:before="20"/>
            </w:pPr>
            <w:r/>
            <w:r>
              <w:rPr>
                <w:b/>
                <w:sz w:val="19"/>
              </w:rPr>
              <w:t>Break-even loan rate</w:t>
            </w:r>
          </w:p>
        </w:tc>
        <w:tc>
          <w:tcPr>
            <w:tcW w:type="dxa" w:w="6803"/>
            <w:shd w:val="clear" w:color="auto" w:fill="F3F6FA"/>
          </w:tcPr>
          <w:p>
            <w:pPr>
              <w:spacing w:after="20" w:before="20"/>
              <w:jc w:val="center"/>
            </w:pPr>
            <w:r/>
            <w:r>
              <w:rPr>
                <w:sz w:val="19"/>
              </w:rPr>
              <w:t>Rate = [Hurdle × EC/(1 − t) + Funding + Op. cost + EL] / Exposure</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536364"/>
            <wp:docPr id="5" name="Picture 5"/>
            <wp:cNvGraphicFramePr>
              <a:graphicFrameLocks noChangeAspect="1"/>
            </wp:cNvGraphicFramePr>
            <a:graphic>
              <a:graphicData uri="http://schemas.openxmlformats.org/drawingml/2006/picture">
                <pic:pic>
                  <pic:nvPicPr>
                    <pic:cNvPr id="0" name="loss_dist.png"/>
                    <pic:cNvPicPr/>
                  </pic:nvPicPr>
                  <pic:blipFill>
                    <a:blip r:embed="rId15"/>
                    <a:stretch>
                      <a:fillRect/>
                    </a:stretch>
                  </pic:blipFill>
                  <pic:spPr>
                    <a:xfrm>
                      <a:off x="0" y="0"/>
                      <a:ext cx="5580000" cy="2536364"/>
                    </a:xfrm>
                    <a:prstGeom prst="rect"/>
                  </pic:spPr>
                </pic:pic>
              </a:graphicData>
            </a:graphic>
          </wp:inline>
        </w:drawing>
      </w:r>
    </w:p>
    <w:p>
      <w:pPr>
        <w:jc w:val="center"/>
      </w:pPr>
      <w:r>
        <w:rPr>
          <w:i/>
          <w:color w:val="595959"/>
          <w:sz w:val="18"/>
        </w:rPr>
        <w:t>Expected loss is a cost of doing business (priced and provisioned); economic capital covers the unexpected loss up to the chosen confidence level.</w:t>
      </w:r>
    </w:p>
    <w:p>
      <w:pPr>
        <w:pStyle w:val="Heading2"/>
      </w:pPr>
      <w:r>
        <w:t>6. Real-life examples</w:t>
      </w:r>
    </w:p>
    <w:p>
      <w:pPr>
        <w:shd w:val="clear" w:color="auto" w:fill="F5F8FC"/>
        <w:pBdr>
          <w:left w:val="single" w:sz="18" w:space="8" w:color="1F3864"/>
        </w:pBdr>
        <w:ind w:left="227"/>
      </w:pPr>
      <w:r>
        <w:rPr>
          <w:b/>
          <w:color w:val="1F3864"/>
        </w:rPr>
        <w:t xml:space="preserve">Bankers Trust — origin of RAROC (late 1970s).  </w:t>
      </w:r>
      <w:r>
        <w:rPr/>
        <w:t>Under Charles Sanford, Bankers Trust developed RAROC to compare businesses with different risk levels and allocate capital accordingly. The framework became the template for economic-capital systems at global banks.</w:t>
      </w:r>
    </w:p>
    <w:p>
      <w:pPr>
        <w:shd w:val="clear" w:color="auto" w:fill="F5F8FC"/>
        <w:pBdr>
          <w:left w:val="single" w:sz="18" w:space="8" w:color="1F3864"/>
        </w:pBdr>
        <w:ind w:left="227"/>
      </w:pPr>
      <w:r>
        <w:rPr>
          <w:b/>
          <w:color w:val="1F3864"/>
        </w:rPr>
        <w:t xml:space="preserve">Indian banks — Basel III and ICAAP.  </w:t>
      </w:r>
      <w:r>
        <w:rPr/>
        <w:t>RBI requires a minimum total capital ratio of 9% plus a 2.5% capital conservation buffer (11.5%) and an Internal Capital Adequacy Assessment Process. Large banks complement regulatory capital with economic-capital and RAROC models for pricing and allocation.</w:t>
      </w:r>
    </w:p>
    <w:p>
      <w:pPr>
        <w:shd w:val="clear" w:color="auto" w:fill="F5F8FC"/>
        <w:pBdr>
          <w:left w:val="single" w:sz="18" w:space="8" w:color="1F3864"/>
        </w:pBdr>
        <w:ind w:left="227"/>
      </w:pPr>
      <w:r>
        <w:rPr>
          <w:b/>
          <w:color w:val="1F3864"/>
        </w:rPr>
        <w:t xml:space="preserve">The low-rate corporate loan dilemma.  </w:t>
      </w:r>
      <w:r>
        <w:rPr/>
        <w:t>Highly rated corporates borrow at thin spreads, often close to the cost of funds. On ROA they look unattractive, yet their low PD and capital consumption can deliver above-hurdle RAROC — especially with cash-management, FX and trade-finance cross-sell.</w:t>
      </w:r>
    </w:p>
    <w:p>
      <w:pPr>
        <w:shd w:val="clear" w:color="auto" w:fill="F5F8FC"/>
        <w:pBdr>
          <w:left w:val="single" w:sz="18" w:space="8" w:color="1F3864"/>
        </w:pBdr>
        <w:ind w:left="227"/>
      </w:pPr>
      <w:r>
        <w:rPr>
          <w:b/>
          <w:color w:val="1F3864"/>
        </w:rPr>
        <w:t xml:space="preserve">Unsecured retail and MSME lending.  </w:t>
      </w:r>
      <w:r>
        <w:rPr/>
        <w:t>Personal loans and unsecured MSME credit carry high yields but also high EL and capital. RBI’s November 2023 increase in risk weights on consumer credit raised capital consumption and pushed banks to re-price these products — a direct RAROC effect.</w:t>
      </w:r>
    </w:p>
    <w:p>
      <w:pPr>
        <w:pStyle w:val="Heading2"/>
      </w:pPr>
      <w:r>
        <w:t>7. Common mistakes</w:t>
      </w:r>
    </w:p>
    <w:p>
      <w:pPr>
        <w:pStyle w:val="ListBullet"/>
      </w:pPr>
      <w:r>
        <w:rPr/>
        <w:t>Deducting unexpected loss in the numerator — UL is covered by capital, only EL is a cost.</w:t>
      </w:r>
    </w:p>
    <w:p>
      <w:pPr>
        <w:pStyle w:val="ListBullet"/>
      </w:pPr>
      <w:r>
        <w:rPr/>
        <w:t>Comparing pre-tax RAROC with a post-tax hurdle (or vice versa).</w:t>
      </w:r>
    </w:p>
    <w:p>
      <w:pPr>
        <w:pStyle w:val="ListBullet"/>
      </w:pPr>
      <w:r>
        <w:rPr/>
        <w:t>Ignoring the return earned on allocated capital, or double-counting it alongside full funding cost.</w:t>
      </w:r>
    </w:p>
    <w:p>
      <w:pPr>
        <w:pStyle w:val="ListBullet"/>
      </w:pPr>
      <w:r>
        <w:rPr/>
        <w:t>Allocating stand-alone capital without diversification — penalises every business and distorts rankings.</w:t>
      </w:r>
    </w:p>
    <w:p>
      <w:pPr>
        <w:pStyle w:val="ListBullet"/>
      </w:pPr>
      <w:r>
        <w:rPr/>
        <w:t>Using RAROC alone: high RAROC on a tiny capital base may add little absolute value — look at EVA too.</w:t>
      </w:r>
    </w:p>
    <w:p>
      <w:pPr>
        <w:pStyle w:val="Heading2"/>
      </w:pPr>
      <w:r>
        <w:t>8. Interview questions</w:t>
      </w:r>
    </w:p>
    <w:p>
      <w:pPr>
        <w:spacing w:after="80"/>
      </w:pPr>
      <w:r>
        <w:rPr>
          <w:b/>
        </w:rPr>
        <w:t>Q1.</w:t>
      </w:r>
      <w:r>
        <w:rPr/>
        <w:t xml:space="preserve"> Why is expected loss deducted but unexpected loss used as the denominator?</w:t>
      </w:r>
    </w:p>
    <w:p>
      <w:pPr>
        <w:spacing w:after="80"/>
      </w:pPr>
      <w:r>
        <w:rPr>
          <w:b/>
        </w:rPr>
        <w:t>Q2.</w:t>
      </w:r>
      <w:r>
        <w:rPr/>
        <w:t xml:space="preserve"> What is the difference between RAROC and RORAC?</w:t>
      </w:r>
    </w:p>
    <w:p>
      <w:pPr>
        <w:spacing w:after="80"/>
      </w:pPr>
      <w:r>
        <w:rPr>
          <w:b/>
        </w:rPr>
        <w:t>Q3.</w:t>
      </w:r>
      <w:r>
        <w:rPr/>
        <w:t xml:space="preserve"> How do you set the hurdle rate?</w:t>
      </w:r>
    </w:p>
    <w:p>
      <w:pPr>
        <w:spacing w:after="80"/>
      </w:pPr>
      <w:r>
        <w:rPr>
          <w:b/>
        </w:rPr>
        <w:t>Q4.</w:t>
      </w:r>
      <w:r>
        <w:rPr/>
        <w:t xml:space="preserve"> Can a loan with RAROC below hurdle still be approved?</w:t>
      </w:r>
    </w:p>
    <w:p>
      <w:pPr>
        <w:spacing w:after="80"/>
      </w:pPr>
      <w:r>
        <w:rPr>
          <w:b/>
        </w:rPr>
        <w:t>Q5.</w:t>
      </w:r>
      <w:r>
        <w:rPr/>
        <w:t xml:space="preserve"> How does collateral affect RAROC?</w:t>
      </w:r>
    </w:p>
    <w:p>
      <w:r>
        <w:br w:type="page"/>
      </w:r>
    </w:p>
    <w:p>
      <w:pPr>
        <w:pStyle w:val="Heading1"/>
      </w:pPr>
      <w:r>
        <w:t>Module 3 Cases: Risk-Adjusted Return on Capital (RAROC)</w:t>
      </w:r>
    </w:p>
    <w:p>
      <w:pPr>
        <w:pStyle w:val="Heading2"/>
      </w:pPr>
      <w:r>
        <w:t>Case 3.1  RAROC of a Corporate Term Loan</w:t>
      </w:r>
    </w:p>
    <w:p>
      <w:r>
        <w:rPr>
          <w:i/>
          <w:color w:val="1A7F8E"/>
          <w:sz w:val="18"/>
        </w:rPr>
        <w:t>Basic RAROC | Accept / reject</w:t>
      </w:r>
    </w:p>
    <w:p>
      <w:pPr>
        <w:keepNext/>
        <w:spacing w:before="160" w:after="60"/>
      </w:pPr>
      <w:r>
        <w:rPr>
          <w:b/>
          <w:color w:val="1A7F8E"/>
          <w:sz w:val="19"/>
        </w:rPr>
        <w:t>BACKGROUND</w:t>
      </w:r>
    </w:p>
    <w:p>
      <w:r>
        <w:rPr/>
        <w:t>Vindhya Bank is evaluating a ₹100 crore term loan to a BBB-rated auto-component manufacturer at 9.80%.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 (EAD)</w:t>
            </w:r>
          </w:p>
        </w:tc>
        <w:tc>
          <w:tcPr>
            <w:tcW w:type="dxa" w:w="5386"/>
          </w:tcPr>
          <w:p>
            <w:pPr>
              <w:spacing w:after="20" w:before="20"/>
              <w:jc w:val="center"/>
            </w:pPr>
            <w:r/>
            <w:r>
              <w:rPr>
                <w:sz w:val="19"/>
              </w:rPr>
              <w:t>₹100 crore</w:t>
            </w:r>
          </w:p>
        </w:tc>
      </w:tr>
      <w:tr>
        <w:tc>
          <w:tcPr>
            <w:tcW w:type="dxa" w:w="4252"/>
            <w:shd w:val="clear" w:color="auto" w:fill="F3F6FA"/>
          </w:tcPr>
          <w:p>
            <w:pPr>
              <w:spacing w:after="20" w:before="20"/>
            </w:pPr>
            <w:r/>
            <w:r>
              <w:rPr>
                <w:b/>
                <w:sz w:val="19"/>
              </w:rPr>
              <w:t>Lending rate</w:t>
            </w:r>
          </w:p>
        </w:tc>
        <w:tc>
          <w:tcPr>
            <w:tcW w:type="dxa" w:w="5386"/>
            <w:shd w:val="clear" w:color="auto" w:fill="F3F6FA"/>
          </w:tcPr>
          <w:p>
            <w:pPr>
              <w:spacing w:after="20" w:before="20"/>
              <w:jc w:val="center"/>
            </w:pPr>
            <w:r/>
            <w:r>
              <w:rPr>
                <w:sz w:val="19"/>
              </w:rPr>
              <w:t>9.80%</w:t>
            </w:r>
          </w:p>
        </w:tc>
      </w:tr>
      <w:tr>
        <w:tc>
          <w:tcPr>
            <w:tcW w:type="dxa" w:w="4252"/>
          </w:tcPr>
          <w:p>
            <w:pPr>
              <w:spacing w:after="20" w:before="20"/>
            </w:pPr>
            <w:r/>
            <w:r>
              <w:rPr>
                <w:b/>
                <w:sz w:val="19"/>
              </w:rPr>
              <w:t>Cost of funds</w:t>
            </w:r>
          </w:p>
        </w:tc>
        <w:tc>
          <w:tcPr>
            <w:tcW w:type="dxa" w:w="5386"/>
          </w:tcPr>
          <w:p>
            <w:pPr>
              <w:spacing w:after="20" w:before="20"/>
              <w:jc w:val="center"/>
            </w:pPr>
            <w:r/>
            <w:r>
              <w:rPr>
                <w:sz w:val="19"/>
              </w:rPr>
              <w:t>7.00%</w:t>
            </w:r>
          </w:p>
        </w:tc>
      </w:tr>
      <w:tr>
        <w:tc>
          <w:tcPr>
            <w:tcW w:type="dxa" w:w="4252"/>
            <w:shd w:val="clear" w:color="auto" w:fill="F3F6FA"/>
          </w:tcPr>
          <w:p>
            <w:pPr>
              <w:spacing w:after="20" w:before="20"/>
            </w:pPr>
            <w:r/>
            <w:r>
              <w:rPr>
                <w:b/>
                <w:sz w:val="19"/>
              </w:rPr>
              <w:t>Operating cost</w:t>
            </w:r>
          </w:p>
        </w:tc>
        <w:tc>
          <w:tcPr>
            <w:tcW w:type="dxa" w:w="5386"/>
            <w:shd w:val="clear" w:color="auto" w:fill="F3F6FA"/>
          </w:tcPr>
          <w:p>
            <w:pPr>
              <w:spacing w:after="20" w:before="20"/>
              <w:jc w:val="center"/>
            </w:pPr>
            <w:r/>
            <w:r>
              <w:rPr>
                <w:sz w:val="19"/>
              </w:rPr>
              <w:t>0.60% of exposure</w:t>
            </w:r>
          </w:p>
        </w:tc>
      </w:tr>
      <w:tr>
        <w:tc>
          <w:tcPr>
            <w:tcW w:type="dxa" w:w="4252"/>
          </w:tcPr>
          <w:p>
            <w:pPr>
              <w:spacing w:after="20" w:before="20"/>
            </w:pPr>
            <w:r/>
            <w:r>
              <w:rPr>
                <w:b/>
                <w:sz w:val="19"/>
              </w:rPr>
              <w:t>PD / LGD</w:t>
            </w:r>
          </w:p>
        </w:tc>
        <w:tc>
          <w:tcPr>
            <w:tcW w:type="dxa" w:w="5386"/>
          </w:tcPr>
          <w:p>
            <w:pPr>
              <w:spacing w:after="20" w:before="20"/>
              <w:jc w:val="center"/>
            </w:pPr>
            <w:r/>
            <w:r>
              <w:rPr>
                <w:sz w:val="19"/>
              </w:rPr>
              <w:t>1.50% / 45%</w:t>
            </w:r>
          </w:p>
        </w:tc>
      </w:tr>
      <w:tr>
        <w:tc>
          <w:tcPr>
            <w:tcW w:type="dxa" w:w="4252"/>
            <w:shd w:val="clear" w:color="auto" w:fill="F3F6FA"/>
          </w:tcPr>
          <w:p>
            <w:pPr>
              <w:spacing w:after="20" w:before="20"/>
            </w:pPr>
            <w:r/>
            <w:r>
              <w:rPr>
                <w:b/>
                <w:sz w:val="19"/>
              </w:rPr>
              <w:t>Economic capital</w:t>
            </w:r>
          </w:p>
        </w:tc>
        <w:tc>
          <w:tcPr>
            <w:tcW w:type="dxa" w:w="5386"/>
            <w:shd w:val="clear" w:color="auto" w:fill="F3F6FA"/>
          </w:tcPr>
          <w:p>
            <w:pPr>
              <w:spacing w:after="20" w:before="20"/>
              <w:jc w:val="center"/>
            </w:pPr>
            <w:r/>
            <w:r>
              <w:rPr>
                <w:sz w:val="19"/>
              </w:rPr>
              <w:t>10% of exposure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expected loss.</w:t>
      </w:r>
    </w:p>
    <w:p>
      <w:pPr>
        <w:spacing w:after="40"/>
        <w:ind w:left="454" w:hanging="454"/>
      </w:pPr>
      <w:r>
        <w:rPr>
          <w:b/>
          <w:color w:val="1F3864"/>
        </w:rPr>
        <w:t xml:space="preserve">(b)  </w:t>
      </w:r>
      <w:r>
        <w:rPr/>
        <w:t>Compute pre-tax and post-tax risk-adjusted profit.</w:t>
      </w:r>
    </w:p>
    <w:p>
      <w:pPr>
        <w:spacing w:after="40"/>
        <w:ind w:left="454" w:hanging="454"/>
      </w:pPr>
      <w:r>
        <w:rPr>
          <w:b/>
          <w:color w:val="1F3864"/>
        </w:rPr>
        <w:t xml:space="preserve">(c)  </w:t>
      </w:r>
      <w:r>
        <w:rPr/>
        <w:t>Compute RAROC and EVA.</w:t>
      </w:r>
    </w:p>
    <w:p>
      <w:pPr>
        <w:spacing w:after="40"/>
        <w:ind w:left="454" w:hanging="454"/>
      </w:pPr>
      <w:r>
        <w:rPr>
          <w:b/>
          <w:color w:val="1F3864"/>
        </w:rPr>
        <w:t xml:space="preserve">(d)  </w:t>
      </w:r>
      <w:r>
        <w:rPr/>
        <w:t>Should the loan be approved?</w:t>
      </w:r>
    </w:p>
    <w:p>
      <w:pPr>
        <w:spacing w:before="160"/>
      </w:pPr>
      <w:r>
        <w:rPr>
          <w:color w:val="595959"/>
          <w:sz w:val="18"/>
        </w:rPr>
        <w:t>Space for workings  ________________________________________________________________</w:t>
      </w:r>
    </w:p>
    <w:p>
      <w:pPr>
        <w:pStyle w:val="Heading2"/>
      </w:pPr>
      <w:r>
        <w:t>Case 3.2  Risk-Based Pricing — Minimum Lending Rate</w:t>
      </w:r>
    </w:p>
    <w:p>
      <w:r>
        <w:rPr>
          <w:i/>
          <w:color w:val="1A7F8E"/>
          <w:sz w:val="18"/>
        </w:rPr>
        <w:t>Break-even pricing | Hurdle</w:t>
      </w:r>
    </w:p>
    <w:p>
      <w:pPr>
        <w:keepNext/>
        <w:spacing w:before="160" w:after="60"/>
      </w:pPr>
      <w:r>
        <w:rPr>
          <w:b/>
          <w:color w:val="1A7F8E"/>
          <w:sz w:val="19"/>
        </w:rPr>
        <w:t>BACKGROUND</w:t>
      </w:r>
    </w:p>
    <w:p>
      <w:r>
        <w:rPr/>
        <w:t>Using the facts of Case 3.1, the relationship manager has been asked by the client to match a competitor’s offer. The credit committee wants to know the lowest rate at which the loan still meets the hurdle.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As in Case 3.1</w:t>
            </w:r>
          </w:p>
        </w:tc>
        <w:tc>
          <w:tcPr>
            <w:tcW w:type="dxa" w:w="5386"/>
          </w:tcPr>
          <w:p>
            <w:pPr>
              <w:spacing w:after="20" w:before="20"/>
              <w:jc w:val="center"/>
            </w:pPr>
            <w:r/>
            <w:r>
              <w:rPr>
                <w:sz w:val="19"/>
              </w:rPr>
              <w:t>Exposure ₹100 cr, EC ₹10 cr, funding 7%, op cost 0.6%, EL ₹0.675 cr</w:t>
            </w:r>
          </w:p>
        </w:tc>
      </w:tr>
      <w:tr>
        <w:tc>
          <w:tcPr>
            <w:tcW w:type="dxa" w:w="4252"/>
            <w:shd w:val="clear" w:color="auto" w:fill="F3F6FA"/>
          </w:tcPr>
          <w:p>
            <w:pPr>
              <w:spacing w:after="20" w:before="20"/>
            </w:pPr>
            <w:r/>
            <w:r>
              <w:rPr>
                <w:b/>
                <w:sz w:val="19"/>
              </w:rPr>
              <w:t>Competitor offer</w:t>
            </w:r>
          </w:p>
        </w:tc>
        <w:tc>
          <w:tcPr>
            <w:tcW w:type="dxa" w:w="5386"/>
            <w:shd w:val="clear" w:color="auto" w:fill="F3F6FA"/>
          </w:tcPr>
          <w:p>
            <w:pPr>
              <w:spacing w:after="20" w:before="20"/>
              <w:jc w:val="center"/>
            </w:pPr>
            <w:r/>
            <w:r>
              <w:rPr>
                <w:sz w:val="19"/>
              </w:rPr>
              <w:t>9.40%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required post-tax and pre-tax profit to earn exactly 15% RAROC.</w:t>
      </w:r>
    </w:p>
    <w:p>
      <w:pPr>
        <w:spacing w:after="40"/>
        <w:ind w:left="454" w:hanging="454"/>
      </w:pPr>
      <w:r>
        <w:rPr>
          <w:b/>
          <w:color w:val="1F3864"/>
        </w:rPr>
        <w:t xml:space="preserve">(b)  </w:t>
      </w:r>
      <w:r>
        <w:rPr/>
        <w:t>Compute the minimum lending rate.</w:t>
      </w:r>
    </w:p>
    <w:p>
      <w:pPr>
        <w:spacing w:after="40"/>
        <w:ind w:left="454" w:hanging="454"/>
      </w:pPr>
      <w:r>
        <w:rPr>
          <w:b/>
          <w:color w:val="1F3864"/>
        </w:rPr>
        <w:t xml:space="preserve">(c)  </w:t>
      </w:r>
      <w:r>
        <w:rPr/>
        <w:t>Should the bank match the competitor’s 9.40%?</w:t>
      </w:r>
    </w:p>
    <w:p>
      <w:pPr>
        <w:spacing w:after="40"/>
        <w:ind w:left="454" w:hanging="454"/>
      </w:pPr>
      <w:r>
        <w:rPr>
          <w:b/>
          <w:color w:val="1F3864"/>
        </w:rPr>
        <w:t xml:space="preserve">(d)  </w:t>
      </w:r>
      <w:r>
        <w:rPr/>
        <w:t>Recompute the minimum rate if PD rises to 2.50%.</w:t>
      </w:r>
    </w:p>
    <w:p>
      <w:pPr>
        <w:spacing w:before="160"/>
      </w:pPr>
      <w:r>
        <w:rPr>
          <w:color w:val="595959"/>
          <w:sz w:val="18"/>
        </w:rPr>
        <w:t>Space for workings  ________________________________________________________________</w:t>
      </w:r>
    </w:p>
    <w:p>
      <w:pPr>
        <w:pStyle w:val="Heading2"/>
      </w:pPr>
      <w:r>
        <w:t>Case 3.3  Large Corporate vs SME — Which Customer Creates More Value?</w:t>
      </w:r>
    </w:p>
    <w:p>
      <w:r>
        <w:rPr>
          <w:i/>
          <w:color w:val="1A7F8E"/>
          <w:sz w:val="18"/>
        </w:rPr>
        <w:t>Comparative RAROC | Yield vs risk</w:t>
      </w:r>
    </w:p>
    <w:p>
      <w:pPr>
        <w:keepNext/>
        <w:spacing w:before="160" w:after="60"/>
      </w:pPr>
      <w:r>
        <w:rPr>
          <w:b/>
          <w:color w:val="1A7F8E"/>
          <w:sz w:val="19"/>
        </w:rPr>
        <w:t>BACKGROUND</w:t>
      </w:r>
    </w:p>
    <w:p>
      <w:r>
        <w:rPr/>
        <w:t>The business head wants to prioritise SME lending because it earns a spread of 5% versus 1.6% on large corporates.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Parameter</w:t>
            </w:r>
          </w:p>
        </w:tc>
        <w:tc>
          <w:tcPr>
            <w:tcW w:type="dxa" w:w="3345"/>
            <w:shd w:val="clear" w:color="auto" w:fill="1F3864"/>
          </w:tcPr>
          <w:p>
            <w:pPr>
              <w:spacing w:after="20" w:before="20"/>
            </w:pPr>
            <w:r/>
            <w:r>
              <w:rPr>
                <w:b/>
                <w:color w:val="FFFFFF"/>
                <w:sz w:val="19"/>
              </w:rPr>
              <w:t>Customer A — AAA corporate</w:t>
            </w:r>
          </w:p>
        </w:tc>
        <w:tc>
          <w:tcPr>
            <w:tcW w:type="dxa" w:w="3345"/>
            <w:shd w:val="clear" w:color="auto" w:fill="1F3864"/>
          </w:tcPr>
          <w:p>
            <w:pPr>
              <w:spacing w:after="20" w:before="20"/>
            </w:pPr>
            <w:r/>
            <w:r>
              <w:rPr>
                <w:b/>
                <w:color w:val="FFFFFF"/>
                <w:sz w:val="19"/>
              </w:rPr>
              <w:t>Customer B — SME</w:t>
            </w:r>
          </w:p>
        </w:tc>
      </w:tr>
      <w:tr>
        <w:tc>
          <w:tcPr>
            <w:tcW w:type="dxa" w:w="2948"/>
          </w:tcPr>
          <w:p>
            <w:pPr>
              <w:spacing w:after="20" w:before="20"/>
            </w:pPr>
            <w:r/>
            <w:r>
              <w:rPr>
                <w:b/>
                <w:sz w:val="19"/>
              </w:rPr>
              <w:t>Exposure</w:t>
            </w:r>
          </w:p>
        </w:tc>
        <w:tc>
          <w:tcPr>
            <w:tcW w:type="dxa" w:w="3345"/>
          </w:tcPr>
          <w:p>
            <w:pPr>
              <w:spacing w:after="20" w:before="20"/>
              <w:jc w:val="center"/>
            </w:pPr>
            <w:r/>
            <w:r>
              <w:rPr>
                <w:sz w:val="19"/>
              </w:rPr>
              <w:t>₹200 crore</w:t>
            </w:r>
          </w:p>
        </w:tc>
        <w:tc>
          <w:tcPr>
            <w:tcW w:type="dxa" w:w="3345"/>
          </w:tcPr>
          <w:p>
            <w:pPr>
              <w:spacing w:after="20" w:before="20"/>
              <w:jc w:val="center"/>
            </w:pPr>
            <w:r/>
            <w:r>
              <w:rPr>
                <w:sz w:val="19"/>
              </w:rPr>
              <w:t>₹50 crore</w:t>
            </w:r>
          </w:p>
        </w:tc>
      </w:tr>
      <w:tr>
        <w:tc>
          <w:tcPr>
            <w:tcW w:type="dxa" w:w="2948"/>
            <w:shd w:val="clear" w:color="auto" w:fill="F3F6FA"/>
          </w:tcPr>
          <w:p>
            <w:pPr>
              <w:spacing w:after="20" w:before="20"/>
            </w:pPr>
            <w:r/>
            <w:r>
              <w:rPr>
                <w:b/>
                <w:sz w:val="19"/>
              </w:rPr>
              <w:t>Lending rate</w:t>
            </w:r>
          </w:p>
        </w:tc>
        <w:tc>
          <w:tcPr>
            <w:tcW w:type="dxa" w:w="3345"/>
            <w:shd w:val="clear" w:color="auto" w:fill="F3F6FA"/>
          </w:tcPr>
          <w:p>
            <w:pPr>
              <w:spacing w:after="20" w:before="20"/>
              <w:jc w:val="center"/>
            </w:pPr>
            <w:r/>
            <w:r>
              <w:rPr>
                <w:sz w:val="19"/>
              </w:rPr>
              <w:t>8.60%</w:t>
            </w:r>
          </w:p>
        </w:tc>
        <w:tc>
          <w:tcPr>
            <w:tcW w:type="dxa" w:w="3345"/>
            <w:shd w:val="clear" w:color="auto" w:fill="F3F6FA"/>
          </w:tcPr>
          <w:p>
            <w:pPr>
              <w:spacing w:after="20" w:before="20"/>
              <w:jc w:val="center"/>
            </w:pPr>
            <w:r/>
            <w:r>
              <w:rPr>
                <w:sz w:val="19"/>
              </w:rPr>
              <w:t>12.00%</w:t>
            </w:r>
          </w:p>
        </w:tc>
      </w:tr>
      <w:tr>
        <w:tc>
          <w:tcPr>
            <w:tcW w:type="dxa" w:w="2948"/>
          </w:tcPr>
          <w:p>
            <w:pPr>
              <w:spacing w:after="20" w:before="20"/>
            </w:pPr>
            <w:r/>
            <w:r>
              <w:rPr>
                <w:b/>
                <w:sz w:val="19"/>
              </w:rPr>
              <w:t>Cost of funds</w:t>
            </w:r>
          </w:p>
        </w:tc>
        <w:tc>
          <w:tcPr>
            <w:tcW w:type="dxa" w:w="3345"/>
          </w:tcPr>
          <w:p>
            <w:pPr>
              <w:spacing w:after="20" w:before="20"/>
              <w:jc w:val="center"/>
            </w:pPr>
            <w:r/>
            <w:r>
              <w:rPr>
                <w:sz w:val="19"/>
              </w:rPr>
              <w:t>7.00%</w:t>
            </w:r>
          </w:p>
        </w:tc>
        <w:tc>
          <w:tcPr>
            <w:tcW w:type="dxa" w:w="3345"/>
          </w:tcPr>
          <w:p>
            <w:pPr>
              <w:spacing w:after="20" w:before="20"/>
              <w:jc w:val="center"/>
            </w:pPr>
            <w:r/>
            <w:r>
              <w:rPr>
                <w:sz w:val="19"/>
              </w:rPr>
              <w:t>7.00%</w:t>
            </w:r>
          </w:p>
        </w:tc>
      </w:tr>
      <w:tr>
        <w:tc>
          <w:tcPr>
            <w:tcW w:type="dxa" w:w="2948"/>
            <w:shd w:val="clear" w:color="auto" w:fill="F3F6FA"/>
          </w:tcPr>
          <w:p>
            <w:pPr>
              <w:spacing w:after="20" w:before="20"/>
            </w:pPr>
            <w:r/>
            <w:r>
              <w:rPr>
                <w:b/>
                <w:sz w:val="19"/>
              </w:rPr>
              <w:t>Operating cost</w:t>
            </w:r>
          </w:p>
        </w:tc>
        <w:tc>
          <w:tcPr>
            <w:tcW w:type="dxa" w:w="3345"/>
            <w:shd w:val="clear" w:color="auto" w:fill="F3F6FA"/>
          </w:tcPr>
          <w:p>
            <w:pPr>
              <w:spacing w:after="20" w:before="20"/>
              <w:jc w:val="center"/>
            </w:pPr>
            <w:r/>
            <w:r>
              <w:rPr>
                <w:sz w:val="19"/>
              </w:rPr>
              <w:t>0.30%</w:t>
            </w:r>
          </w:p>
        </w:tc>
        <w:tc>
          <w:tcPr>
            <w:tcW w:type="dxa" w:w="3345"/>
            <w:shd w:val="clear" w:color="auto" w:fill="F3F6FA"/>
          </w:tcPr>
          <w:p>
            <w:pPr>
              <w:spacing w:after="20" w:before="20"/>
              <w:jc w:val="center"/>
            </w:pPr>
            <w:r/>
            <w:r>
              <w:rPr>
                <w:sz w:val="19"/>
              </w:rPr>
              <w:t>1.20%</w:t>
            </w:r>
          </w:p>
        </w:tc>
      </w:tr>
      <w:tr>
        <w:tc>
          <w:tcPr>
            <w:tcW w:type="dxa" w:w="2948"/>
          </w:tcPr>
          <w:p>
            <w:pPr>
              <w:spacing w:after="20" w:before="20"/>
            </w:pPr>
            <w:r/>
            <w:r>
              <w:rPr>
                <w:b/>
                <w:sz w:val="19"/>
              </w:rPr>
              <w:t>PD / LGD</w:t>
            </w:r>
          </w:p>
        </w:tc>
        <w:tc>
          <w:tcPr>
            <w:tcW w:type="dxa" w:w="3345"/>
          </w:tcPr>
          <w:p>
            <w:pPr>
              <w:spacing w:after="20" w:before="20"/>
              <w:jc w:val="center"/>
            </w:pPr>
            <w:r/>
            <w:r>
              <w:rPr>
                <w:sz w:val="19"/>
              </w:rPr>
              <w:t>0.30% / 40%</w:t>
            </w:r>
          </w:p>
        </w:tc>
        <w:tc>
          <w:tcPr>
            <w:tcW w:type="dxa" w:w="3345"/>
          </w:tcPr>
          <w:p>
            <w:pPr>
              <w:spacing w:after="20" w:before="20"/>
              <w:jc w:val="center"/>
            </w:pPr>
            <w:r/>
            <w:r>
              <w:rPr>
                <w:sz w:val="19"/>
              </w:rPr>
              <w:t>3.50% / 55%</w:t>
            </w:r>
          </w:p>
        </w:tc>
      </w:tr>
      <w:tr>
        <w:tc>
          <w:tcPr>
            <w:tcW w:type="dxa" w:w="2948"/>
            <w:shd w:val="clear" w:color="auto" w:fill="F3F6FA"/>
          </w:tcPr>
          <w:p>
            <w:pPr>
              <w:spacing w:after="20" w:before="20"/>
            </w:pPr>
            <w:r/>
            <w:r>
              <w:rPr>
                <w:b/>
                <w:sz w:val="19"/>
              </w:rPr>
              <w:t>Economic capital</w:t>
            </w:r>
          </w:p>
        </w:tc>
        <w:tc>
          <w:tcPr>
            <w:tcW w:type="dxa" w:w="3345"/>
            <w:shd w:val="clear" w:color="auto" w:fill="F3F6FA"/>
          </w:tcPr>
          <w:p>
            <w:pPr>
              <w:spacing w:after="20" w:before="20"/>
              <w:jc w:val="center"/>
            </w:pPr>
            <w:r/>
            <w:r>
              <w:rPr>
                <w:sz w:val="19"/>
              </w:rPr>
              <w:t>5% of exposure</w:t>
            </w:r>
          </w:p>
        </w:tc>
        <w:tc>
          <w:tcPr>
            <w:tcW w:type="dxa" w:w="3345"/>
            <w:shd w:val="clear" w:color="auto" w:fill="F3F6FA"/>
          </w:tcPr>
          <w:p>
            <w:pPr>
              <w:spacing w:after="20" w:before="20"/>
              <w:jc w:val="center"/>
            </w:pPr>
            <w:r/>
            <w:r>
              <w:rPr>
                <w:sz w:val="19"/>
              </w:rPr>
              <w:t>12% of exposure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RAROC for each customer.</w:t>
      </w:r>
    </w:p>
    <w:p>
      <w:pPr>
        <w:spacing w:after="40"/>
        <w:ind w:left="454" w:hanging="454"/>
      </w:pPr>
      <w:r>
        <w:rPr>
          <w:b/>
          <w:color w:val="1F3864"/>
        </w:rPr>
        <w:t xml:space="preserve">(b)  </w:t>
      </w:r>
      <w:r>
        <w:rPr/>
        <w:t>Compute EVA for each customer.</w:t>
      </w:r>
    </w:p>
    <w:p>
      <w:pPr>
        <w:spacing w:after="40"/>
        <w:ind w:left="454" w:hanging="454"/>
      </w:pPr>
      <w:r>
        <w:rPr>
          <w:b/>
          <w:color w:val="1F3864"/>
        </w:rPr>
        <w:t xml:space="preserve">(c)  </w:t>
      </w:r>
      <w:r>
        <w:rPr/>
        <w:t>Is the business head’s view correct? Explain.</w:t>
      </w:r>
    </w:p>
    <w:p>
      <w:pPr>
        <w:spacing w:before="160"/>
      </w:pPr>
      <w:r>
        <w:rPr>
          <w:color w:val="595959"/>
          <w:sz w:val="18"/>
        </w:rPr>
        <w:t>Space for workings  ________________________________________________________________</w:t>
      </w:r>
    </w:p>
    <w:p>
      <w:pPr>
        <w:pStyle w:val="Heading2"/>
      </w:pPr>
      <w:r>
        <w:t>Case 3.4  Economic Capital from a Credit Loss Distribution</w:t>
      </w:r>
    </w:p>
    <w:p>
      <w:r>
        <w:rPr>
          <w:i/>
          <w:color w:val="1A7F8E"/>
          <w:sz w:val="18"/>
        </w:rPr>
        <w:t>Credit VaR | EL vs UL | Regulatory comparison</w:t>
      </w:r>
    </w:p>
    <w:p>
      <w:pPr>
        <w:keepNext/>
        <w:spacing w:before="160" w:after="60"/>
      </w:pPr>
      <w:r>
        <w:rPr>
          <w:b/>
          <w:color w:val="1A7F8E"/>
          <w:sz w:val="19"/>
        </w:rPr>
        <w:t>BACKGROUND</w:t>
      </w:r>
    </w:p>
    <w:p>
      <w:r>
        <w:rPr/>
        <w:t>Simulation of Sahyadri Bank’s ₹5,000 crore MSME loan portfolio gives an expected annual loss of ₹60 crore and a 99.9th-percentile loss of ₹420 crore. Portfolio net interest income is ₹240 crore and operating cost ₹90 crore. Risk-weighted assets are 70% of exposure and the regulatory capital requirement is 11.5% of RWA.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 crore</w:t>
            </w:r>
          </w:p>
        </w:tc>
      </w:tr>
      <w:tr>
        <w:tc>
          <w:tcPr>
            <w:tcW w:type="dxa" w:w="4252"/>
          </w:tcPr>
          <w:p>
            <w:pPr>
              <w:spacing w:after="20" w:before="20"/>
            </w:pPr>
            <w:r/>
            <w:r>
              <w:rPr>
                <w:b/>
                <w:sz w:val="19"/>
              </w:rPr>
              <w:t>Portfolio exposure</w:t>
            </w:r>
          </w:p>
        </w:tc>
        <w:tc>
          <w:tcPr>
            <w:tcW w:type="dxa" w:w="5386"/>
          </w:tcPr>
          <w:p>
            <w:pPr>
              <w:spacing w:after="20" w:before="20"/>
              <w:jc w:val="center"/>
            </w:pPr>
            <w:r/>
            <w:r>
              <w:rPr>
                <w:sz w:val="19"/>
              </w:rPr>
              <w:t>5,000</w:t>
            </w:r>
          </w:p>
        </w:tc>
      </w:tr>
      <w:tr>
        <w:tc>
          <w:tcPr>
            <w:tcW w:type="dxa" w:w="4252"/>
            <w:shd w:val="clear" w:color="auto" w:fill="F3F6FA"/>
          </w:tcPr>
          <w:p>
            <w:pPr>
              <w:spacing w:after="20" w:before="20"/>
            </w:pPr>
            <w:r/>
            <w:r>
              <w:rPr>
                <w:b/>
                <w:sz w:val="19"/>
              </w:rPr>
              <w:t>Expected loss</w:t>
            </w:r>
          </w:p>
        </w:tc>
        <w:tc>
          <w:tcPr>
            <w:tcW w:type="dxa" w:w="5386"/>
            <w:shd w:val="clear" w:color="auto" w:fill="F3F6FA"/>
          </w:tcPr>
          <w:p>
            <w:pPr>
              <w:spacing w:after="20" w:before="20"/>
              <w:jc w:val="center"/>
            </w:pPr>
            <w:r/>
            <w:r>
              <w:rPr>
                <w:sz w:val="19"/>
              </w:rPr>
              <w:t>60</w:t>
            </w:r>
          </w:p>
        </w:tc>
      </w:tr>
      <w:tr>
        <w:tc>
          <w:tcPr>
            <w:tcW w:type="dxa" w:w="4252"/>
          </w:tcPr>
          <w:p>
            <w:pPr>
              <w:spacing w:after="20" w:before="20"/>
            </w:pPr>
            <w:r/>
            <w:r>
              <w:rPr>
                <w:b/>
                <w:sz w:val="19"/>
              </w:rPr>
              <w:t>99.9% loss quantile</w:t>
            </w:r>
          </w:p>
        </w:tc>
        <w:tc>
          <w:tcPr>
            <w:tcW w:type="dxa" w:w="5386"/>
          </w:tcPr>
          <w:p>
            <w:pPr>
              <w:spacing w:after="20" w:before="20"/>
              <w:jc w:val="center"/>
            </w:pPr>
            <w:r/>
            <w:r>
              <w:rPr>
                <w:sz w:val="19"/>
              </w:rPr>
              <w:t>420</w:t>
            </w:r>
          </w:p>
        </w:tc>
      </w:tr>
      <w:tr>
        <w:tc>
          <w:tcPr>
            <w:tcW w:type="dxa" w:w="4252"/>
            <w:shd w:val="clear" w:color="auto" w:fill="F3F6FA"/>
          </w:tcPr>
          <w:p>
            <w:pPr>
              <w:spacing w:after="20" w:before="20"/>
            </w:pPr>
            <w:r/>
            <w:r>
              <w:rPr>
                <w:b/>
                <w:sz w:val="19"/>
              </w:rPr>
              <w:t>Net interest income</w:t>
            </w:r>
          </w:p>
        </w:tc>
        <w:tc>
          <w:tcPr>
            <w:tcW w:type="dxa" w:w="5386"/>
            <w:shd w:val="clear" w:color="auto" w:fill="F3F6FA"/>
          </w:tcPr>
          <w:p>
            <w:pPr>
              <w:spacing w:after="20" w:before="20"/>
              <w:jc w:val="center"/>
            </w:pPr>
            <w:r/>
            <w:r>
              <w:rPr>
                <w:sz w:val="19"/>
              </w:rPr>
              <w:t>240</w:t>
            </w:r>
          </w:p>
        </w:tc>
      </w:tr>
      <w:tr>
        <w:tc>
          <w:tcPr>
            <w:tcW w:type="dxa" w:w="4252"/>
          </w:tcPr>
          <w:p>
            <w:pPr>
              <w:spacing w:after="20" w:before="20"/>
            </w:pPr>
            <w:r/>
            <w:r>
              <w:rPr>
                <w:b/>
                <w:sz w:val="19"/>
              </w:rPr>
              <w:t>Operating cost</w:t>
            </w:r>
          </w:p>
        </w:tc>
        <w:tc>
          <w:tcPr>
            <w:tcW w:type="dxa" w:w="5386"/>
          </w:tcPr>
          <w:p>
            <w:pPr>
              <w:spacing w:after="20" w:before="20"/>
              <w:jc w:val="center"/>
            </w:pPr>
            <w:r/>
            <w:r>
              <w:rPr>
                <w:sz w:val="19"/>
              </w:rPr>
              <w:t>90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economic capital.</w:t>
      </w:r>
    </w:p>
    <w:p>
      <w:pPr>
        <w:spacing w:after="40"/>
        <w:ind w:left="454" w:hanging="454"/>
      </w:pPr>
      <w:r>
        <w:rPr>
          <w:b/>
          <w:color w:val="1F3864"/>
        </w:rPr>
        <w:t xml:space="preserve">(b)  </w:t>
      </w:r>
      <w:r>
        <w:rPr/>
        <w:t>Compute portfolio RAROC and EVA.</w:t>
      </w:r>
    </w:p>
    <w:p>
      <w:pPr>
        <w:spacing w:after="40"/>
        <w:ind w:left="454" w:hanging="454"/>
      </w:pPr>
      <w:r>
        <w:rPr>
          <w:b/>
          <w:color w:val="1F3864"/>
        </w:rPr>
        <w:t xml:space="preserve">(c)  </w:t>
      </w:r>
      <w:r>
        <w:rPr/>
        <w:t>Compute regulatory capital and the return on regulatory capital.</w:t>
      </w:r>
    </w:p>
    <w:p>
      <w:pPr>
        <w:spacing w:after="40"/>
        <w:ind w:left="454" w:hanging="454"/>
      </w:pPr>
      <w:r>
        <w:rPr>
          <w:b/>
          <w:color w:val="1F3864"/>
        </w:rPr>
        <w:t xml:space="preserve">(d)  </w:t>
      </w:r>
      <w:r>
        <w:rPr/>
        <w:t>Why can economic and regulatory capital differ?</w:t>
      </w:r>
    </w:p>
    <w:p>
      <w:pPr>
        <w:spacing w:before="160"/>
      </w:pPr>
      <w:r>
        <w:rPr>
          <w:color w:val="595959"/>
          <w:sz w:val="18"/>
        </w:rPr>
        <w:t>Space for workings  ________________________________________________________________</w:t>
      </w:r>
    </w:p>
    <w:p>
      <w:pPr>
        <w:pStyle w:val="Heading2"/>
      </w:pPr>
      <w:r>
        <w:t>Case 3.5  RAROC for Treasury Trading Desks</w:t>
      </w:r>
    </w:p>
    <w:p>
      <w:r>
        <w:rPr>
          <w:i/>
          <w:color w:val="1A7F8E"/>
          <w:sz w:val="18"/>
        </w:rPr>
        <w:t>Market-risk capital | Desk comparison</w:t>
      </w:r>
    </w:p>
    <w:p>
      <w:pPr>
        <w:keepNext/>
        <w:spacing w:before="160" w:after="60"/>
      </w:pPr>
      <w:r>
        <w:rPr>
          <w:b/>
          <w:color w:val="1A7F8E"/>
          <w:sz w:val="19"/>
        </w:rPr>
        <w:t>BACKGROUND</w:t>
      </w:r>
    </w:p>
    <w:p>
      <w:r>
        <w:rPr/>
        <w:t>The treasury head must decide which desk receives additional risk limits. For this case, annual economic capital is approximated as the 1-day 99% VaR scaled by √250.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Desk</w:t>
            </w:r>
          </w:p>
        </w:tc>
        <w:tc>
          <w:tcPr>
            <w:tcW w:type="dxa" w:w="2230"/>
            <w:shd w:val="clear" w:color="auto" w:fill="1F3864"/>
          </w:tcPr>
          <w:p>
            <w:pPr>
              <w:spacing w:after="20" w:before="20"/>
            </w:pPr>
            <w:r/>
            <w:r>
              <w:rPr>
                <w:b/>
                <w:color w:val="FFFFFF"/>
                <w:sz w:val="19"/>
              </w:rPr>
              <w:t>Annual revenue (₹ cr)</w:t>
            </w:r>
          </w:p>
        </w:tc>
        <w:tc>
          <w:tcPr>
            <w:tcW w:type="dxa" w:w="2230"/>
            <w:shd w:val="clear" w:color="auto" w:fill="1F3864"/>
          </w:tcPr>
          <w:p>
            <w:pPr>
              <w:spacing w:after="20" w:before="20"/>
            </w:pPr>
            <w:r/>
            <w:r>
              <w:rPr>
                <w:b/>
                <w:color w:val="FFFFFF"/>
                <w:sz w:val="19"/>
              </w:rPr>
              <w:t>Annual cost (₹ cr)</w:t>
            </w:r>
          </w:p>
        </w:tc>
        <w:tc>
          <w:tcPr>
            <w:tcW w:type="dxa" w:w="2230"/>
            <w:shd w:val="clear" w:color="auto" w:fill="1F3864"/>
          </w:tcPr>
          <w:p>
            <w:pPr>
              <w:spacing w:after="20" w:before="20"/>
            </w:pPr>
            <w:r/>
            <w:r>
              <w:rPr>
                <w:b/>
                <w:color w:val="FFFFFF"/>
                <w:sz w:val="19"/>
              </w:rPr>
              <w:t>1-day 99% VaR (₹ cr)</w:t>
            </w:r>
          </w:p>
        </w:tc>
      </w:tr>
      <w:tr>
        <w:tc>
          <w:tcPr>
            <w:tcW w:type="dxa" w:w="2948"/>
          </w:tcPr>
          <w:p>
            <w:pPr>
              <w:spacing w:after="20" w:before="20"/>
            </w:pPr>
            <w:r/>
            <w:r>
              <w:rPr>
                <w:b/>
                <w:sz w:val="19"/>
              </w:rPr>
              <w:t>Equity</w:t>
            </w:r>
          </w:p>
        </w:tc>
        <w:tc>
          <w:tcPr>
            <w:tcW w:type="dxa" w:w="2230"/>
          </w:tcPr>
          <w:p>
            <w:pPr>
              <w:spacing w:after="20" w:before="20"/>
              <w:jc w:val="center"/>
            </w:pPr>
            <w:r/>
            <w:r>
              <w:rPr>
                <w:sz w:val="19"/>
              </w:rPr>
              <w:t>18.0</w:t>
            </w:r>
          </w:p>
        </w:tc>
        <w:tc>
          <w:tcPr>
            <w:tcW w:type="dxa" w:w="2230"/>
          </w:tcPr>
          <w:p>
            <w:pPr>
              <w:spacing w:after="20" w:before="20"/>
              <w:jc w:val="center"/>
            </w:pPr>
            <w:r/>
            <w:r>
              <w:rPr>
                <w:sz w:val="19"/>
              </w:rPr>
              <w:t>9.0</w:t>
            </w:r>
          </w:p>
        </w:tc>
        <w:tc>
          <w:tcPr>
            <w:tcW w:type="dxa" w:w="2230"/>
          </w:tcPr>
          <w:p>
            <w:pPr>
              <w:spacing w:after="20" w:before="20"/>
              <w:jc w:val="center"/>
            </w:pPr>
            <w:r/>
            <w:r>
              <w:rPr>
                <w:sz w:val="19"/>
              </w:rPr>
              <w:t>2.0</w:t>
            </w:r>
          </w:p>
        </w:tc>
      </w:tr>
      <w:tr>
        <w:tc>
          <w:tcPr>
            <w:tcW w:type="dxa" w:w="2948"/>
            <w:shd w:val="clear" w:color="auto" w:fill="F3F6FA"/>
          </w:tcPr>
          <w:p>
            <w:pPr>
              <w:spacing w:after="20" w:before="20"/>
            </w:pPr>
            <w:r/>
            <w:r>
              <w:rPr>
                <w:b/>
                <w:sz w:val="19"/>
              </w:rPr>
              <w:t>FX</w:t>
            </w:r>
          </w:p>
        </w:tc>
        <w:tc>
          <w:tcPr>
            <w:tcW w:type="dxa" w:w="2230"/>
            <w:shd w:val="clear" w:color="auto" w:fill="F3F6FA"/>
          </w:tcPr>
          <w:p>
            <w:pPr>
              <w:spacing w:after="20" w:before="20"/>
              <w:jc w:val="center"/>
            </w:pPr>
            <w:r/>
            <w:r>
              <w:rPr>
                <w:sz w:val="19"/>
              </w:rPr>
              <w:t>11.0</w:t>
            </w:r>
          </w:p>
        </w:tc>
        <w:tc>
          <w:tcPr>
            <w:tcW w:type="dxa" w:w="2230"/>
            <w:shd w:val="clear" w:color="auto" w:fill="F3F6FA"/>
          </w:tcPr>
          <w:p>
            <w:pPr>
              <w:spacing w:after="20" w:before="20"/>
              <w:jc w:val="center"/>
            </w:pPr>
            <w:r/>
            <w:r>
              <w:rPr>
                <w:sz w:val="19"/>
              </w:rPr>
              <w:t>5.0</w:t>
            </w:r>
          </w:p>
        </w:tc>
        <w:tc>
          <w:tcPr>
            <w:tcW w:type="dxa" w:w="2230"/>
            <w:shd w:val="clear" w:color="auto" w:fill="F3F6FA"/>
          </w:tcPr>
          <w:p>
            <w:pPr>
              <w:spacing w:after="20" w:before="20"/>
              <w:jc w:val="center"/>
            </w:pPr>
            <w:r/>
            <w:r>
              <w:rPr>
                <w:sz w:val="19"/>
              </w:rPr>
              <w:t>0.9</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economic capital for each desk.</w:t>
      </w:r>
    </w:p>
    <w:p>
      <w:pPr>
        <w:spacing w:after="40"/>
        <w:ind w:left="454" w:hanging="454"/>
      </w:pPr>
      <w:r>
        <w:rPr>
          <w:b/>
          <w:color w:val="1F3864"/>
        </w:rPr>
        <w:t xml:space="preserve">(b)  </w:t>
      </w:r>
      <w:r>
        <w:rPr/>
        <w:t>Compute RAROC and EVA.</w:t>
      </w:r>
    </w:p>
    <w:p>
      <w:pPr>
        <w:spacing w:after="40"/>
        <w:ind w:left="454" w:hanging="454"/>
      </w:pPr>
      <w:r>
        <w:rPr>
          <w:b/>
          <w:color w:val="1F3864"/>
        </w:rPr>
        <w:t xml:space="preserve">(c)  </w:t>
      </w:r>
      <w:r>
        <w:rPr/>
        <w:t>Which desk should receive the additional limit?</w:t>
      </w:r>
    </w:p>
    <w:p>
      <w:pPr>
        <w:spacing w:before="160"/>
      </w:pPr>
      <w:r>
        <w:rPr>
          <w:color w:val="595959"/>
          <w:sz w:val="18"/>
        </w:rPr>
        <w:t>Space for workings  ________________________________________________________________</w:t>
      </w:r>
    </w:p>
    <w:p>
      <w:pPr>
        <w:pStyle w:val="Heading2"/>
      </w:pPr>
      <w:r>
        <w:t>Case 3.6  Relationship RAROC with Fee Cross-Sell</w:t>
      </w:r>
    </w:p>
    <w:p>
      <w:r>
        <w:rPr>
          <w:i/>
          <w:color w:val="1A7F8E"/>
          <w:sz w:val="18"/>
        </w:rPr>
        <w:t>Relationship pricing | Fee income</w:t>
      </w:r>
    </w:p>
    <w:p>
      <w:pPr>
        <w:keepNext/>
        <w:spacing w:before="160" w:after="60"/>
      </w:pPr>
      <w:r>
        <w:rPr>
          <w:b/>
          <w:color w:val="1A7F8E"/>
          <w:sz w:val="19"/>
        </w:rPr>
        <w:t>BACKGROUND</w:t>
      </w:r>
    </w:p>
    <w:p>
      <w:r>
        <w:rPr/>
        <w:t>A ₹150 crore working-capital facility to a large FMCG distributor is priced at 8.90%. The client also offers cash-management (CMS) fees of ₹1.2 crore and FX conversion income of ₹0.8 crore annually, with incremental servicing cost of ₹0.4 crore and additional operational-risk capital of ₹0.5 crore.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 / rate</w:t>
            </w:r>
          </w:p>
        </w:tc>
        <w:tc>
          <w:tcPr>
            <w:tcW w:type="dxa" w:w="5386"/>
          </w:tcPr>
          <w:p>
            <w:pPr>
              <w:spacing w:after="20" w:before="20"/>
              <w:jc w:val="center"/>
            </w:pPr>
            <w:r/>
            <w:r>
              <w:rPr>
                <w:sz w:val="19"/>
              </w:rPr>
              <w:t>₹150 crore @ 8.90%</w:t>
            </w:r>
          </w:p>
        </w:tc>
      </w:tr>
      <w:tr>
        <w:tc>
          <w:tcPr>
            <w:tcW w:type="dxa" w:w="4252"/>
            <w:shd w:val="clear" w:color="auto" w:fill="F3F6FA"/>
          </w:tcPr>
          <w:p>
            <w:pPr>
              <w:spacing w:after="20" w:before="20"/>
            </w:pPr>
            <w:r/>
            <w:r>
              <w:rPr>
                <w:b/>
                <w:sz w:val="19"/>
              </w:rPr>
              <w:t>Cost of funds / op cost</w:t>
            </w:r>
          </w:p>
        </w:tc>
        <w:tc>
          <w:tcPr>
            <w:tcW w:type="dxa" w:w="5386"/>
            <w:shd w:val="clear" w:color="auto" w:fill="F3F6FA"/>
          </w:tcPr>
          <w:p>
            <w:pPr>
              <w:spacing w:after="20" w:before="20"/>
              <w:jc w:val="center"/>
            </w:pPr>
            <w:r/>
            <w:r>
              <w:rPr>
                <w:sz w:val="19"/>
              </w:rPr>
              <w:t>7.00% / 0.50%</w:t>
            </w:r>
          </w:p>
        </w:tc>
      </w:tr>
      <w:tr>
        <w:tc>
          <w:tcPr>
            <w:tcW w:type="dxa" w:w="4252"/>
          </w:tcPr>
          <w:p>
            <w:pPr>
              <w:spacing w:after="20" w:before="20"/>
            </w:pPr>
            <w:r/>
            <w:r>
              <w:rPr>
                <w:b/>
                <w:sz w:val="19"/>
              </w:rPr>
              <w:t>PD / LGD</w:t>
            </w:r>
          </w:p>
        </w:tc>
        <w:tc>
          <w:tcPr>
            <w:tcW w:type="dxa" w:w="5386"/>
          </w:tcPr>
          <w:p>
            <w:pPr>
              <w:spacing w:after="20" w:before="20"/>
              <w:jc w:val="center"/>
            </w:pPr>
            <w:r/>
            <w:r>
              <w:rPr>
                <w:sz w:val="19"/>
              </w:rPr>
              <w:t>1.00% / 45%</w:t>
            </w:r>
          </w:p>
        </w:tc>
      </w:tr>
      <w:tr>
        <w:tc>
          <w:tcPr>
            <w:tcW w:type="dxa" w:w="4252"/>
            <w:shd w:val="clear" w:color="auto" w:fill="F3F6FA"/>
          </w:tcPr>
          <w:p>
            <w:pPr>
              <w:spacing w:after="20" w:before="20"/>
            </w:pPr>
            <w:r/>
            <w:r>
              <w:rPr>
                <w:b/>
                <w:sz w:val="19"/>
              </w:rPr>
              <w:t>Economic capital</w:t>
            </w:r>
          </w:p>
        </w:tc>
        <w:tc>
          <w:tcPr>
            <w:tcW w:type="dxa" w:w="5386"/>
            <w:shd w:val="clear" w:color="auto" w:fill="F3F6FA"/>
          </w:tcPr>
          <w:p>
            <w:pPr>
              <w:spacing w:after="20" w:before="20"/>
              <w:jc w:val="center"/>
            </w:pPr>
            <w:r/>
            <w:r>
              <w:rPr>
                <w:sz w:val="19"/>
              </w:rPr>
              <w:t>9% of exposure (₹13.5 crore)</w:t>
            </w:r>
          </w:p>
        </w:tc>
      </w:tr>
      <w:tr>
        <w:tc>
          <w:tcPr>
            <w:tcW w:type="dxa" w:w="4252"/>
          </w:tcPr>
          <w:p>
            <w:pPr>
              <w:spacing w:after="20" w:before="20"/>
            </w:pPr>
            <w:r/>
            <w:r>
              <w:rPr>
                <w:b/>
                <w:sz w:val="19"/>
              </w:rPr>
              <w:t>Fees</w:t>
            </w:r>
          </w:p>
        </w:tc>
        <w:tc>
          <w:tcPr>
            <w:tcW w:type="dxa" w:w="5386"/>
          </w:tcPr>
          <w:p>
            <w:pPr>
              <w:spacing w:after="20" w:before="20"/>
              <w:jc w:val="center"/>
            </w:pPr>
            <w:r/>
            <w:r>
              <w:rPr>
                <w:sz w:val="19"/>
              </w:rPr>
              <w:t>₹2.0 crore; servicing cost ₹0.4 crore; extra EC ₹0.5 crore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standalone loan RAROC.</w:t>
      </w:r>
    </w:p>
    <w:p>
      <w:pPr>
        <w:spacing w:after="40"/>
        <w:ind w:left="454" w:hanging="454"/>
      </w:pPr>
      <w:r>
        <w:rPr>
          <w:b/>
          <w:color w:val="1F3864"/>
        </w:rPr>
        <w:t xml:space="preserve">(b)  </w:t>
      </w:r>
      <w:r>
        <w:rPr/>
        <w:t>Compute the relationship RAROC including fee income.</w:t>
      </w:r>
    </w:p>
    <w:p>
      <w:pPr>
        <w:spacing w:after="40"/>
        <w:ind w:left="454" w:hanging="454"/>
      </w:pPr>
      <w:r>
        <w:rPr>
          <w:b/>
          <w:color w:val="1F3864"/>
        </w:rPr>
        <w:t xml:space="preserve">(c)  </w:t>
      </w:r>
      <w:r>
        <w:rPr/>
        <w:t>Recommend a decision.</w:t>
      </w:r>
    </w:p>
    <w:p>
      <w:pPr>
        <w:spacing w:before="160"/>
      </w:pPr>
      <w:r>
        <w:rPr>
          <w:color w:val="595959"/>
          <w:sz w:val="18"/>
        </w:rPr>
        <w:t>Space for workings  ________________________________________________________________</w:t>
      </w:r>
    </w:p>
    <w:p>
      <w:pPr>
        <w:pStyle w:val="Heading2"/>
      </w:pPr>
      <w:r>
        <w:t>Case 3.7  Capital Allocation with Diversification</w:t>
      </w:r>
    </w:p>
    <w:p>
      <w:r>
        <w:rPr>
          <w:i/>
          <w:color w:val="1A7F8E"/>
          <w:sz w:val="18"/>
        </w:rPr>
        <w:t>Group EC | Diversification | Graph</w:t>
      </w:r>
    </w:p>
    <w:p>
      <w:pPr>
        <w:keepNext/>
        <w:spacing w:before="160" w:after="60"/>
      </w:pPr>
      <w:r>
        <w:rPr>
          <w:b/>
          <w:color w:val="1A7F8E"/>
          <w:sz w:val="19"/>
        </w:rPr>
        <w:t>BACKGROUND</w:t>
      </w:r>
    </w:p>
    <w:p>
      <w:r>
        <w:rPr/>
        <w:t>A bank’s three business units have stand-alone economic capital totalling ₹1,300 crore, but group-level EC after diversification is only ₹1,000 crore. The CFO proposes allocating the diversification benefit pro-rata to stand-alone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Business unit</w:t>
            </w:r>
          </w:p>
        </w:tc>
        <w:tc>
          <w:tcPr>
            <w:tcW w:type="dxa" w:w="3345"/>
            <w:shd w:val="clear" w:color="auto" w:fill="1F3864"/>
          </w:tcPr>
          <w:p>
            <w:pPr>
              <w:spacing w:after="20" w:before="20"/>
            </w:pPr>
            <w:r/>
            <w:r>
              <w:rPr>
                <w:b/>
                <w:color w:val="FFFFFF"/>
                <w:sz w:val="19"/>
              </w:rPr>
              <w:t>Stand-alone EC (₹ cr)</w:t>
            </w:r>
          </w:p>
        </w:tc>
        <w:tc>
          <w:tcPr>
            <w:tcW w:type="dxa" w:w="3345"/>
            <w:shd w:val="clear" w:color="auto" w:fill="1F3864"/>
          </w:tcPr>
          <w:p>
            <w:pPr>
              <w:spacing w:after="20" w:before="20"/>
            </w:pPr>
            <w:r/>
            <w:r>
              <w:rPr>
                <w:b/>
                <w:color w:val="FFFFFF"/>
                <w:sz w:val="19"/>
              </w:rPr>
              <w:t>Post-tax risk-adjusted profit (₹ cr)</w:t>
            </w:r>
          </w:p>
        </w:tc>
      </w:tr>
      <w:tr>
        <w:tc>
          <w:tcPr>
            <w:tcW w:type="dxa" w:w="2948"/>
          </w:tcPr>
          <w:p>
            <w:pPr>
              <w:spacing w:after="20" w:before="20"/>
            </w:pPr>
            <w:r/>
            <w:r>
              <w:rPr>
                <w:b/>
                <w:sz w:val="19"/>
              </w:rPr>
              <w:t>Retail Banking</w:t>
            </w:r>
          </w:p>
        </w:tc>
        <w:tc>
          <w:tcPr>
            <w:tcW w:type="dxa" w:w="3345"/>
          </w:tcPr>
          <w:p>
            <w:pPr>
              <w:spacing w:after="20" w:before="20"/>
              <w:jc w:val="center"/>
            </w:pPr>
            <w:r/>
            <w:r>
              <w:rPr>
                <w:sz w:val="19"/>
              </w:rPr>
              <w:t>400</w:t>
            </w:r>
          </w:p>
        </w:tc>
        <w:tc>
          <w:tcPr>
            <w:tcW w:type="dxa" w:w="3345"/>
          </w:tcPr>
          <w:p>
            <w:pPr>
              <w:spacing w:after="20" w:before="20"/>
              <w:jc w:val="center"/>
            </w:pPr>
            <w:r/>
            <w:r>
              <w:rPr>
                <w:sz w:val="19"/>
              </w:rPr>
              <w:t>70</w:t>
            </w:r>
          </w:p>
        </w:tc>
      </w:tr>
      <w:tr>
        <w:tc>
          <w:tcPr>
            <w:tcW w:type="dxa" w:w="2948"/>
            <w:shd w:val="clear" w:color="auto" w:fill="F3F6FA"/>
          </w:tcPr>
          <w:p>
            <w:pPr>
              <w:spacing w:after="20" w:before="20"/>
            </w:pPr>
            <w:r/>
            <w:r>
              <w:rPr>
                <w:b/>
                <w:sz w:val="19"/>
              </w:rPr>
              <w:t>Corporate Banking</w:t>
            </w:r>
          </w:p>
        </w:tc>
        <w:tc>
          <w:tcPr>
            <w:tcW w:type="dxa" w:w="3345"/>
            <w:shd w:val="clear" w:color="auto" w:fill="F3F6FA"/>
          </w:tcPr>
          <w:p>
            <w:pPr>
              <w:spacing w:after="20" w:before="20"/>
              <w:jc w:val="center"/>
            </w:pPr>
            <w:r/>
            <w:r>
              <w:rPr>
                <w:sz w:val="19"/>
              </w:rPr>
              <w:t>600</w:t>
            </w:r>
          </w:p>
        </w:tc>
        <w:tc>
          <w:tcPr>
            <w:tcW w:type="dxa" w:w="3345"/>
            <w:shd w:val="clear" w:color="auto" w:fill="F3F6FA"/>
          </w:tcPr>
          <w:p>
            <w:pPr>
              <w:spacing w:after="20" w:before="20"/>
              <w:jc w:val="center"/>
            </w:pPr>
            <w:r/>
            <w:r>
              <w:rPr>
                <w:sz w:val="19"/>
              </w:rPr>
              <w:t>85</w:t>
            </w:r>
          </w:p>
        </w:tc>
      </w:tr>
      <w:tr>
        <w:tc>
          <w:tcPr>
            <w:tcW w:type="dxa" w:w="2948"/>
          </w:tcPr>
          <w:p>
            <w:pPr>
              <w:spacing w:after="20" w:before="20"/>
            </w:pPr>
            <w:r/>
            <w:r>
              <w:rPr>
                <w:b/>
                <w:sz w:val="19"/>
              </w:rPr>
              <w:t>Treasury</w:t>
            </w:r>
          </w:p>
        </w:tc>
        <w:tc>
          <w:tcPr>
            <w:tcW w:type="dxa" w:w="3345"/>
          </w:tcPr>
          <w:p>
            <w:pPr>
              <w:spacing w:after="20" w:before="20"/>
              <w:jc w:val="center"/>
            </w:pPr>
            <w:r/>
            <w:r>
              <w:rPr>
                <w:sz w:val="19"/>
              </w:rPr>
              <w:t>300</w:t>
            </w:r>
          </w:p>
        </w:tc>
        <w:tc>
          <w:tcPr>
            <w:tcW w:type="dxa" w:w="3345"/>
          </w:tcPr>
          <w:p>
            <w:pPr>
              <w:spacing w:after="20" w:before="20"/>
              <w:jc w:val="center"/>
            </w:pPr>
            <w:r/>
            <w:r>
              <w:rPr>
                <w:sz w:val="19"/>
              </w:rPr>
              <w:t>50</w:t>
            </w:r>
          </w:p>
        </w:tc>
      </w:tr>
      <w:tr>
        <w:tc>
          <w:tcPr>
            <w:tcW w:type="dxa" w:w="2948"/>
            <w:shd w:val="clear" w:color="auto" w:fill="F3F6FA"/>
          </w:tcPr>
          <w:p>
            <w:pPr>
              <w:spacing w:after="20" w:before="20"/>
            </w:pPr>
            <w:r/>
            <w:r>
              <w:rPr>
                <w:b/>
                <w:sz w:val="19"/>
              </w:rPr>
              <w:t>Group (diversified)</w:t>
            </w:r>
          </w:p>
        </w:tc>
        <w:tc>
          <w:tcPr>
            <w:tcW w:type="dxa" w:w="3345"/>
            <w:shd w:val="clear" w:color="auto" w:fill="F3F6FA"/>
          </w:tcPr>
          <w:p>
            <w:pPr>
              <w:spacing w:after="20" w:before="20"/>
              <w:jc w:val="center"/>
            </w:pPr>
            <w:r/>
            <w:r>
              <w:rPr>
                <w:sz w:val="19"/>
              </w:rPr>
              <w:t>1,000</w:t>
            </w:r>
          </w:p>
        </w:tc>
        <w:tc>
          <w:tcPr>
            <w:tcW w:type="dxa" w:w="3345"/>
            <w:shd w:val="clear" w:color="auto" w:fill="F3F6FA"/>
          </w:tcPr>
          <w:p>
            <w:pPr>
              <w:spacing w:after="20" w:before="20"/>
              <w:jc w:val="center"/>
            </w:pPr>
            <w:r/>
            <w:r>
              <w:rPr>
                <w:sz w:val="19"/>
              </w:rPr>
              <w:t>205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stand-alone RAROC for each unit.</w:t>
      </w:r>
    </w:p>
    <w:p>
      <w:pPr>
        <w:spacing w:after="40"/>
        <w:ind w:left="454" w:hanging="454"/>
      </w:pPr>
      <w:r>
        <w:rPr>
          <w:b/>
          <w:color w:val="1F3864"/>
        </w:rPr>
        <w:t xml:space="preserve">(b)  </w:t>
      </w:r>
      <w:r>
        <w:rPr/>
        <w:t>Allocate group EC pro-rata and compute diversified RAROC.</w:t>
      </w:r>
    </w:p>
    <w:p>
      <w:pPr>
        <w:spacing w:after="40"/>
        <w:ind w:left="454" w:hanging="454"/>
      </w:pPr>
      <w:r>
        <w:rPr>
          <w:b/>
          <w:color w:val="1F3864"/>
        </w:rPr>
        <w:t xml:space="preserve">(c)  </w:t>
      </w:r>
      <w:r>
        <w:rPr>
          <w:b/>
          <w:color w:val="C9A227"/>
        </w:rPr>
        <w:t xml:space="preserve">Graph task: </w:t>
      </w:r>
      <w:r>
        <w:rPr/>
        <w:t>plot stand-alone vs diversified RAROC against the 15% hurdle.</w:t>
      </w:r>
    </w:p>
    <w:p>
      <w:pPr>
        <w:spacing w:after="40"/>
        <w:ind w:left="454" w:hanging="454"/>
      </w:pPr>
      <w:r>
        <w:rPr>
          <w:b/>
          <w:color w:val="1F3864"/>
        </w:rPr>
        <w:t xml:space="preserve">(d)  </w:t>
      </w:r>
      <w:r>
        <w:rPr/>
        <w:t>Which unit’s decision changes, and what allocation method is theoretically better?</w:t>
      </w:r>
    </w:p>
    <w:p>
      <w:pPr>
        <w:spacing w:before="160"/>
      </w:pPr>
      <w:r>
        <w:rPr>
          <w:color w:val="595959"/>
          <w:sz w:val="18"/>
        </w:rPr>
        <w:t>Space for workings  ________________________________________________________________</w:t>
      </w:r>
    </w:p>
    <w:p>
      <w:pPr>
        <w:pStyle w:val="Heading2"/>
      </w:pPr>
      <w:r>
        <w:t>Case 3.8  Impact of Collateral on RAROC</w:t>
      </w:r>
    </w:p>
    <w:p>
      <w:r>
        <w:rPr>
          <w:i/>
          <w:color w:val="1A7F8E"/>
          <w:sz w:val="18"/>
        </w:rPr>
        <w:t>LGD | Credit risk mitigation</w:t>
      </w:r>
    </w:p>
    <w:p>
      <w:pPr>
        <w:keepNext/>
        <w:spacing w:before="160" w:after="60"/>
      </w:pPr>
      <w:r>
        <w:rPr>
          <w:b/>
          <w:color w:val="1A7F8E"/>
          <w:sz w:val="19"/>
        </w:rPr>
        <w:t>BACKGROUND</w:t>
      </w:r>
    </w:p>
    <w:p>
      <w:r>
        <w:rPr/>
        <w:t>A ₹80 crore loan to a hotel chain can be structured unsecured at 11.00% or secured by property at 10.40%. Security reduces LGD and capital but adds valuation, legal and monitoring cost. Cost of funds is 7.00%.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Parameter</w:t>
            </w:r>
          </w:p>
        </w:tc>
        <w:tc>
          <w:tcPr>
            <w:tcW w:type="dxa" w:w="3345"/>
            <w:shd w:val="clear" w:color="auto" w:fill="1F3864"/>
          </w:tcPr>
          <w:p>
            <w:pPr>
              <w:spacing w:after="20" w:before="20"/>
            </w:pPr>
            <w:r/>
            <w:r>
              <w:rPr>
                <w:b/>
                <w:color w:val="FFFFFF"/>
                <w:sz w:val="19"/>
              </w:rPr>
              <w:t>Unsecured</w:t>
            </w:r>
          </w:p>
        </w:tc>
        <w:tc>
          <w:tcPr>
            <w:tcW w:type="dxa" w:w="3345"/>
            <w:shd w:val="clear" w:color="auto" w:fill="1F3864"/>
          </w:tcPr>
          <w:p>
            <w:pPr>
              <w:spacing w:after="20" w:before="20"/>
            </w:pPr>
            <w:r/>
            <w:r>
              <w:rPr>
                <w:b/>
                <w:color w:val="FFFFFF"/>
                <w:sz w:val="19"/>
              </w:rPr>
              <w:t>Secured</w:t>
            </w:r>
          </w:p>
        </w:tc>
      </w:tr>
      <w:tr>
        <w:tc>
          <w:tcPr>
            <w:tcW w:type="dxa" w:w="2948"/>
          </w:tcPr>
          <w:p>
            <w:pPr>
              <w:spacing w:after="20" w:before="20"/>
            </w:pPr>
            <w:r/>
            <w:r>
              <w:rPr>
                <w:b/>
                <w:sz w:val="19"/>
              </w:rPr>
              <w:t>Lending rate</w:t>
            </w:r>
          </w:p>
        </w:tc>
        <w:tc>
          <w:tcPr>
            <w:tcW w:type="dxa" w:w="3345"/>
          </w:tcPr>
          <w:p>
            <w:pPr>
              <w:spacing w:after="20" w:before="20"/>
              <w:jc w:val="center"/>
            </w:pPr>
            <w:r/>
            <w:r>
              <w:rPr>
                <w:sz w:val="19"/>
              </w:rPr>
              <w:t>11.00%</w:t>
            </w:r>
          </w:p>
        </w:tc>
        <w:tc>
          <w:tcPr>
            <w:tcW w:type="dxa" w:w="3345"/>
          </w:tcPr>
          <w:p>
            <w:pPr>
              <w:spacing w:after="20" w:before="20"/>
              <w:jc w:val="center"/>
            </w:pPr>
            <w:r/>
            <w:r>
              <w:rPr>
                <w:sz w:val="19"/>
              </w:rPr>
              <w:t>10.40%</w:t>
            </w:r>
          </w:p>
        </w:tc>
      </w:tr>
      <w:tr>
        <w:tc>
          <w:tcPr>
            <w:tcW w:type="dxa" w:w="2948"/>
            <w:shd w:val="clear" w:color="auto" w:fill="F3F6FA"/>
          </w:tcPr>
          <w:p>
            <w:pPr>
              <w:spacing w:after="20" w:before="20"/>
            </w:pPr>
            <w:r/>
            <w:r>
              <w:rPr>
                <w:b/>
                <w:sz w:val="19"/>
              </w:rPr>
              <w:t>Operating cost</w:t>
            </w:r>
          </w:p>
        </w:tc>
        <w:tc>
          <w:tcPr>
            <w:tcW w:type="dxa" w:w="3345"/>
            <w:shd w:val="clear" w:color="auto" w:fill="F3F6FA"/>
          </w:tcPr>
          <w:p>
            <w:pPr>
              <w:spacing w:after="20" w:before="20"/>
              <w:jc w:val="center"/>
            </w:pPr>
            <w:r/>
            <w:r>
              <w:rPr>
                <w:sz w:val="19"/>
              </w:rPr>
              <w:t>0.50%</w:t>
            </w:r>
          </w:p>
        </w:tc>
        <w:tc>
          <w:tcPr>
            <w:tcW w:type="dxa" w:w="3345"/>
            <w:shd w:val="clear" w:color="auto" w:fill="F3F6FA"/>
          </w:tcPr>
          <w:p>
            <w:pPr>
              <w:spacing w:after="20" w:before="20"/>
              <w:jc w:val="center"/>
            </w:pPr>
            <w:r/>
            <w:r>
              <w:rPr>
                <w:sz w:val="19"/>
              </w:rPr>
              <w:t>0.70%</w:t>
            </w:r>
          </w:p>
        </w:tc>
      </w:tr>
      <w:tr>
        <w:tc>
          <w:tcPr>
            <w:tcW w:type="dxa" w:w="2948"/>
          </w:tcPr>
          <w:p>
            <w:pPr>
              <w:spacing w:after="20" w:before="20"/>
            </w:pPr>
            <w:r/>
            <w:r>
              <w:rPr>
                <w:b/>
                <w:sz w:val="19"/>
              </w:rPr>
              <w:t>PD</w:t>
            </w:r>
          </w:p>
        </w:tc>
        <w:tc>
          <w:tcPr>
            <w:tcW w:type="dxa" w:w="3345"/>
          </w:tcPr>
          <w:p>
            <w:pPr>
              <w:spacing w:after="20" w:before="20"/>
              <w:jc w:val="center"/>
            </w:pPr>
            <w:r/>
            <w:r>
              <w:rPr>
                <w:sz w:val="19"/>
              </w:rPr>
              <w:t>2.00%</w:t>
            </w:r>
          </w:p>
        </w:tc>
        <w:tc>
          <w:tcPr>
            <w:tcW w:type="dxa" w:w="3345"/>
          </w:tcPr>
          <w:p>
            <w:pPr>
              <w:spacing w:after="20" w:before="20"/>
              <w:jc w:val="center"/>
            </w:pPr>
            <w:r/>
            <w:r>
              <w:rPr>
                <w:sz w:val="19"/>
              </w:rPr>
              <w:t>2.00%</w:t>
            </w:r>
          </w:p>
        </w:tc>
      </w:tr>
      <w:tr>
        <w:tc>
          <w:tcPr>
            <w:tcW w:type="dxa" w:w="2948"/>
            <w:shd w:val="clear" w:color="auto" w:fill="F3F6FA"/>
          </w:tcPr>
          <w:p>
            <w:pPr>
              <w:spacing w:after="20" w:before="20"/>
            </w:pPr>
            <w:r/>
            <w:r>
              <w:rPr>
                <w:b/>
                <w:sz w:val="19"/>
              </w:rPr>
              <w:t>LGD</w:t>
            </w:r>
          </w:p>
        </w:tc>
        <w:tc>
          <w:tcPr>
            <w:tcW w:type="dxa" w:w="3345"/>
            <w:shd w:val="clear" w:color="auto" w:fill="F3F6FA"/>
          </w:tcPr>
          <w:p>
            <w:pPr>
              <w:spacing w:after="20" w:before="20"/>
              <w:jc w:val="center"/>
            </w:pPr>
            <w:r/>
            <w:r>
              <w:rPr>
                <w:sz w:val="19"/>
              </w:rPr>
              <w:t>60%</w:t>
            </w:r>
          </w:p>
        </w:tc>
        <w:tc>
          <w:tcPr>
            <w:tcW w:type="dxa" w:w="3345"/>
            <w:shd w:val="clear" w:color="auto" w:fill="F3F6FA"/>
          </w:tcPr>
          <w:p>
            <w:pPr>
              <w:spacing w:after="20" w:before="20"/>
              <w:jc w:val="center"/>
            </w:pPr>
            <w:r/>
            <w:r>
              <w:rPr>
                <w:sz w:val="19"/>
              </w:rPr>
              <w:t>25%</w:t>
            </w:r>
          </w:p>
        </w:tc>
      </w:tr>
      <w:tr>
        <w:tc>
          <w:tcPr>
            <w:tcW w:type="dxa" w:w="2948"/>
          </w:tcPr>
          <w:p>
            <w:pPr>
              <w:spacing w:after="20" w:before="20"/>
            </w:pPr>
            <w:r/>
            <w:r>
              <w:rPr>
                <w:b/>
                <w:sz w:val="19"/>
              </w:rPr>
              <w:t>Economic capital</w:t>
            </w:r>
          </w:p>
        </w:tc>
        <w:tc>
          <w:tcPr>
            <w:tcW w:type="dxa" w:w="3345"/>
          </w:tcPr>
          <w:p>
            <w:pPr>
              <w:spacing w:after="20" w:before="20"/>
              <w:jc w:val="center"/>
            </w:pPr>
            <w:r/>
            <w:r>
              <w:rPr>
                <w:sz w:val="19"/>
              </w:rPr>
              <w:t>12% (₹9.6 cr)</w:t>
            </w:r>
          </w:p>
        </w:tc>
        <w:tc>
          <w:tcPr>
            <w:tcW w:type="dxa" w:w="3345"/>
          </w:tcPr>
          <w:p>
            <w:pPr>
              <w:spacing w:after="20" w:before="20"/>
              <w:jc w:val="center"/>
            </w:pPr>
            <w:r/>
            <w:r>
              <w:rPr>
                <w:sz w:val="19"/>
              </w:rPr>
              <w:t>6% (₹4.8 cr)</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RAROC and EVA for both structures.</w:t>
      </w:r>
    </w:p>
    <w:p>
      <w:pPr>
        <w:spacing w:after="40"/>
        <w:ind w:left="454" w:hanging="454"/>
      </w:pPr>
      <w:r>
        <w:rPr>
          <w:b/>
          <w:color w:val="1F3864"/>
        </w:rPr>
        <w:t xml:space="preserve">(b)  </w:t>
      </w:r>
      <w:r>
        <w:rPr/>
        <w:t>Which structure should the bank prefer and why?</w:t>
      </w:r>
    </w:p>
    <w:p>
      <w:pPr>
        <w:spacing w:after="40"/>
        <w:ind w:left="454" w:hanging="454"/>
      </w:pPr>
      <w:r>
        <w:rPr>
          <w:b/>
          <w:color w:val="1F3864"/>
        </w:rPr>
        <w:t xml:space="preserve">(c)  </w:t>
      </w:r>
      <w:r>
        <w:rPr/>
        <w:t>Identify two risks that could erode the collateral benefit.</w:t>
      </w:r>
    </w:p>
    <w:p>
      <w:pPr>
        <w:spacing w:before="160"/>
      </w:pPr>
      <w:r>
        <w:rPr>
          <w:color w:val="595959"/>
          <w:sz w:val="18"/>
        </w:rPr>
        <w:t>Space for workings  ________________________________________________________________</w:t>
      </w:r>
    </w:p>
    <w:p>
      <w:r>
        <w:br w:type="page"/>
      </w:r>
    </w:p>
    <w:p>
      <w:pPr>
        <w:spacing w:after="0"/>
      </w:pPr>
      <w:r>
        <w:rPr>
          <w:b/>
          <w:color w:val="1A7F8E"/>
          <w:sz w:val="22"/>
        </w:rPr>
        <w:t>MODULE 4</w:t>
      </w:r>
    </w:p>
    <w:p>
      <w:pPr>
        <w:pStyle w:val="Heading1"/>
      </w:pPr>
      <w:r>
        <w:t>Regression &amp; Variance Analysis</w:t>
      </w:r>
    </w:p>
    <w:p>
      <w:pPr>
        <w:pStyle w:val="Heading2"/>
      </w:pPr>
      <w:r>
        <w:t>1. What is it?</w:t>
      </w:r>
    </w:p>
    <w:p>
      <w:r>
        <w:rPr>
          <w:b/>
        </w:rPr>
        <w:t>Regression analysis</w:t>
      </w:r>
      <w:r>
        <w:rPr/>
        <w:t xml:space="preserve"> estimates the relationship between a dependent variable (Y) and one or more explanatory variables (X). Ordinary Least Squares (OLS) fits the line that minimises the sum of squared residuals. </w:t>
      </w:r>
      <w:r>
        <w:rPr>
          <w:b/>
        </w:rPr>
        <w:t>Variance analysis</w:t>
      </w:r>
      <w:r>
        <w:rPr/>
        <w:t xml:space="preserve"> measures and decomposes dispersion — how much a return, cost or portfolio value varies, and which sources drive that variation. Together they answer: How sensitive is Y to X? How much of the risk is explained? What remains unexplained?</w:t>
      </w:r>
    </w:p>
    <w:p>
      <w:pPr>
        <w:pStyle w:val="Heading2"/>
      </w:pPr>
      <w:r>
        <w:t>2. Why is it important?</w:t>
      </w:r>
    </w:p>
    <w:p>
      <w:pPr>
        <w:pStyle w:val="ListBullet"/>
      </w:pPr>
      <w:r>
        <w:rPr/>
        <w:t>Beta, hedge ratios, factor exposures and stress-test models are all regression outputs.</w:t>
      </w:r>
    </w:p>
    <w:p>
      <w:pPr>
        <w:pStyle w:val="ListBullet"/>
      </w:pPr>
      <w:r>
        <w:rPr/>
        <w:t>Variance (σ²) is the core input to VaR, portfolio optimisation and risk budgeting.</w:t>
      </w:r>
    </w:p>
    <w:p>
      <w:pPr>
        <w:pStyle w:val="ListBullet"/>
      </w:pPr>
      <w:r>
        <w:rPr/>
        <w:t>R² and the ANOVA decomposition show how much risk is systematic (hedgeable) versus idiosyncratic (diversifiable).</w:t>
      </w:r>
    </w:p>
    <w:p>
      <w:pPr>
        <w:pStyle w:val="ListBullet"/>
      </w:pPr>
      <w:r>
        <w:rPr/>
        <w:t>Cost-behaviour regression supports flexible budgets and budget-vs-actual variance analysis in FP&amp;A.</w:t>
      </w:r>
    </w:p>
    <w:p>
      <w:pPr>
        <w:pStyle w:val="Heading2"/>
      </w:pPr>
      <w:r>
        <w:t>3. How is it used in industry?</w:t>
      </w:r>
    </w:p>
    <w:p>
      <w:pPr>
        <w:pStyle w:val="ListBullet"/>
      </w:pPr>
      <w:r>
        <w:rPr>
          <w:b/>
        </w:rPr>
        <w:t>Equity research and fund management</w:t>
      </w:r>
      <w:r>
        <w:rPr/>
        <w:t xml:space="preserve"> — beta estimation, factor models (Fama–French), performance attribution.</w:t>
      </w:r>
    </w:p>
    <w:p>
      <w:pPr>
        <w:pStyle w:val="ListBullet"/>
      </w:pPr>
      <w:r>
        <w:rPr>
          <w:b/>
        </w:rPr>
        <w:t>Banks’ risk and stress testing</w:t>
      </w:r>
      <w:r>
        <w:rPr/>
        <w:t xml:space="preserve"> — regressing NPAs on GDP growth and interest rates; the RBI’s Financial Stability Report uses macro-stress-test models of this type.</w:t>
      </w:r>
    </w:p>
    <w:p>
      <w:pPr>
        <w:pStyle w:val="ListBullet"/>
      </w:pPr>
      <w:r>
        <w:rPr>
          <w:b/>
        </w:rPr>
        <w:t>Corporate treasury and commodities</w:t>
      </w:r>
      <w:r>
        <w:rPr/>
        <w:t xml:space="preserve"> — minimum-variance hedge ratios for fuel, metals and currencies.</w:t>
      </w:r>
    </w:p>
    <w:p>
      <w:pPr>
        <w:pStyle w:val="ListBullet"/>
      </w:pPr>
      <w:r>
        <w:rPr>
          <w:b/>
        </w:rPr>
        <w:t>FP&amp;A and cost accounting</w:t>
      </w:r>
      <w:r>
        <w:rPr/>
        <w:t xml:space="preserve"> — separating fixed and variable costs, building flexible budgets and explaining variances.</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shd w:val="clear" w:color="auto" w:fill="1F3864"/>
          </w:tcPr>
          <w:p>
            <w:pPr>
              <w:spacing w:after="20" w:before="20"/>
            </w:pPr>
            <w:r/>
            <w:r>
              <w:rPr>
                <w:b/>
                <w:color w:val="FFFFFF"/>
                <w:sz w:val="18"/>
              </w:rPr>
              <w:t>Regression output</w:t>
            </w:r>
          </w:p>
        </w:tc>
        <w:tc>
          <w:tcPr>
            <w:tcW w:type="dxa" w:w="3798"/>
            <w:shd w:val="clear" w:color="auto" w:fill="1F3864"/>
          </w:tcPr>
          <w:p>
            <w:pPr>
              <w:spacing w:after="20" w:before="20"/>
            </w:pPr>
            <w:r/>
            <w:r>
              <w:rPr>
                <w:b/>
                <w:color w:val="FFFFFF"/>
                <w:sz w:val="18"/>
              </w:rPr>
              <w:t>Meaning</w:t>
            </w:r>
          </w:p>
        </w:tc>
        <w:tc>
          <w:tcPr>
            <w:tcW w:type="dxa" w:w="3798"/>
            <w:shd w:val="clear" w:color="auto" w:fill="1F3864"/>
          </w:tcPr>
          <w:p>
            <w:pPr>
              <w:spacing w:after="20" w:before="20"/>
            </w:pPr>
            <w:r/>
            <w:r>
              <w:rPr>
                <w:b/>
                <w:color w:val="FFFFFF"/>
                <w:sz w:val="18"/>
              </w:rPr>
              <w:t>Rule of thumb</w:t>
            </w:r>
          </w:p>
        </w:tc>
      </w:tr>
      <w:tr>
        <w:tc>
          <w:tcPr>
            <w:tcW w:type="dxa" w:w="2041"/>
          </w:tcPr>
          <w:p>
            <w:pPr>
              <w:spacing w:after="20" w:before="20"/>
            </w:pPr>
            <w:r/>
            <w:r>
              <w:rPr>
                <w:b/>
                <w:sz w:val="18"/>
              </w:rPr>
              <w:t>Coefficient (β)</w:t>
            </w:r>
          </w:p>
        </w:tc>
        <w:tc>
          <w:tcPr>
            <w:tcW w:type="dxa" w:w="3798"/>
          </w:tcPr>
          <w:p>
            <w:pPr>
              <w:spacing w:after="20" w:before="20"/>
              <w:jc w:val="center"/>
            </w:pPr>
            <w:r/>
            <w:r>
              <w:rPr>
                <w:sz w:val="18"/>
              </w:rPr>
              <w:t>Change in Y for a one-unit change in X</w:t>
            </w:r>
          </w:p>
        </w:tc>
        <w:tc>
          <w:tcPr>
            <w:tcW w:type="dxa" w:w="3798"/>
          </w:tcPr>
          <w:p>
            <w:pPr>
              <w:spacing w:after="20" w:before="20"/>
              <w:jc w:val="center"/>
            </w:pPr>
            <w:r/>
            <w:r>
              <w:rPr>
                <w:sz w:val="18"/>
              </w:rPr>
              <w:t>Sign and size matter</w:t>
            </w:r>
          </w:p>
        </w:tc>
      </w:tr>
      <w:tr>
        <w:tc>
          <w:tcPr>
            <w:tcW w:type="dxa" w:w="2041"/>
            <w:shd w:val="clear" w:color="auto" w:fill="F3F6FA"/>
          </w:tcPr>
          <w:p>
            <w:pPr>
              <w:spacing w:after="20" w:before="20"/>
            </w:pPr>
            <w:r/>
            <w:r>
              <w:rPr>
                <w:b/>
                <w:sz w:val="18"/>
              </w:rPr>
              <w:t>Standard error / t-stat</w:t>
            </w:r>
          </w:p>
        </w:tc>
        <w:tc>
          <w:tcPr>
            <w:tcW w:type="dxa" w:w="3798"/>
            <w:shd w:val="clear" w:color="auto" w:fill="F3F6FA"/>
          </w:tcPr>
          <w:p>
            <w:pPr>
              <w:spacing w:after="20" w:before="20"/>
              <w:jc w:val="center"/>
            </w:pPr>
            <w:r/>
            <w:r>
              <w:rPr>
                <w:sz w:val="18"/>
              </w:rPr>
              <w:t>t = coefficient / SE</w:t>
            </w:r>
          </w:p>
        </w:tc>
        <w:tc>
          <w:tcPr>
            <w:tcW w:type="dxa" w:w="3798"/>
            <w:shd w:val="clear" w:color="auto" w:fill="F3F6FA"/>
          </w:tcPr>
          <w:p>
            <w:pPr>
              <w:spacing w:after="20" w:before="20"/>
              <w:jc w:val="center"/>
            </w:pPr>
            <w:r/>
            <w:r>
              <w:rPr>
                <w:sz w:val="18"/>
              </w:rPr>
              <w:t>|t| &gt; ~2 → significant at 5%</w:t>
            </w:r>
          </w:p>
        </w:tc>
      </w:tr>
      <w:tr>
        <w:tc>
          <w:tcPr>
            <w:tcW w:type="dxa" w:w="2041"/>
          </w:tcPr>
          <w:p>
            <w:pPr>
              <w:spacing w:after="20" w:before="20"/>
            </w:pPr>
            <w:r/>
            <w:r>
              <w:rPr>
                <w:b/>
                <w:sz w:val="18"/>
              </w:rPr>
              <w:t>p-value</w:t>
            </w:r>
          </w:p>
        </w:tc>
        <w:tc>
          <w:tcPr>
            <w:tcW w:type="dxa" w:w="3798"/>
          </w:tcPr>
          <w:p>
            <w:pPr>
              <w:spacing w:after="20" w:before="20"/>
              <w:jc w:val="center"/>
            </w:pPr>
            <w:r/>
            <w:r>
              <w:rPr>
                <w:sz w:val="18"/>
              </w:rPr>
              <w:t>Probability of a coefficient this large if the true value is zero</w:t>
            </w:r>
          </w:p>
        </w:tc>
        <w:tc>
          <w:tcPr>
            <w:tcW w:type="dxa" w:w="3798"/>
          </w:tcPr>
          <w:p>
            <w:pPr>
              <w:spacing w:after="20" w:before="20"/>
              <w:jc w:val="center"/>
            </w:pPr>
            <w:r/>
            <w:r>
              <w:rPr>
                <w:sz w:val="18"/>
              </w:rPr>
              <w:t>p &lt; 0.05 → reject H₀</w:t>
            </w:r>
          </w:p>
        </w:tc>
      </w:tr>
      <w:tr>
        <w:tc>
          <w:tcPr>
            <w:tcW w:type="dxa" w:w="2041"/>
            <w:shd w:val="clear" w:color="auto" w:fill="F3F6FA"/>
          </w:tcPr>
          <w:p>
            <w:pPr>
              <w:spacing w:after="20" w:before="20"/>
            </w:pPr>
            <w:r/>
            <w:r>
              <w:rPr>
                <w:b/>
                <w:sz w:val="18"/>
              </w:rPr>
              <w:t>R² / Adjusted R²</w:t>
            </w:r>
          </w:p>
        </w:tc>
        <w:tc>
          <w:tcPr>
            <w:tcW w:type="dxa" w:w="3798"/>
            <w:shd w:val="clear" w:color="auto" w:fill="F3F6FA"/>
          </w:tcPr>
          <w:p>
            <w:pPr>
              <w:spacing w:after="20" w:before="20"/>
              <w:jc w:val="center"/>
            </w:pPr>
            <w:r/>
            <w:r>
              <w:rPr>
                <w:sz w:val="18"/>
              </w:rPr>
              <w:t>Share of variance of Y explained</w:t>
            </w:r>
          </w:p>
        </w:tc>
        <w:tc>
          <w:tcPr>
            <w:tcW w:type="dxa" w:w="3798"/>
            <w:shd w:val="clear" w:color="auto" w:fill="F3F6FA"/>
          </w:tcPr>
          <w:p>
            <w:pPr>
              <w:spacing w:after="20" w:before="20"/>
              <w:jc w:val="center"/>
            </w:pPr>
            <w:r/>
            <w:r>
              <w:rPr>
                <w:sz w:val="18"/>
              </w:rPr>
              <w:t>Adjusted R² penalises extra variables</w:t>
            </w:r>
          </w:p>
        </w:tc>
      </w:tr>
      <w:tr>
        <w:tc>
          <w:tcPr>
            <w:tcW w:type="dxa" w:w="2041"/>
          </w:tcPr>
          <w:p>
            <w:pPr>
              <w:spacing w:after="20" w:before="20"/>
            </w:pPr>
            <w:r/>
            <w:r>
              <w:rPr>
                <w:b/>
                <w:sz w:val="18"/>
              </w:rPr>
              <w:t>F-statistic</w:t>
            </w:r>
          </w:p>
        </w:tc>
        <w:tc>
          <w:tcPr>
            <w:tcW w:type="dxa" w:w="3798"/>
          </w:tcPr>
          <w:p>
            <w:pPr>
              <w:spacing w:after="20" w:before="20"/>
              <w:jc w:val="center"/>
            </w:pPr>
            <w:r/>
            <w:r>
              <w:rPr>
                <w:sz w:val="18"/>
              </w:rPr>
              <w:t>Joint significance of all regressors</w:t>
            </w:r>
          </w:p>
        </w:tc>
        <w:tc>
          <w:tcPr>
            <w:tcW w:type="dxa" w:w="3798"/>
          </w:tcPr>
          <w:p>
            <w:pPr>
              <w:spacing w:after="20" w:before="20"/>
              <w:jc w:val="center"/>
            </w:pPr>
            <w:r/>
            <w:r>
              <w:rPr>
                <w:sz w:val="18"/>
              </w:rPr>
              <w:t>Compare with F-critical</w:t>
            </w:r>
          </w:p>
        </w:tc>
      </w:tr>
      <w:tr>
        <w:tc>
          <w:tcPr>
            <w:tcW w:type="dxa" w:w="2041"/>
            <w:shd w:val="clear" w:color="auto" w:fill="F3F6FA"/>
          </w:tcPr>
          <w:p>
            <w:pPr>
              <w:spacing w:after="20" w:before="20"/>
            </w:pPr>
            <w:r/>
            <w:r>
              <w:rPr>
                <w:b/>
                <w:sz w:val="18"/>
              </w:rPr>
              <w:t>Residual diagnostics</w:t>
            </w:r>
          </w:p>
        </w:tc>
        <w:tc>
          <w:tcPr>
            <w:tcW w:type="dxa" w:w="3798"/>
            <w:shd w:val="clear" w:color="auto" w:fill="F3F6FA"/>
          </w:tcPr>
          <w:p>
            <w:pPr>
              <w:spacing w:after="20" w:before="20"/>
              <w:jc w:val="center"/>
            </w:pPr>
            <w:r/>
            <w:r>
              <w:rPr>
                <w:sz w:val="18"/>
              </w:rPr>
              <w:t>Heteroskedasticity, autocorrelation, multicollinearity</w:t>
            </w:r>
          </w:p>
        </w:tc>
        <w:tc>
          <w:tcPr>
            <w:tcW w:type="dxa" w:w="3798"/>
            <w:shd w:val="clear" w:color="auto" w:fill="F3F6FA"/>
          </w:tcPr>
          <w:p>
            <w:pPr>
              <w:spacing w:after="20" w:before="20"/>
              <w:jc w:val="center"/>
            </w:pPr>
            <w:r/>
            <w:r>
              <w:rPr>
                <w:sz w:val="18"/>
              </w:rPr>
              <w:t>Invalidate standard errors if ignored</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Simple regression slope</w:t>
            </w:r>
          </w:p>
        </w:tc>
        <w:tc>
          <w:tcPr>
            <w:tcW w:type="dxa" w:w="6803"/>
          </w:tcPr>
          <w:p>
            <w:pPr>
              <w:spacing w:after="20" w:before="20"/>
              <w:jc w:val="center"/>
            </w:pPr>
            <w:r/>
            <w:r>
              <w:rPr>
                <w:sz w:val="19"/>
              </w:rPr>
              <w:t>β = Cov(X, Y) / Var(X)       α = Ȳ − β·X̄</w:t>
            </w:r>
          </w:p>
        </w:tc>
      </w:tr>
      <w:tr>
        <w:tc>
          <w:tcPr>
            <w:tcW w:type="dxa" w:w="2835"/>
            <w:shd w:val="clear" w:color="auto" w:fill="F3F6FA"/>
          </w:tcPr>
          <w:p>
            <w:pPr>
              <w:spacing w:after="20" w:before="20"/>
            </w:pPr>
            <w:r/>
            <w:r>
              <w:rPr>
                <w:b/>
                <w:sz w:val="19"/>
              </w:rPr>
              <w:t>Coefficient of determination</w:t>
            </w:r>
          </w:p>
        </w:tc>
        <w:tc>
          <w:tcPr>
            <w:tcW w:type="dxa" w:w="6803"/>
            <w:shd w:val="clear" w:color="auto" w:fill="F3F6FA"/>
          </w:tcPr>
          <w:p>
            <w:pPr>
              <w:spacing w:after="20" w:before="20"/>
              <w:jc w:val="center"/>
            </w:pPr>
            <w:r/>
            <w:r>
              <w:rPr>
                <w:sz w:val="19"/>
              </w:rPr>
              <w:t>R² = SSR/SST = 1 − SSE/SST   (simple regression: R² = ρ²)</w:t>
            </w:r>
          </w:p>
        </w:tc>
      </w:tr>
      <w:tr>
        <w:tc>
          <w:tcPr>
            <w:tcW w:type="dxa" w:w="2835"/>
          </w:tcPr>
          <w:p>
            <w:pPr>
              <w:spacing w:after="20" w:before="20"/>
            </w:pPr>
            <w:r/>
            <w:r>
              <w:rPr>
                <w:b/>
                <w:sz w:val="19"/>
              </w:rPr>
              <w:t>Adjusted R²</w:t>
            </w:r>
          </w:p>
        </w:tc>
        <w:tc>
          <w:tcPr>
            <w:tcW w:type="dxa" w:w="6803"/>
          </w:tcPr>
          <w:p>
            <w:pPr>
              <w:spacing w:after="20" w:before="20"/>
              <w:jc w:val="center"/>
            </w:pPr>
            <w:r/>
            <w:r>
              <w:rPr>
                <w:sz w:val="19"/>
              </w:rPr>
              <w:t>R̄² = 1 − (1 − R²)(n − 1)/(n − k − 1)</w:t>
            </w:r>
          </w:p>
        </w:tc>
      </w:tr>
      <w:tr>
        <w:tc>
          <w:tcPr>
            <w:tcW w:type="dxa" w:w="2835"/>
            <w:shd w:val="clear" w:color="auto" w:fill="F3F6FA"/>
          </w:tcPr>
          <w:p>
            <w:pPr>
              <w:spacing w:after="20" w:before="20"/>
            </w:pPr>
            <w:r/>
            <w:r>
              <w:rPr>
                <w:b/>
                <w:sz w:val="19"/>
              </w:rPr>
              <w:t>F-statistic</w:t>
            </w:r>
          </w:p>
        </w:tc>
        <w:tc>
          <w:tcPr>
            <w:tcW w:type="dxa" w:w="6803"/>
            <w:shd w:val="clear" w:color="auto" w:fill="F3F6FA"/>
          </w:tcPr>
          <w:p>
            <w:pPr>
              <w:spacing w:after="20" w:before="20"/>
              <w:jc w:val="center"/>
            </w:pPr>
            <w:r/>
            <w:r>
              <w:rPr>
                <w:sz w:val="19"/>
              </w:rPr>
              <w:t>F = (SSR/k) / (SSE/(n − k − 1))</w:t>
            </w:r>
          </w:p>
        </w:tc>
      </w:tr>
      <w:tr>
        <w:tc>
          <w:tcPr>
            <w:tcW w:type="dxa" w:w="2835"/>
          </w:tcPr>
          <w:p>
            <w:pPr>
              <w:spacing w:after="20" w:before="20"/>
            </w:pPr>
            <w:r/>
            <w:r>
              <w:rPr>
                <w:b/>
                <w:sz w:val="19"/>
              </w:rPr>
              <w:t>Sample variance</w:t>
            </w:r>
          </w:p>
        </w:tc>
        <w:tc>
          <w:tcPr>
            <w:tcW w:type="dxa" w:w="6803"/>
          </w:tcPr>
          <w:p>
            <w:pPr>
              <w:spacing w:after="20" w:before="20"/>
              <w:jc w:val="center"/>
            </w:pPr>
            <w:r/>
            <w:r>
              <w:rPr>
                <w:sz w:val="19"/>
              </w:rPr>
              <w:t>s² = Σ(xᵢ − x̄)² / (n − 1)    Annualised σ = σ_monthly × √12</w:t>
            </w:r>
          </w:p>
        </w:tc>
      </w:tr>
      <w:tr>
        <w:tc>
          <w:tcPr>
            <w:tcW w:type="dxa" w:w="2835"/>
            <w:shd w:val="clear" w:color="auto" w:fill="F3F6FA"/>
          </w:tcPr>
          <w:p>
            <w:pPr>
              <w:spacing w:after="20" w:before="20"/>
            </w:pPr>
            <w:r/>
            <w:r>
              <w:rPr>
                <w:b/>
                <w:sz w:val="19"/>
              </w:rPr>
              <w:t>Portfolio variance</w:t>
            </w:r>
          </w:p>
        </w:tc>
        <w:tc>
          <w:tcPr>
            <w:tcW w:type="dxa" w:w="6803"/>
            <w:shd w:val="clear" w:color="auto" w:fill="F3F6FA"/>
          </w:tcPr>
          <w:p>
            <w:pPr>
              <w:spacing w:after="20" w:before="20"/>
              <w:jc w:val="center"/>
            </w:pPr>
            <w:r/>
            <w:r>
              <w:rPr>
                <w:sz w:val="19"/>
              </w:rPr>
              <w:t>σₚ² = wᵀ Σ w = Σᵢ Σⱼ wᵢ wⱼ σᵢ σⱼ ρᵢⱼ</w:t>
            </w:r>
          </w:p>
        </w:tc>
      </w:tr>
      <w:tr>
        <w:tc>
          <w:tcPr>
            <w:tcW w:type="dxa" w:w="2835"/>
          </w:tcPr>
          <w:p>
            <w:pPr>
              <w:spacing w:after="20" w:before="20"/>
            </w:pPr>
            <w:r/>
            <w:r>
              <w:rPr>
                <w:b/>
                <w:sz w:val="19"/>
              </w:rPr>
              <w:t>Variance decomposition</w:t>
            </w:r>
          </w:p>
        </w:tc>
        <w:tc>
          <w:tcPr>
            <w:tcW w:type="dxa" w:w="6803"/>
          </w:tcPr>
          <w:p>
            <w:pPr>
              <w:spacing w:after="20" w:before="20"/>
              <w:jc w:val="center"/>
            </w:pPr>
            <w:r/>
            <w:r>
              <w:rPr>
                <w:sz w:val="19"/>
              </w:rPr>
              <w:t>σᵢ² = βᵢ² σₘ² + σ²(ε)</w:t>
            </w:r>
          </w:p>
        </w:tc>
      </w:tr>
      <w:tr>
        <w:tc>
          <w:tcPr>
            <w:tcW w:type="dxa" w:w="2835"/>
            <w:shd w:val="clear" w:color="auto" w:fill="F3F6FA"/>
          </w:tcPr>
          <w:p>
            <w:pPr>
              <w:spacing w:after="20" w:before="20"/>
            </w:pPr>
            <w:r/>
            <w:r>
              <w:rPr>
                <w:b/>
                <w:sz w:val="19"/>
              </w:rPr>
              <w:t>Minimum-variance hedge ratio</w:t>
            </w:r>
          </w:p>
        </w:tc>
        <w:tc>
          <w:tcPr>
            <w:tcW w:type="dxa" w:w="6803"/>
            <w:shd w:val="clear" w:color="auto" w:fill="F3F6FA"/>
          </w:tcPr>
          <w:p>
            <w:pPr>
              <w:spacing w:after="20" w:before="20"/>
              <w:jc w:val="center"/>
            </w:pPr>
            <w:r/>
            <w:r>
              <w:rPr>
                <w:sz w:val="19"/>
              </w:rPr>
              <w:t>h* = ρ × σ_S / σ_F;   hedge effectiveness = ρ²</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90000"/>
            <wp:docPr id="6" name="Picture 6"/>
            <wp:cNvGraphicFramePr>
              <a:graphicFrameLocks noChangeAspect="1"/>
            </wp:cNvGraphicFramePr>
            <a:graphic>
              <a:graphicData uri="http://schemas.openxmlformats.org/drawingml/2006/picture">
                <pic:pic>
                  <pic:nvPicPr>
                    <pic:cNvPr id="0" name="ols.png"/>
                    <pic:cNvPicPr/>
                  </pic:nvPicPr>
                  <pic:blipFill>
                    <a:blip r:embed="rId16"/>
                    <a:stretch>
                      <a:fillRect/>
                    </a:stretch>
                  </pic:blipFill>
                  <pic:spPr>
                    <a:xfrm>
                      <a:off x="0" y="0"/>
                      <a:ext cx="5580000" cy="2790000"/>
                    </a:xfrm>
                    <a:prstGeom prst="rect"/>
                  </pic:spPr>
                </pic:pic>
              </a:graphicData>
            </a:graphic>
          </wp:inline>
        </w:drawing>
      </w:r>
    </w:p>
    <w:p>
      <w:pPr>
        <w:jc w:val="center"/>
      </w:pPr>
      <w:r>
        <w:rPr>
          <w:i/>
          <w:color w:val="595959"/>
          <w:sz w:val="18"/>
        </w:rPr>
        <w:t>OLS picks the line that minimises the sum of squared vertical distances (residuals); the residual variance is the unexplained risk.</w:t>
      </w:r>
    </w:p>
    <w:p>
      <w:pPr>
        <w:pStyle w:val="Heading2"/>
      </w:pPr>
      <w:r>
        <w:t>6. Real-life examples</w:t>
      </w:r>
    </w:p>
    <w:p>
      <w:pPr>
        <w:shd w:val="clear" w:color="auto" w:fill="F5F8FC"/>
        <w:pBdr>
          <w:left w:val="single" w:sz="18" w:space="8" w:color="1F3864"/>
        </w:pBdr>
        <w:ind w:left="227"/>
      </w:pPr>
      <w:r>
        <w:rPr>
          <w:b/>
          <w:color w:val="1F3864"/>
        </w:rPr>
        <w:t xml:space="preserve">CAPM beta and cost of equity.  </w:t>
      </w:r>
      <w:r>
        <w:rPr/>
        <w:t>Analysts regress a stock’s returns on Nifty 50 or Sensex returns (typically 2–5 years of weekly or monthly data) to estimate beta, which feeds the cost of equity in DCF valuations and the hurdle rate in RAROC.</w:t>
      </w:r>
    </w:p>
    <w:p>
      <w:pPr>
        <w:shd w:val="clear" w:color="auto" w:fill="F5F8FC"/>
        <w:pBdr>
          <w:left w:val="single" w:sz="18" w:space="8" w:color="1F3864"/>
        </w:pBdr>
        <w:ind w:left="227"/>
      </w:pPr>
      <w:r>
        <w:rPr>
          <w:b/>
          <w:color w:val="1F3864"/>
        </w:rPr>
        <w:t xml:space="preserve">Airline fuel hedging.  </w:t>
      </w:r>
      <w:r>
        <w:rPr/>
        <w:t>Jet fuel has no deep futures market in most regions, so airlines cross-hedge with crude oil futures sized by the minimum-variance hedge ratio. Southwest Airlines’ systematic fuel-hedging programme is widely cited for saving it billions of dollars during the 2000s oil price spike.</w:t>
      </w:r>
    </w:p>
    <w:p>
      <w:pPr>
        <w:shd w:val="clear" w:color="auto" w:fill="F5F8FC"/>
        <w:pBdr>
          <w:left w:val="single" w:sz="18" w:space="8" w:color="1F3864"/>
        </w:pBdr>
        <w:ind w:left="227"/>
      </w:pPr>
      <w:r>
        <w:rPr>
          <w:b/>
          <w:color w:val="1F3864"/>
        </w:rPr>
        <w:t xml:space="preserve">Macro stress testing of bank NPAs.  </w:t>
      </w:r>
      <w:r>
        <w:rPr/>
        <w:t>Regulators and banks estimate regressions of gross NPA ratios on GDP growth, interest rates and credit growth, then feed in baseline, medium and severe macro scenarios — the approach behind the stress-test projections in the RBI’s Financial Stability Report.</w:t>
      </w:r>
    </w:p>
    <w:p>
      <w:pPr>
        <w:shd w:val="clear" w:color="auto" w:fill="F5F8FC"/>
        <w:pBdr>
          <w:left w:val="single" w:sz="18" w:space="8" w:color="1F3864"/>
        </w:pBdr>
        <w:ind w:left="227"/>
      </w:pPr>
      <w:r>
        <w:rPr>
          <w:b/>
          <w:color w:val="1F3864"/>
        </w:rPr>
        <w:t xml:space="preserve">Markowitz portfolio theory and risk budgeting.  </w:t>
      </w:r>
      <w:r>
        <w:rPr/>
        <w:t>Harry Markowitz (1952) showed that portfolio variance depends on covariances, not just individual variances. Pension funds and multi-asset funds today run risk-budgeting frameworks that decompose total variance into each asset’s contribution.</w:t>
      </w:r>
    </w:p>
    <w:p>
      <w:pPr>
        <w:pStyle w:val="Heading2"/>
      </w:pPr>
      <w:r>
        <w:t>7. Common mistakes</w:t>
      </w:r>
    </w:p>
    <w:p>
      <w:pPr>
        <w:pStyle w:val="ListBullet"/>
      </w:pPr>
      <w:r>
        <w:rPr/>
        <w:t>Confusing correlation with causation; spurious regressions on trending (non-stationary) series such as price levels instead of returns.</w:t>
      </w:r>
    </w:p>
    <w:p>
      <w:pPr>
        <w:pStyle w:val="ListBullet"/>
      </w:pPr>
      <w:r>
        <w:rPr/>
        <w:t>Using population variance (÷n) where sample variance (÷n−1) is required.</w:t>
      </w:r>
    </w:p>
    <w:p>
      <w:pPr>
        <w:pStyle w:val="ListBullet"/>
      </w:pPr>
      <w:r>
        <w:rPr/>
        <w:t>Judging a model only by R²; a high R² with insignificant coefficients often signals multicollinearity.</w:t>
      </w:r>
    </w:p>
    <w:p>
      <w:pPr>
        <w:pStyle w:val="ListBullet"/>
      </w:pPr>
      <w:r>
        <w:rPr/>
        <w:t>Extrapolating far outside the observed range of X.</w:t>
      </w:r>
    </w:p>
    <w:p>
      <w:pPr>
        <w:pStyle w:val="ListBullet"/>
      </w:pPr>
      <w:r>
        <w:rPr/>
        <w:t>Ignoring heteroskedasticity and autocorrelation, which make t-statistics unreliable (use robust/Newey–West SEs).</w:t>
      </w:r>
    </w:p>
    <w:p>
      <w:pPr>
        <w:pStyle w:val="Heading2"/>
      </w:pPr>
      <w:r>
        <w:t>8. Interview questions</w:t>
      </w:r>
    </w:p>
    <w:p>
      <w:pPr>
        <w:spacing w:after="80"/>
      </w:pPr>
      <w:r>
        <w:rPr>
          <w:b/>
        </w:rPr>
        <w:t>Q1.</w:t>
      </w:r>
      <w:r>
        <w:rPr/>
        <w:t xml:space="preserve"> What is the relationship between beta, correlation and volatility?</w:t>
      </w:r>
    </w:p>
    <w:p>
      <w:pPr>
        <w:spacing w:after="80"/>
      </w:pPr>
      <w:r>
        <w:rPr>
          <w:b/>
        </w:rPr>
        <w:t>Q2.</w:t>
      </w:r>
      <w:r>
        <w:rPr/>
        <w:t xml:space="preserve"> What does an R² of 0.30 for a stock-on-index regression mean?</w:t>
      </w:r>
    </w:p>
    <w:p>
      <w:pPr>
        <w:spacing w:after="80"/>
      </w:pPr>
      <w:r>
        <w:rPr>
          <w:b/>
        </w:rPr>
        <w:t>Q3.</w:t>
      </w:r>
      <w:r>
        <w:rPr/>
        <w:t xml:space="preserve"> Why use adjusted R²?</w:t>
      </w:r>
    </w:p>
    <w:p>
      <w:pPr>
        <w:spacing w:after="80"/>
      </w:pPr>
      <w:r>
        <w:rPr>
          <w:b/>
        </w:rPr>
        <w:t>Q4.</w:t>
      </w:r>
      <w:r>
        <w:rPr/>
        <w:t xml:space="preserve"> What is multicollinearity and how do you detect it?</w:t>
      </w:r>
    </w:p>
    <w:p>
      <w:pPr>
        <w:spacing w:after="80"/>
      </w:pPr>
      <w:r>
        <w:rPr>
          <w:b/>
        </w:rPr>
        <w:t>Q5.</w:t>
      </w:r>
      <w:r>
        <w:rPr/>
        <w:t xml:space="preserve"> How is the minimum-variance hedge ratio derived?</w:t>
      </w:r>
    </w:p>
    <w:p>
      <w:r>
        <w:br w:type="page"/>
      </w:r>
    </w:p>
    <w:p>
      <w:pPr>
        <w:pStyle w:val="Heading1"/>
      </w:pPr>
      <w:r>
        <w:t>Module 4 Cases: Regression &amp; Variance Analysis</w:t>
      </w:r>
    </w:p>
    <w:p>
      <w:pPr>
        <w:pStyle w:val="Heading2"/>
      </w:pPr>
      <w:r>
        <w:t>Case 4.1  Estimating Stock Beta by OLS Regression</w:t>
      </w:r>
    </w:p>
    <w:p>
      <w:r>
        <w:rPr>
          <w:i/>
          <w:color w:val="1A7F8E"/>
          <w:sz w:val="18"/>
        </w:rPr>
        <w:t>Simple regression | Beta | R² | Graph</w:t>
      </w:r>
    </w:p>
    <w:p>
      <w:pPr>
        <w:keepNext/>
        <w:spacing w:before="160" w:after="60"/>
      </w:pPr>
      <w:r>
        <w:rPr>
          <w:b/>
          <w:color w:val="1A7F8E"/>
          <w:sz w:val="19"/>
        </w:rPr>
        <w:t>BACKGROUND</w:t>
      </w:r>
    </w:p>
    <w:p>
      <w:r>
        <w:rPr/>
        <w:t>An equity research analyst covering a listed capital-goods company must estimate its beta for a DCF valuation. Monthly returns for the stock and the Nifty 50 for the last 12 months are given below. (Data are illustrative; in practice use 36–60 months.)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rPr>
          <w:tblHeader w:val="true"/>
        </w:trPr>
        <w:tc>
          <w:tcPr>
            <w:tcW w:type="dxa" w:w="1474"/>
            <w:shd w:val="clear" w:color="auto" w:fill="1F3864"/>
          </w:tcPr>
          <w:p>
            <w:pPr>
              <w:spacing w:after="20" w:before="20"/>
            </w:pPr>
            <w:r/>
            <w:r>
              <w:rPr>
                <w:b/>
                <w:color w:val="FFFFFF"/>
                <w:sz w:val="17"/>
              </w:rPr>
              <w:t>Month</w:t>
            </w:r>
          </w:p>
        </w:tc>
        <w:tc>
          <w:tcPr>
            <w:tcW w:type="dxa" w:w="680"/>
            <w:shd w:val="clear" w:color="auto" w:fill="1F3864"/>
          </w:tcPr>
          <w:p>
            <w:pPr>
              <w:spacing w:after="20" w:before="20"/>
            </w:pPr>
            <w:r/>
            <w:r>
              <w:rPr>
                <w:b/>
                <w:color w:val="FFFFFF"/>
                <w:sz w:val="17"/>
              </w:rPr>
              <w:t>M1</w:t>
            </w:r>
          </w:p>
        </w:tc>
        <w:tc>
          <w:tcPr>
            <w:tcW w:type="dxa" w:w="680"/>
            <w:shd w:val="clear" w:color="auto" w:fill="1F3864"/>
          </w:tcPr>
          <w:p>
            <w:pPr>
              <w:spacing w:after="20" w:before="20"/>
            </w:pPr>
            <w:r/>
            <w:r>
              <w:rPr>
                <w:b/>
                <w:color w:val="FFFFFF"/>
                <w:sz w:val="17"/>
              </w:rPr>
              <w:t>M2</w:t>
            </w:r>
          </w:p>
        </w:tc>
        <w:tc>
          <w:tcPr>
            <w:tcW w:type="dxa" w:w="680"/>
            <w:shd w:val="clear" w:color="auto" w:fill="1F3864"/>
          </w:tcPr>
          <w:p>
            <w:pPr>
              <w:spacing w:after="20" w:before="20"/>
            </w:pPr>
            <w:r/>
            <w:r>
              <w:rPr>
                <w:b/>
                <w:color w:val="FFFFFF"/>
                <w:sz w:val="17"/>
              </w:rPr>
              <w:t>M3</w:t>
            </w:r>
          </w:p>
        </w:tc>
        <w:tc>
          <w:tcPr>
            <w:tcW w:type="dxa" w:w="680"/>
            <w:shd w:val="clear" w:color="auto" w:fill="1F3864"/>
          </w:tcPr>
          <w:p>
            <w:pPr>
              <w:spacing w:after="20" w:before="20"/>
            </w:pPr>
            <w:r/>
            <w:r>
              <w:rPr>
                <w:b/>
                <w:color w:val="FFFFFF"/>
                <w:sz w:val="17"/>
              </w:rPr>
              <w:t>M4</w:t>
            </w:r>
          </w:p>
        </w:tc>
        <w:tc>
          <w:tcPr>
            <w:tcW w:type="dxa" w:w="680"/>
            <w:shd w:val="clear" w:color="auto" w:fill="1F3864"/>
          </w:tcPr>
          <w:p>
            <w:pPr>
              <w:spacing w:after="20" w:before="20"/>
            </w:pPr>
            <w:r/>
            <w:r>
              <w:rPr>
                <w:b/>
                <w:color w:val="FFFFFF"/>
                <w:sz w:val="17"/>
              </w:rPr>
              <w:t>M5</w:t>
            </w:r>
          </w:p>
        </w:tc>
        <w:tc>
          <w:tcPr>
            <w:tcW w:type="dxa" w:w="680"/>
            <w:shd w:val="clear" w:color="auto" w:fill="1F3864"/>
          </w:tcPr>
          <w:p>
            <w:pPr>
              <w:spacing w:after="20" w:before="20"/>
            </w:pPr>
            <w:r/>
            <w:r>
              <w:rPr>
                <w:b/>
                <w:color w:val="FFFFFF"/>
                <w:sz w:val="17"/>
              </w:rPr>
              <w:t>M6</w:t>
            </w:r>
          </w:p>
        </w:tc>
        <w:tc>
          <w:tcPr>
            <w:tcW w:type="dxa" w:w="680"/>
            <w:shd w:val="clear" w:color="auto" w:fill="1F3864"/>
          </w:tcPr>
          <w:p>
            <w:pPr>
              <w:spacing w:after="20" w:before="20"/>
            </w:pPr>
            <w:r/>
            <w:r>
              <w:rPr>
                <w:b/>
                <w:color w:val="FFFFFF"/>
                <w:sz w:val="17"/>
              </w:rPr>
              <w:t>M7</w:t>
            </w:r>
          </w:p>
        </w:tc>
        <w:tc>
          <w:tcPr>
            <w:tcW w:type="dxa" w:w="680"/>
            <w:shd w:val="clear" w:color="auto" w:fill="1F3864"/>
          </w:tcPr>
          <w:p>
            <w:pPr>
              <w:spacing w:after="20" w:before="20"/>
            </w:pPr>
            <w:r/>
            <w:r>
              <w:rPr>
                <w:b/>
                <w:color w:val="FFFFFF"/>
                <w:sz w:val="17"/>
              </w:rPr>
              <w:t>M8</w:t>
            </w:r>
          </w:p>
        </w:tc>
        <w:tc>
          <w:tcPr>
            <w:tcW w:type="dxa" w:w="680"/>
            <w:shd w:val="clear" w:color="auto" w:fill="1F3864"/>
          </w:tcPr>
          <w:p>
            <w:pPr>
              <w:spacing w:after="20" w:before="20"/>
            </w:pPr>
            <w:r/>
            <w:r>
              <w:rPr>
                <w:b/>
                <w:color w:val="FFFFFF"/>
                <w:sz w:val="17"/>
              </w:rPr>
              <w:t>M9</w:t>
            </w:r>
          </w:p>
        </w:tc>
        <w:tc>
          <w:tcPr>
            <w:tcW w:type="dxa" w:w="680"/>
            <w:shd w:val="clear" w:color="auto" w:fill="1F3864"/>
          </w:tcPr>
          <w:p>
            <w:pPr>
              <w:spacing w:after="20" w:before="20"/>
            </w:pPr>
            <w:r/>
            <w:r>
              <w:rPr>
                <w:b/>
                <w:color w:val="FFFFFF"/>
                <w:sz w:val="17"/>
              </w:rPr>
              <w:t>M10</w:t>
            </w:r>
          </w:p>
        </w:tc>
        <w:tc>
          <w:tcPr>
            <w:tcW w:type="dxa" w:w="680"/>
            <w:shd w:val="clear" w:color="auto" w:fill="1F3864"/>
          </w:tcPr>
          <w:p>
            <w:pPr>
              <w:spacing w:after="20" w:before="20"/>
            </w:pPr>
            <w:r/>
            <w:r>
              <w:rPr>
                <w:b/>
                <w:color w:val="FFFFFF"/>
                <w:sz w:val="17"/>
              </w:rPr>
              <w:t>M11</w:t>
            </w:r>
          </w:p>
        </w:tc>
        <w:tc>
          <w:tcPr>
            <w:tcW w:type="dxa" w:w="680"/>
            <w:shd w:val="clear" w:color="auto" w:fill="1F3864"/>
          </w:tcPr>
          <w:p>
            <w:pPr>
              <w:spacing w:after="20" w:before="20"/>
            </w:pPr>
            <w:r/>
            <w:r>
              <w:rPr>
                <w:b/>
                <w:color w:val="FFFFFF"/>
                <w:sz w:val="17"/>
              </w:rPr>
              <w:t>M12</w:t>
            </w:r>
          </w:p>
        </w:tc>
      </w:tr>
      <w:tr>
        <w:tc>
          <w:tcPr>
            <w:tcW w:type="dxa" w:w="1474"/>
          </w:tcPr>
          <w:p>
            <w:pPr>
              <w:spacing w:after="20" w:before="20"/>
            </w:pPr>
            <w:r/>
            <w:r>
              <w:rPr>
                <w:b/>
                <w:sz w:val="17"/>
              </w:rPr>
              <w:t>Nifty (%)</w:t>
            </w:r>
          </w:p>
        </w:tc>
        <w:tc>
          <w:tcPr>
            <w:tcW w:type="dxa" w:w="680"/>
          </w:tcPr>
          <w:p>
            <w:pPr>
              <w:spacing w:after="20" w:before="20"/>
              <w:jc w:val="center"/>
            </w:pPr>
            <w:r/>
            <w:r>
              <w:rPr>
                <w:sz w:val="17"/>
              </w:rPr>
              <w:t>2.1</w:t>
            </w:r>
          </w:p>
        </w:tc>
        <w:tc>
          <w:tcPr>
            <w:tcW w:type="dxa" w:w="680"/>
          </w:tcPr>
          <w:p>
            <w:pPr>
              <w:spacing w:after="20" w:before="20"/>
              <w:jc w:val="center"/>
            </w:pPr>
            <w:r/>
            <w:r>
              <w:rPr>
                <w:sz w:val="17"/>
              </w:rPr>
              <w:t>-1.5</w:t>
            </w:r>
          </w:p>
        </w:tc>
        <w:tc>
          <w:tcPr>
            <w:tcW w:type="dxa" w:w="680"/>
          </w:tcPr>
          <w:p>
            <w:pPr>
              <w:spacing w:after="20" w:before="20"/>
              <w:jc w:val="center"/>
            </w:pPr>
            <w:r/>
            <w:r>
              <w:rPr>
                <w:sz w:val="17"/>
              </w:rPr>
              <w:t>3.4</w:t>
            </w:r>
          </w:p>
        </w:tc>
        <w:tc>
          <w:tcPr>
            <w:tcW w:type="dxa" w:w="680"/>
          </w:tcPr>
          <w:p>
            <w:pPr>
              <w:spacing w:after="20" w:before="20"/>
              <w:jc w:val="center"/>
            </w:pPr>
            <w:r/>
            <w:r>
              <w:rPr>
                <w:sz w:val="17"/>
              </w:rPr>
              <w:t>0.8</w:t>
            </w:r>
          </w:p>
        </w:tc>
        <w:tc>
          <w:tcPr>
            <w:tcW w:type="dxa" w:w="680"/>
          </w:tcPr>
          <w:p>
            <w:pPr>
              <w:spacing w:after="20" w:before="20"/>
              <w:jc w:val="center"/>
            </w:pPr>
            <w:r/>
            <w:r>
              <w:rPr>
                <w:sz w:val="17"/>
              </w:rPr>
              <w:t>-2.7</w:t>
            </w:r>
          </w:p>
        </w:tc>
        <w:tc>
          <w:tcPr>
            <w:tcW w:type="dxa" w:w="680"/>
          </w:tcPr>
          <w:p>
            <w:pPr>
              <w:spacing w:after="20" w:before="20"/>
              <w:jc w:val="center"/>
            </w:pPr>
            <w:r/>
            <w:r>
              <w:rPr>
                <w:sz w:val="17"/>
              </w:rPr>
              <w:t>1.9</w:t>
            </w:r>
          </w:p>
        </w:tc>
        <w:tc>
          <w:tcPr>
            <w:tcW w:type="dxa" w:w="680"/>
          </w:tcPr>
          <w:p>
            <w:pPr>
              <w:spacing w:after="20" w:before="20"/>
              <w:jc w:val="center"/>
            </w:pPr>
            <w:r/>
            <w:r>
              <w:rPr>
                <w:sz w:val="17"/>
              </w:rPr>
              <w:t>4.2</w:t>
            </w:r>
          </w:p>
        </w:tc>
        <w:tc>
          <w:tcPr>
            <w:tcW w:type="dxa" w:w="680"/>
          </w:tcPr>
          <w:p>
            <w:pPr>
              <w:spacing w:after="20" w:before="20"/>
              <w:jc w:val="center"/>
            </w:pPr>
            <w:r/>
            <w:r>
              <w:rPr>
                <w:sz w:val="17"/>
              </w:rPr>
              <w:t>-0.6</w:t>
            </w:r>
          </w:p>
        </w:tc>
        <w:tc>
          <w:tcPr>
            <w:tcW w:type="dxa" w:w="680"/>
          </w:tcPr>
          <w:p>
            <w:pPr>
              <w:spacing w:after="20" w:before="20"/>
              <w:jc w:val="center"/>
            </w:pPr>
            <w:r/>
            <w:r>
              <w:rPr>
                <w:sz w:val="17"/>
              </w:rPr>
              <w:t>1.1</w:t>
            </w:r>
          </w:p>
        </w:tc>
        <w:tc>
          <w:tcPr>
            <w:tcW w:type="dxa" w:w="680"/>
          </w:tcPr>
          <w:p>
            <w:pPr>
              <w:spacing w:after="20" w:before="20"/>
              <w:jc w:val="center"/>
            </w:pPr>
            <w:r/>
            <w:r>
              <w:rPr>
                <w:sz w:val="17"/>
              </w:rPr>
              <w:t>-3.3</w:t>
            </w:r>
          </w:p>
        </w:tc>
        <w:tc>
          <w:tcPr>
            <w:tcW w:type="dxa" w:w="680"/>
          </w:tcPr>
          <w:p>
            <w:pPr>
              <w:spacing w:after="20" w:before="20"/>
              <w:jc w:val="center"/>
            </w:pPr>
            <w:r/>
            <w:r>
              <w:rPr>
                <w:sz w:val="17"/>
              </w:rPr>
              <w:t>2.6</w:t>
            </w:r>
          </w:p>
        </w:tc>
        <w:tc>
          <w:tcPr>
            <w:tcW w:type="dxa" w:w="680"/>
          </w:tcPr>
          <w:p>
            <w:pPr>
              <w:spacing w:after="20" w:before="20"/>
              <w:jc w:val="center"/>
            </w:pPr>
            <w:r/>
            <w:r>
              <w:rPr>
                <w:sz w:val="17"/>
              </w:rPr>
              <w:t>0.5</w:t>
            </w:r>
          </w:p>
        </w:tc>
      </w:tr>
      <w:tr>
        <w:tc>
          <w:tcPr>
            <w:tcW w:type="dxa" w:w="1474"/>
            <w:shd w:val="clear" w:color="auto" w:fill="F3F6FA"/>
          </w:tcPr>
          <w:p>
            <w:pPr>
              <w:spacing w:after="20" w:before="20"/>
            </w:pPr>
            <w:r/>
            <w:r>
              <w:rPr>
                <w:b/>
                <w:sz w:val="17"/>
              </w:rPr>
              <w:t>Stock (%)</w:t>
            </w:r>
          </w:p>
        </w:tc>
        <w:tc>
          <w:tcPr>
            <w:tcW w:type="dxa" w:w="680"/>
            <w:shd w:val="clear" w:color="auto" w:fill="F3F6FA"/>
          </w:tcPr>
          <w:p>
            <w:pPr>
              <w:spacing w:after="20" w:before="20"/>
              <w:jc w:val="center"/>
            </w:pPr>
            <w:r/>
            <w:r>
              <w:rPr>
                <w:sz w:val="17"/>
              </w:rPr>
              <w:t>3.6</w:t>
            </w:r>
          </w:p>
        </w:tc>
        <w:tc>
          <w:tcPr>
            <w:tcW w:type="dxa" w:w="680"/>
            <w:shd w:val="clear" w:color="auto" w:fill="F3F6FA"/>
          </w:tcPr>
          <w:p>
            <w:pPr>
              <w:spacing w:after="20" w:before="20"/>
              <w:jc w:val="center"/>
            </w:pPr>
            <w:r/>
            <w:r>
              <w:rPr>
                <w:sz w:val="17"/>
              </w:rPr>
              <w:t>-1.2</w:t>
            </w:r>
          </w:p>
        </w:tc>
        <w:tc>
          <w:tcPr>
            <w:tcW w:type="dxa" w:w="680"/>
            <w:shd w:val="clear" w:color="auto" w:fill="F3F6FA"/>
          </w:tcPr>
          <w:p>
            <w:pPr>
              <w:spacing w:after="20" w:before="20"/>
              <w:jc w:val="center"/>
            </w:pPr>
            <w:r/>
            <w:r>
              <w:rPr>
                <w:sz w:val="17"/>
              </w:rPr>
              <w:t>3.5</w:t>
            </w:r>
          </w:p>
        </w:tc>
        <w:tc>
          <w:tcPr>
            <w:tcW w:type="dxa" w:w="680"/>
            <w:shd w:val="clear" w:color="auto" w:fill="F3F6FA"/>
          </w:tcPr>
          <w:p>
            <w:pPr>
              <w:spacing w:after="20" w:before="20"/>
              <w:jc w:val="center"/>
            </w:pPr>
            <w:r/>
            <w:r>
              <w:rPr>
                <w:sz w:val="17"/>
              </w:rPr>
              <w:t>1.9</w:t>
            </w:r>
          </w:p>
        </w:tc>
        <w:tc>
          <w:tcPr>
            <w:tcW w:type="dxa" w:w="680"/>
            <w:shd w:val="clear" w:color="auto" w:fill="F3F6FA"/>
          </w:tcPr>
          <w:p>
            <w:pPr>
              <w:spacing w:after="20" w:before="20"/>
              <w:jc w:val="center"/>
            </w:pPr>
            <w:r/>
            <w:r>
              <w:rPr>
                <w:sz w:val="17"/>
              </w:rPr>
              <w:t>-2.6</w:t>
            </w:r>
          </w:p>
        </w:tc>
        <w:tc>
          <w:tcPr>
            <w:tcW w:type="dxa" w:w="680"/>
            <w:shd w:val="clear" w:color="auto" w:fill="F3F6FA"/>
          </w:tcPr>
          <w:p>
            <w:pPr>
              <w:spacing w:after="20" w:before="20"/>
              <w:jc w:val="center"/>
            </w:pPr>
            <w:r/>
            <w:r>
              <w:rPr>
                <w:sz w:val="17"/>
              </w:rPr>
              <w:t>1.4</w:t>
            </w:r>
          </w:p>
        </w:tc>
        <w:tc>
          <w:tcPr>
            <w:tcW w:type="dxa" w:w="680"/>
            <w:shd w:val="clear" w:color="auto" w:fill="F3F6FA"/>
          </w:tcPr>
          <w:p>
            <w:pPr>
              <w:spacing w:after="20" w:before="20"/>
              <w:jc w:val="center"/>
            </w:pPr>
            <w:r/>
            <w:r>
              <w:rPr>
                <w:sz w:val="17"/>
              </w:rPr>
              <w:t>6.3</w:t>
            </w:r>
          </w:p>
        </w:tc>
        <w:tc>
          <w:tcPr>
            <w:tcW w:type="dxa" w:w="680"/>
            <w:shd w:val="clear" w:color="auto" w:fill="F3F6FA"/>
          </w:tcPr>
          <w:p>
            <w:pPr>
              <w:spacing w:after="20" w:before="20"/>
              <w:jc w:val="center"/>
            </w:pPr>
            <w:r/>
            <w:r>
              <w:rPr>
                <w:sz w:val="17"/>
              </w:rPr>
              <w:t>0.4</w:t>
            </w:r>
          </w:p>
        </w:tc>
        <w:tc>
          <w:tcPr>
            <w:tcW w:type="dxa" w:w="680"/>
            <w:shd w:val="clear" w:color="auto" w:fill="F3F6FA"/>
          </w:tcPr>
          <w:p>
            <w:pPr>
              <w:spacing w:after="20" w:before="20"/>
              <w:jc w:val="center"/>
            </w:pPr>
            <w:r/>
            <w:r>
              <w:rPr>
                <w:sz w:val="17"/>
              </w:rPr>
              <w:t>0.2</w:t>
            </w:r>
          </w:p>
        </w:tc>
        <w:tc>
          <w:tcPr>
            <w:tcW w:type="dxa" w:w="680"/>
            <w:shd w:val="clear" w:color="auto" w:fill="F3F6FA"/>
          </w:tcPr>
          <w:p>
            <w:pPr>
              <w:spacing w:after="20" w:before="20"/>
              <w:jc w:val="center"/>
            </w:pPr>
            <w:r/>
            <w:r>
              <w:rPr>
                <w:sz w:val="17"/>
              </w:rPr>
              <w:t>-5.3</w:t>
            </w:r>
          </w:p>
        </w:tc>
        <w:tc>
          <w:tcPr>
            <w:tcW w:type="dxa" w:w="680"/>
            <w:shd w:val="clear" w:color="auto" w:fill="F3F6FA"/>
          </w:tcPr>
          <w:p>
            <w:pPr>
              <w:spacing w:after="20" w:before="20"/>
              <w:jc w:val="center"/>
            </w:pPr>
            <w:r/>
            <w:r>
              <w:rPr>
                <w:sz w:val="17"/>
              </w:rPr>
              <w:t>4.4</w:t>
            </w:r>
          </w:p>
        </w:tc>
        <w:tc>
          <w:tcPr>
            <w:tcW w:type="dxa" w:w="680"/>
            <w:shd w:val="clear" w:color="auto" w:fill="F3F6FA"/>
          </w:tcPr>
          <w:p>
            <w:pPr>
              <w:spacing w:after="20" w:before="20"/>
              <w:jc w:val="center"/>
            </w:pPr>
            <w:r/>
            <w:r>
              <w:rPr>
                <w:sz w:val="17"/>
              </w:rPr>
              <w:t>-0.8</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mean returns, the covariance of the stock with Nifty and the variance of Nifty (sample).</w:t>
      </w:r>
    </w:p>
    <w:p>
      <w:pPr>
        <w:spacing w:after="40"/>
        <w:ind w:left="454" w:hanging="454"/>
      </w:pPr>
      <w:r>
        <w:rPr>
          <w:b/>
          <w:color w:val="1F3864"/>
        </w:rPr>
        <w:t xml:space="preserve">(b)  </w:t>
      </w:r>
      <w:r>
        <w:rPr/>
        <w:t>Estimate beta and alpha. Verify with Excel’s SLOPE, INTERCEPT and RSQ.</w:t>
      </w:r>
    </w:p>
    <w:p>
      <w:pPr>
        <w:spacing w:after="40"/>
        <w:ind w:left="454" w:hanging="454"/>
      </w:pPr>
      <w:r>
        <w:rPr>
          <w:b/>
          <w:color w:val="1F3864"/>
        </w:rPr>
        <w:t xml:space="preserve">(c)  </w:t>
      </w:r>
      <w:r>
        <w:rPr/>
        <w:t>Compute R² and interpret it.</w:t>
      </w:r>
    </w:p>
    <w:p>
      <w:pPr>
        <w:spacing w:after="40"/>
        <w:ind w:left="454" w:hanging="454"/>
      </w:pPr>
      <w:r>
        <w:rPr>
          <w:b/>
          <w:color w:val="1F3864"/>
        </w:rPr>
        <w:t xml:space="preserve">(d)  </w:t>
      </w:r>
      <w:r>
        <w:rPr>
          <w:b/>
          <w:color w:val="C9A227"/>
        </w:rPr>
        <w:t xml:space="preserve">Graph task: </w:t>
      </w:r>
      <w:r>
        <w:rPr/>
        <w:t>draw a scatter plot with the fitted regression line (characteristic line).</w:t>
      </w:r>
    </w:p>
    <w:p>
      <w:pPr>
        <w:spacing w:after="40"/>
        <w:ind w:left="454" w:hanging="454"/>
      </w:pPr>
      <w:r>
        <w:rPr>
          <w:b/>
          <w:color w:val="1F3864"/>
        </w:rPr>
        <w:t xml:space="preserve">(e)  </w:t>
      </w:r>
      <w:r>
        <w:rPr/>
        <w:t>Predict the stock’s return in a month when Nifty falls 5%.</w:t>
      </w:r>
    </w:p>
    <w:p>
      <w:pPr>
        <w:spacing w:before="160"/>
      </w:pPr>
      <w:r>
        <w:rPr>
          <w:color w:val="595959"/>
          <w:sz w:val="18"/>
        </w:rPr>
        <w:t>Space for workings  ________________________________________________________________</w:t>
      </w:r>
    </w:p>
    <w:p>
      <w:pPr>
        <w:pStyle w:val="Heading2"/>
      </w:pPr>
      <w:r>
        <w:t>Case 4.2  Interpreting a Multiple Regression — NPA Stress Model</w:t>
      </w:r>
    </w:p>
    <w:p>
      <w:r>
        <w:rPr>
          <w:i/>
          <w:color w:val="1A7F8E"/>
          <w:sz w:val="18"/>
        </w:rPr>
        <w:t>Multiple regression | t-test | Forecasting</w:t>
      </w:r>
    </w:p>
    <w:p>
      <w:pPr>
        <w:keepNext/>
        <w:spacing w:before="160" w:after="60"/>
      </w:pPr>
      <w:r>
        <w:rPr>
          <w:b/>
          <w:color w:val="1A7F8E"/>
          <w:sz w:val="19"/>
        </w:rPr>
        <w:t>BACKGROUND</w:t>
      </w:r>
    </w:p>
    <w:p>
      <w:r>
        <w:rPr/>
        <w:t>The risk team of a public sector bank regressed its quarterly gross NPA ratio (%) on three macro variables using 40 quarters of data. The output is below. The CRO must present a baseline and a stress forecast to the Board.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Variable</w:t>
            </w:r>
          </w:p>
        </w:tc>
        <w:tc>
          <w:tcPr>
            <w:tcW w:type="dxa" w:w="3345"/>
            <w:shd w:val="clear" w:color="auto" w:fill="1F3864"/>
          </w:tcPr>
          <w:p>
            <w:pPr>
              <w:spacing w:after="20" w:before="20"/>
            </w:pPr>
            <w:r/>
            <w:r>
              <w:rPr>
                <w:b/>
                <w:color w:val="FFFFFF"/>
                <w:sz w:val="19"/>
              </w:rPr>
              <w:t>Coefficient</w:t>
            </w:r>
          </w:p>
        </w:tc>
        <w:tc>
          <w:tcPr>
            <w:tcW w:type="dxa" w:w="3345"/>
            <w:shd w:val="clear" w:color="auto" w:fill="1F3864"/>
          </w:tcPr>
          <w:p>
            <w:pPr>
              <w:spacing w:after="20" w:before="20"/>
            </w:pPr>
            <w:r/>
            <w:r>
              <w:rPr>
                <w:b/>
                <w:color w:val="FFFFFF"/>
                <w:sz w:val="19"/>
              </w:rPr>
              <w:t>Std. error</w:t>
            </w:r>
          </w:p>
        </w:tc>
      </w:tr>
      <w:tr>
        <w:tc>
          <w:tcPr>
            <w:tcW w:type="dxa" w:w="2948"/>
          </w:tcPr>
          <w:p>
            <w:pPr>
              <w:spacing w:after="20" w:before="20"/>
            </w:pPr>
            <w:r/>
            <w:r>
              <w:rPr>
                <w:b/>
                <w:sz w:val="19"/>
              </w:rPr>
              <w:t>Intercept</w:t>
            </w:r>
          </w:p>
        </w:tc>
        <w:tc>
          <w:tcPr>
            <w:tcW w:type="dxa" w:w="3345"/>
          </w:tcPr>
          <w:p>
            <w:pPr>
              <w:spacing w:after="20" w:before="20"/>
              <w:jc w:val="center"/>
            </w:pPr>
            <w:r/>
            <w:r>
              <w:rPr>
                <w:sz w:val="19"/>
              </w:rPr>
              <w:t>5.20</w:t>
            </w:r>
          </w:p>
        </w:tc>
        <w:tc>
          <w:tcPr>
            <w:tcW w:type="dxa" w:w="3345"/>
          </w:tcPr>
          <w:p>
            <w:pPr>
              <w:spacing w:after="20" w:before="20"/>
              <w:jc w:val="center"/>
            </w:pPr>
            <w:r/>
            <w:r>
              <w:rPr>
                <w:sz w:val="19"/>
              </w:rPr>
              <w:t>1.12</w:t>
            </w:r>
          </w:p>
        </w:tc>
      </w:tr>
      <w:tr>
        <w:tc>
          <w:tcPr>
            <w:tcW w:type="dxa" w:w="2948"/>
            <w:shd w:val="clear" w:color="auto" w:fill="F3F6FA"/>
          </w:tcPr>
          <w:p>
            <w:pPr>
              <w:spacing w:after="20" w:before="20"/>
            </w:pPr>
            <w:r/>
            <w:r>
              <w:rPr>
                <w:b/>
                <w:sz w:val="19"/>
              </w:rPr>
              <w:t>Real GDP growth (%)</w:t>
            </w:r>
          </w:p>
        </w:tc>
        <w:tc>
          <w:tcPr>
            <w:tcW w:type="dxa" w:w="3345"/>
            <w:shd w:val="clear" w:color="auto" w:fill="F3F6FA"/>
          </w:tcPr>
          <w:p>
            <w:pPr>
              <w:spacing w:after="20" w:before="20"/>
              <w:jc w:val="center"/>
            </w:pPr>
            <w:r/>
            <w:r>
              <w:rPr>
                <w:sz w:val="19"/>
              </w:rPr>
              <w:t>-0.62</w:t>
            </w:r>
          </w:p>
        </w:tc>
        <w:tc>
          <w:tcPr>
            <w:tcW w:type="dxa" w:w="3345"/>
            <w:shd w:val="clear" w:color="auto" w:fill="F3F6FA"/>
          </w:tcPr>
          <w:p>
            <w:pPr>
              <w:spacing w:after="20" w:before="20"/>
              <w:jc w:val="center"/>
            </w:pPr>
            <w:r/>
            <w:r>
              <w:rPr>
                <w:sz w:val="19"/>
              </w:rPr>
              <w:t>0.14</w:t>
            </w:r>
          </w:p>
        </w:tc>
      </w:tr>
      <w:tr>
        <w:tc>
          <w:tcPr>
            <w:tcW w:type="dxa" w:w="2948"/>
          </w:tcPr>
          <w:p>
            <w:pPr>
              <w:spacing w:after="20" w:before="20"/>
            </w:pPr>
            <w:r/>
            <w:r>
              <w:rPr>
                <w:b/>
                <w:sz w:val="19"/>
              </w:rPr>
              <w:t>Repo rate (%)</w:t>
            </w:r>
          </w:p>
        </w:tc>
        <w:tc>
          <w:tcPr>
            <w:tcW w:type="dxa" w:w="3345"/>
          </w:tcPr>
          <w:p>
            <w:pPr>
              <w:spacing w:after="20" w:before="20"/>
              <w:jc w:val="center"/>
            </w:pPr>
            <w:r/>
            <w:r>
              <w:rPr>
                <w:sz w:val="19"/>
              </w:rPr>
              <w:t>0.45</w:t>
            </w:r>
          </w:p>
        </w:tc>
        <w:tc>
          <w:tcPr>
            <w:tcW w:type="dxa" w:w="3345"/>
          </w:tcPr>
          <w:p>
            <w:pPr>
              <w:spacing w:after="20" w:before="20"/>
              <w:jc w:val="center"/>
            </w:pPr>
            <w:r/>
            <w:r>
              <w:rPr>
                <w:sz w:val="19"/>
              </w:rPr>
              <w:t>0.21</w:t>
            </w:r>
          </w:p>
        </w:tc>
      </w:tr>
      <w:tr>
        <w:tc>
          <w:tcPr>
            <w:tcW w:type="dxa" w:w="2948"/>
            <w:shd w:val="clear" w:color="auto" w:fill="F3F6FA"/>
          </w:tcPr>
          <w:p>
            <w:pPr>
              <w:spacing w:after="20" w:before="20"/>
            </w:pPr>
            <w:r/>
            <w:r>
              <w:rPr>
                <w:b/>
                <w:sz w:val="19"/>
              </w:rPr>
              <w:t>Credit growth, lagged 4Q (%)</w:t>
            </w:r>
          </w:p>
        </w:tc>
        <w:tc>
          <w:tcPr>
            <w:tcW w:type="dxa" w:w="3345"/>
            <w:shd w:val="clear" w:color="auto" w:fill="F3F6FA"/>
          </w:tcPr>
          <w:p>
            <w:pPr>
              <w:spacing w:after="20" w:before="20"/>
              <w:jc w:val="center"/>
            </w:pPr>
            <w:r/>
            <w:r>
              <w:rPr>
                <w:sz w:val="19"/>
              </w:rPr>
              <w:t>0.08</w:t>
            </w:r>
          </w:p>
        </w:tc>
        <w:tc>
          <w:tcPr>
            <w:tcW w:type="dxa" w:w="3345"/>
            <w:shd w:val="clear" w:color="auto" w:fill="F3F6FA"/>
          </w:tcPr>
          <w:p>
            <w:pPr>
              <w:spacing w:after="20" w:before="20"/>
              <w:jc w:val="center"/>
            </w:pPr>
            <w:r/>
            <w:r>
              <w:rPr>
                <w:sz w:val="19"/>
              </w:rPr>
              <w:t>0.06</w:t>
            </w:r>
          </w:p>
        </w:tc>
      </w:tr>
      <w:tr>
        <w:tc>
          <w:tcPr>
            <w:tcW w:type="dxa" w:w="2948"/>
          </w:tcPr>
          <w:p>
            <w:pPr>
              <w:spacing w:after="20" w:before="20"/>
            </w:pPr>
            <w:r/>
            <w:r>
              <w:rPr>
                <w:b/>
                <w:sz w:val="19"/>
              </w:rPr>
              <w:t>R² = 0.71; n = 40</w:t>
            </w:r>
          </w:p>
        </w:tc>
        <w:tc>
          <w:tcPr>
            <w:tcW w:type="dxa" w:w="3345"/>
          </w:tcPr>
          <w:p>
            <w:pPr>
              <w:spacing w:after="20" w:before="20"/>
              <w:jc w:val="center"/>
            </w:pPr>
            <w:r/>
          </w:p>
        </w:tc>
        <w:tc>
          <w:tcPr>
            <w:tcW w:type="dxa" w:w="3345"/>
          </w:tcPr>
          <w:p>
            <w:pPr>
              <w:spacing w:after="20" w:before="20"/>
              <w:jc w:val="center"/>
            </w:pPr>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t-statistic for each coefficient and identify which are significant at 5% (t-critical ≈ 2.03 for 36 df).</w:t>
      </w:r>
    </w:p>
    <w:p>
      <w:pPr>
        <w:spacing w:after="40"/>
        <w:ind w:left="454" w:hanging="454"/>
      </w:pPr>
      <w:r>
        <w:rPr>
          <w:b/>
          <w:color w:val="1F3864"/>
        </w:rPr>
        <w:t xml:space="preserve">(b)  </w:t>
      </w:r>
      <w:r>
        <w:rPr/>
        <w:t>Compute adjusted R² and the F-statistic.</w:t>
      </w:r>
    </w:p>
    <w:p>
      <w:pPr>
        <w:spacing w:after="40"/>
        <w:ind w:left="454" w:hanging="454"/>
      </w:pPr>
      <w:r>
        <w:rPr>
          <w:b/>
          <w:color w:val="1F3864"/>
        </w:rPr>
        <w:t xml:space="preserve">(c)  </w:t>
      </w:r>
      <w:r>
        <w:rPr/>
        <w:t>Interpret the GDP-growth and repo-rate coefficients in business terms.</w:t>
      </w:r>
    </w:p>
    <w:p>
      <w:pPr>
        <w:spacing w:after="40"/>
        <w:ind w:left="454" w:hanging="454"/>
      </w:pPr>
      <w:r>
        <w:rPr>
          <w:b/>
          <w:color w:val="1F3864"/>
        </w:rPr>
        <w:t xml:space="preserve">(d)  </w:t>
      </w:r>
      <w:r>
        <w:rPr/>
        <w:t>Forecast the GNPA ratio for a baseline (GDP 6.5%, repo 6.0%, credit growth 14%) and a stress scenario (GDP 3.0%, repo 7.0%, credit growth 14%).</w:t>
      </w:r>
    </w:p>
    <w:p>
      <w:pPr>
        <w:spacing w:after="40"/>
        <w:ind w:left="454" w:hanging="454"/>
      </w:pPr>
      <w:r>
        <w:rPr>
          <w:b/>
          <w:color w:val="1F3864"/>
        </w:rPr>
        <w:t xml:space="preserve">(e)  </w:t>
      </w:r>
      <w:r>
        <w:rPr/>
        <w:t>Should the credit-growth variable be retained? Discuss.</w:t>
      </w:r>
    </w:p>
    <w:p>
      <w:pPr>
        <w:spacing w:before="160"/>
      </w:pPr>
      <w:r>
        <w:rPr>
          <w:color w:val="595959"/>
          <w:sz w:val="18"/>
        </w:rPr>
        <w:t>Space for workings  ________________________________________________________________</w:t>
      </w:r>
    </w:p>
    <w:p>
      <w:pPr>
        <w:pStyle w:val="Heading2"/>
      </w:pPr>
      <w:r>
        <w:t>Case 4.3  Minimum-Variance Hedge Ratio for an Airline</w:t>
      </w:r>
    </w:p>
    <w:p>
      <w:r>
        <w:rPr>
          <w:i/>
          <w:color w:val="1A7F8E"/>
          <w:sz w:val="18"/>
        </w:rPr>
        <w:t>Cross-hedging | Hedge ratio | Effectiveness</w:t>
      </w:r>
    </w:p>
    <w:p>
      <w:pPr>
        <w:keepNext/>
        <w:spacing w:before="160" w:after="60"/>
      </w:pPr>
      <w:r>
        <w:rPr>
          <w:b/>
          <w:color w:val="1A7F8E"/>
          <w:sz w:val="19"/>
        </w:rPr>
        <w:t>BACKGROUND</w:t>
      </w:r>
    </w:p>
    <w:p>
      <w:r>
        <w:rPr/>
        <w:t>An Indian airline expects to purchase jet fuel equivalent to 2 million barrels over the next quarter. It will cross-hedge using Brent crude futures (contract size 1,000 barrels). A regression of monthly jet-fuel price changes on Brent futures price changes gives the statistics below.</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Statistic</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σ of jet-fuel price changes (σ_S)</w:t>
            </w:r>
          </w:p>
        </w:tc>
        <w:tc>
          <w:tcPr>
            <w:tcW w:type="dxa" w:w="5386"/>
          </w:tcPr>
          <w:p>
            <w:pPr>
              <w:spacing w:after="20" w:before="20"/>
              <w:jc w:val="center"/>
            </w:pPr>
            <w:r/>
            <w:r>
              <w:rPr>
                <w:sz w:val="19"/>
              </w:rPr>
              <w:t>6.0%</w:t>
            </w:r>
          </w:p>
        </w:tc>
      </w:tr>
      <w:tr>
        <w:tc>
          <w:tcPr>
            <w:tcW w:type="dxa" w:w="4252"/>
            <w:shd w:val="clear" w:color="auto" w:fill="F3F6FA"/>
          </w:tcPr>
          <w:p>
            <w:pPr>
              <w:spacing w:after="20" w:before="20"/>
            </w:pPr>
            <w:r/>
            <w:r>
              <w:rPr>
                <w:b/>
                <w:sz w:val="19"/>
              </w:rPr>
              <w:t>σ of Brent futures price changes (σ_F)</w:t>
            </w:r>
          </w:p>
        </w:tc>
        <w:tc>
          <w:tcPr>
            <w:tcW w:type="dxa" w:w="5386"/>
            <w:shd w:val="clear" w:color="auto" w:fill="F3F6FA"/>
          </w:tcPr>
          <w:p>
            <w:pPr>
              <w:spacing w:after="20" w:before="20"/>
              <w:jc w:val="center"/>
            </w:pPr>
            <w:r/>
            <w:r>
              <w:rPr>
                <w:sz w:val="19"/>
              </w:rPr>
              <w:t>7.5%</w:t>
            </w:r>
          </w:p>
        </w:tc>
      </w:tr>
      <w:tr>
        <w:tc>
          <w:tcPr>
            <w:tcW w:type="dxa" w:w="4252"/>
          </w:tcPr>
          <w:p>
            <w:pPr>
              <w:spacing w:after="20" w:before="20"/>
            </w:pPr>
            <w:r/>
            <w:r>
              <w:rPr>
                <w:b/>
                <w:sz w:val="19"/>
              </w:rPr>
              <w:t>Correlation (ρ)</w:t>
            </w:r>
          </w:p>
        </w:tc>
        <w:tc>
          <w:tcPr>
            <w:tcW w:type="dxa" w:w="5386"/>
          </w:tcPr>
          <w:p>
            <w:pPr>
              <w:spacing w:after="20" w:before="20"/>
              <w:jc w:val="center"/>
            </w:pPr>
            <w:r/>
            <w:r>
              <w:rPr>
                <w:sz w:val="19"/>
              </w:rPr>
              <w:t>0.82</w:t>
            </w:r>
          </w:p>
        </w:tc>
      </w:tr>
      <w:tr>
        <w:tc>
          <w:tcPr>
            <w:tcW w:type="dxa" w:w="4252"/>
            <w:shd w:val="clear" w:color="auto" w:fill="F3F6FA"/>
          </w:tcPr>
          <w:p>
            <w:pPr>
              <w:spacing w:after="20" w:before="20"/>
            </w:pPr>
            <w:r/>
            <w:r>
              <w:rPr>
                <w:b/>
                <w:sz w:val="19"/>
              </w:rPr>
              <w:t>Exposure</w:t>
            </w:r>
          </w:p>
        </w:tc>
        <w:tc>
          <w:tcPr>
            <w:tcW w:type="dxa" w:w="5386"/>
            <w:shd w:val="clear" w:color="auto" w:fill="F3F6FA"/>
          </w:tcPr>
          <w:p>
            <w:pPr>
              <w:spacing w:after="20" w:before="20"/>
              <w:jc w:val="center"/>
            </w:pPr>
            <w:r/>
            <w:r>
              <w:rPr>
                <w:sz w:val="19"/>
              </w:rPr>
              <w:t>2,000,000 barrels</w:t>
            </w:r>
          </w:p>
        </w:tc>
      </w:tr>
      <w:tr>
        <w:tc>
          <w:tcPr>
            <w:tcW w:type="dxa" w:w="4252"/>
          </w:tcPr>
          <w:p>
            <w:pPr>
              <w:spacing w:after="20" w:before="20"/>
            </w:pPr>
            <w:r/>
            <w:r>
              <w:rPr>
                <w:b/>
                <w:sz w:val="19"/>
              </w:rPr>
              <w:t>Contract size</w:t>
            </w:r>
          </w:p>
        </w:tc>
        <w:tc>
          <w:tcPr>
            <w:tcW w:type="dxa" w:w="5386"/>
          </w:tcPr>
          <w:p>
            <w:pPr>
              <w:spacing w:after="20" w:before="20"/>
              <w:jc w:val="center"/>
            </w:pPr>
            <w:r/>
            <w:r>
              <w:rPr>
                <w:sz w:val="19"/>
              </w:rPr>
              <w:t>1,000 barrels</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minimum-variance hedge ratio.</w:t>
      </w:r>
    </w:p>
    <w:p>
      <w:pPr>
        <w:spacing w:after="40"/>
        <w:ind w:left="454" w:hanging="454"/>
      </w:pPr>
      <w:r>
        <w:rPr>
          <w:b/>
          <w:color w:val="1F3864"/>
        </w:rPr>
        <w:t xml:space="preserve">(b)  </w:t>
      </w:r>
      <w:r>
        <w:rPr/>
        <w:t>Compute the number of futures contracts to buy.</w:t>
      </w:r>
    </w:p>
    <w:p>
      <w:pPr>
        <w:spacing w:after="40"/>
        <w:ind w:left="454" w:hanging="454"/>
      </w:pPr>
      <w:r>
        <w:rPr>
          <w:b/>
          <w:color w:val="1F3864"/>
        </w:rPr>
        <w:t xml:space="preserve">(c)  </w:t>
      </w:r>
      <w:r>
        <w:rPr/>
        <w:t>Compute hedge effectiveness and the residual risk (σ) of the hedged position.</w:t>
      </w:r>
    </w:p>
    <w:p>
      <w:pPr>
        <w:spacing w:after="40"/>
        <w:ind w:left="454" w:hanging="454"/>
      </w:pPr>
      <w:r>
        <w:rPr>
          <w:b/>
          <w:color w:val="1F3864"/>
        </w:rPr>
        <w:t xml:space="preserve">(d)  </w:t>
      </w:r>
      <w:r>
        <w:rPr/>
        <w:t>Compare with a naïve 1:1 hedge.</w:t>
      </w:r>
    </w:p>
    <w:p>
      <w:pPr>
        <w:spacing w:before="160"/>
      </w:pPr>
      <w:r>
        <w:rPr>
          <w:color w:val="595959"/>
          <w:sz w:val="18"/>
        </w:rPr>
        <w:t>Space for workings  ________________________________________________________________</w:t>
      </w:r>
    </w:p>
    <w:p>
      <w:pPr>
        <w:pStyle w:val="Heading2"/>
      </w:pPr>
      <w:r>
        <w:t>Case 4.4  Portfolio Variance and Risk Contribution</w:t>
      </w:r>
    </w:p>
    <w:p>
      <w:r>
        <w:rPr>
          <w:i/>
          <w:color w:val="1A7F8E"/>
          <w:sz w:val="18"/>
        </w:rPr>
        <w:t>Covariance matrix | Risk budgeting</w:t>
      </w:r>
    </w:p>
    <w:p>
      <w:pPr>
        <w:keepNext/>
        <w:spacing w:before="160" w:after="60"/>
      </w:pPr>
      <w:r>
        <w:rPr>
          <w:b/>
          <w:color w:val="1A7F8E"/>
          <w:sz w:val="19"/>
        </w:rPr>
        <w:t>BACKGROUND</w:t>
      </w:r>
    </w:p>
    <w:p>
      <w:r>
        <w:rPr/>
        <w:t>A wealth manager’s model portfolio is 50% equity, 30% debt and 20% gold. Annual volatilities and correlations are given. The client assumes equity is “half the risk” because it is half the money.</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Asset</w:t>
            </w:r>
          </w:p>
        </w:tc>
        <w:tc>
          <w:tcPr>
            <w:tcW w:type="dxa" w:w="1338"/>
            <w:shd w:val="clear" w:color="auto" w:fill="1F3864"/>
          </w:tcPr>
          <w:p>
            <w:pPr>
              <w:spacing w:after="20" w:before="20"/>
            </w:pPr>
            <w:r/>
            <w:r>
              <w:rPr>
                <w:b/>
                <w:color w:val="FFFFFF"/>
                <w:sz w:val="19"/>
              </w:rPr>
              <w:t>Weight</w:t>
            </w:r>
          </w:p>
        </w:tc>
        <w:tc>
          <w:tcPr>
            <w:tcW w:type="dxa" w:w="1338"/>
            <w:shd w:val="clear" w:color="auto" w:fill="1F3864"/>
          </w:tcPr>
          <w:p>
            <w:pPr>
              <w:spacing w:after="20" w:before="20"/>
            </w:pPr>
            <w:r/>
            <w:r>
              <w:rPr>
                <w:b/>
                <w:color w:val="FFFFFF"/>
                <w:sz w:val="19"/>
              </w:rPr>
              <w:t>Annual σ</w:t>
            </w:r>
          </w:p>
        </w:tc>
        <w:tc>
          <w:tcPr>
            <w:tcW w:type="dxa" w:w="1338"/>
            <w:shd w:val="clear" w:color="auto" w:fill="1F3864"/>
          </w:tcPr>
          <w:p>
            <w:pPr>
              <w:spacing w:after="20" w:before="20"/>
            </w:pPr>
            <w:r/>
            <w:r>
              <w:rPr>
                <w:b/>
                <w:color w:val="FFFFFF"/>
                <w:sz w:val="19"/>
              </w:rPr>
              <w:t>ρ with Equity</w:t>
            </w:r>
          </w:p>
        </w:tc>
        <w:tc>
          <w:tcPr>
            <w:tcW w:type="dxa" w:w="1338"/>
            <w:shd w:val="clear" w:color="auto" w:fill="1F3864"/>
          </w:tcPr>
          <w:p>
            <w:pPr>
              <w:spacing w:after="20" w:before="20"/>
            </w:pPr>
            <w:r/>
            <w:r>
              <w:rPr>
                <w:b/>
                <w:color w:val="FFFFFF"/>
                <w:sz w:val="19"/>
              </w:rPr>
              <w:t>ρ with Debt</w:t>
            </w:r>
          </w:p>
        </w:tc>
        <w:tc>
          <w:tcPr>
            <w:tcW w:type="dxa" w:w="1338"/>
            <w:shd w:val="clear" w:color="auto" w:fill="1F3864"/>
          </w:tcPr>
          <w:p>
            <w:pPr>
              <w:spacing w:after="20" w:before="20"/>
            </w:pPr>
            <w:r/>
            <w:r>
              <w:rPr>
                <w:b/>
                <w:color w:val="FFFFFF"/>
                <w:sz w:val="19"/>
              </w:rPr>
              <w:t>ρ with Gold</w:t>
            </w:r>
          </w:p>
        </w:tc>
      </w:tr>
      <w:tr>
        <w:tc>
          <w:tcPr>
            <w:tcW w:type="dxa" w:w="2948"/>
          </w:tcPr>
          <w:p>
            <w:pPr>
              <w:spacing w:after="20" w:before="20"/>
            </w:pPr>
            <w:r/>
            <w:r>
              <w:rPr>
                <w:b/>
                <w:sz w:val="19"/>
              </w:rPr>
              <w:t>Equity</w:t>
            </w:r>
          </w:p>
        </w:tc>
        <w:tc>
          <w:tcPr>
            <w:tcW w:type="dxa" w:w="1338"/>
          </w:tcPr>
          <w:p>
            <w:pPr>
              <w:spacing w:after="20" w:before="20"/>
              <w:jc w:val="center"/>
            </w:pPr>
            <w:r/>
            <w:r>
              <w:rPr>
                <w:sz w:val="19"/>
              </w:rPr>
              <w:t>50%</w:t>
            </w:r>
          </w:p>
        </w:tc>
        <w:tc>
          <w:tcPr>
            <w:tcW w:type="dxa" w:w="1338"/>
          </w:tcPr>
          <w:p>
            <w:pPr>
              <w:spacing w:after="20" w:before="20"/>
              <w:jc w:val="center"/>
            </w:pPr>
            <w:r/>
            <w:r>
              <w:rPr>
                <w:sz w:val="19"/>
              </w:rPr>
              <w:t>18%</w:t>
            </w:r>
          </w:p>
        </w:tc>
        <w:tc>
          <w:tcPr>
            <w:tcW w:type="dxa" w:w="1338"/>
          </w:tcPr>
          <w:p>
            <w:pPr>
              <w:spacing w:after="20" w:before="20"/>
              <w:jc w:val="center"/>
            </w:pPr>
            <w:r/>
            <w:r>
              <w:rPr>
                <w:sz w:val="19"/>
              </w:rPr>
              <w:t>1.00</w:t>
            </w:r>
          </w:p>
        </w:tc>
        <w:tc>
          <w:tcPr>
            <w:tcW w:type="dxa" w:w="1338"/>
          </w:tcPr>
          <w:p>
            <w:pPr>
              <w:spacing w:after="20" w:before="20"/>
              <w:jc w:val="center"/>
            </w:pPr>
            <w:r/>
            <w:r>
              <w:rPr>
                <w:sz w:val="19"/>
              </w:rPr>
              <w:t>0.10</w:t>
            </w:r>
          </w:p>
        </w:tc>
        <w:tc>
          <w:tcPr>
            <w:tcW w:type="dxa" w:w="1338"/>
          </w:tcPr>
          <w:p>
            <w:pPr>
              <w:spacing w:after="20" w:before="20"/>
              <w:jc w:val="center"/>
            </w:pPr>
            <w:r/>
            <w:r>
              <w:rPr>
                <w:sz w:val="19"/>
              </w:rPr>
              <w:t>−0.15</w:t>
            </w:r>
          </w:p>
        </w:tc>
      </w:tr>
      <w:tr>
        <w:tc>
          <w:tcPr>
            <w:tcW w:type="dxa" w:w="2948"/>
            <w:shd w:val="clear" w:color="auto" w:fill="F3F6FA"/>
          </w:tcPr>
          <w:p>
            <w:pPr>
              <w:spacing w:after="20" w:before="20"/>
            </w:pPr>
            <w:r/>
            <w:r>
              <w:rPr>
                <w:b/>
                <w:sz w:val="19"/>
              </w:rPr>
              <w:t>Debt</w:t>
            </w:r>
          </w:p>
        </w:tc>
        <w:tc>
          <w:tcPr>
            <w:tcW w:type="dxa" w:w="1338"/>
            <w:shd w:val="clear" w:color="auto" w:fill="F3F6FA"/>
          </w:tcPr>
          <w:p>
            <w:pPr>
              <w:spacing w:after="20" w:before="20"/>
              <w:jc w:val="center"/>
            </w:pPr>
            <w:r/>
            <w:r>
              <w:rPr>
                <w:sz w:val="19"/>
              </w:rPr>
              <w:t>30%</w:t>
            </w:r>
          </w:p>
        </w:tc>
        <w:tc>
          <w:tcPr>
            <w:tcW w:type="dxa" w:w="1338"/>
            <w:shd w:val="clear" w:color="auto" w:fill="F3F6FA"/>
          </w:tcPr>
          <w:p>
            <w:pPr>
              <w:spacing w:after="20" w:before="20"/>
              <w:jc w:val="center"/>
            </w:pPr>
            <w:r/>
            <w:r>
              <w:rPr>
                <w:sz w:val="19"/>
              </w:rPr>
              <w:t>6%</w:t>
            </w:r>
          </w:p>
        </w:tc>
        <w:tc>
          <w:tcPr>
            <w:tcW w:type="dxa" w:w="1338"/>
            <w:shd w:val="clear" w:color="auto" w:fill="F3F6FA"/>
          </w:tcPr>
          <w:p>
            <w:pPr>
              <w:spacing w:after="20" w:before="20"/>
              <w:jc w:val="center"/>
            </w:pPr>
            <w:r/>
            <w:r>
              <w:rPr>
                <w:sz w:val="19"/>
              </w:rPr>
              <w:t>0.10</w:t>
            </w:r>
          </w:p>
        </w:tc>
        <w:tc>
          <w:tcPr>
            <w:tcW w:type="dxa" w:w="1338"/>
            <w:shd w:val="clear" w:color="auto" w:fill="F3F6FA"/>
          </w:tcPr>
          <w:p>
            <w:pPr>
              <w:spacing w:after="20" w:before="20"/>
              <w:jc w:val="center"/>
            </w:pPr>
            <w:r/>
            <w:r>
              <w:rPr>
                <w:sz w:val="19"/>
              </w:rPr>
              <w:t>1.00</w:t>
            </w:r>
          </w:p>
        </w:tc>
        <w:tc>
          <w:tcPr>
            <w:tcW w:type="dxa" w:w="1338"/>
            <w:shd w:val="clear" w:color="auto" w:fill="F3F6FA"/>
          </w:tcPr>
          <w:p>
            <w:pPr>
              <w:spacing w:after="20" w:before="20"/>
              <w:jc w:val="center"/>
            </w:pPr>
            <w:r/>
            <w:r>
              <w:rPr>
                <w:sz w:val="19"/>
              </w:rPr>
              <w:t>0.20</w:t>
            </w:r>
          </w:p>
        </w:tc>
      </w:tr>
      <w:tr>
        <w:tc>
          <w:tcPr>
            <w:tcW w:type="dxa" w:w="2948"/>
          </w:tcPr>
          <w:p>
            <w:pPr>
              <w:spacing w:after="20" w:before="20"/>
            </w:pPr>
            <w:r/>
            <w:r>
              <w:rPr>
                <w:b/>
                <w:sz w:val="19"/>
              </w:rPr>
              <w:t>Gold</w:t>
            </w:r>
          </w:p>
        </w:tc>
        <w:tc>
          <w:tcPr>
            <w:tcW w:type="dxa" w:w="1338"/>
          </w:tcPr>
          <w:p>
            <w:pPr>
              <w:spacing w:after="20" w:before="20"/>
              <w:jc w:val="center"/>
            </w:pPr>
            <w:r/>
            <w:r>
              <w:rPr>
                <w:sz w:val="19"/>
              </w:rPr>
              <w:t>20%</w:t>
            </w:r>
          </w:p>
        </w:tc>
        <w:tc>
          <w:tcPr>
            <w:tcW w:type="dxa" w:w="1338"/>
          </w:tcPr>
          <w:p>
            <w:pPr>
              <w:spacing w:after="20" w:before="20"/>
              <w:jc w:val="center"/>
            </w:pPr>
            <w:r/>
            <w:r>
              <w:rPr>
                <w:sz w:val="19"/>
              </w:rPr>
              <w:t>14%</w:t>
            </w:r>
          </w:p>
        </w:tc>
        <w:tc>
          <w:tcPr>
            <w:tcW w:type="dxa" w:w="1338"/>
          </w:tcPr>
          <w:p>
            <w:pPr>
              <w:spacing w:after="20" w:before="20"/>
              <w:jc w:val="center"/>
            </w:pPr>
            <w:r/>
            <w:r>
              <w:rPr>
                <w:sz w:val="19"/>
              </w:rPr>
              <w:t>−0.15</w:t>
            </w:r>
          </w:p>
        </w:tc>
        <w:tc>
          <w:tcPr>
            <w:tcW w:type="dxa" w:w="1338"/>
          </w:tcPr>
          <w:p>
            <w:pPr>
              <w:spacing w:after="20" w:before="20"/>
              <w:jc w:val="center"/>
            </w:pPr>
            <w:r/>
            <w:r>
              <w:rPr>
                <w:sz w:val="19"/>
              </w:rPr>
              <w:t>0.20</w:t>
            </w:r>
          </w:p>
        </w:tc>
        <w:tc>
          <w:tcPr>
            <w:tcW w:type="dxa" w:w="1338"/>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Build the covariance matrix.</w:t>
      </w:r>
    </w:p>
    <w:p>
      <w:pPr>
        <w:spacing w:after="40"/>
        <w:ind w:left="454" w:hanging="454"/>
      </w:pPr>
      <w:r>
        <w:rPr>
          <w:b/>
          <w:color w:val="1F3864"/>
        </w:rPr>
        <w:t xml:space="preserve">(b)  </w:t>
      </w:r>
      <w:r>
        <w:rPr/>
        <w:t>Compute portfolio variance and standard deviation (use MMULT in Excel).</w:t>
      </w:r>
    </w:p>
    <w:p>
      <w:pPr>
        <w:spacing w:after="40"/>
        <w:ind w:left="454" w:hanging="454"/>
      </w:pPr>
      <w:r>
        <w:rPr>
          <w:b/>
          <w:color w:val="1F3864"/>
        </w:rPr>
        <w:t xml:space="preserve">(c)  </w:t>
      </w:r>
      <w:r>
        <w:rPr/>
        <w:t>Compute each asset’s contribution to portfolio risk (% of total).</w:t>
      </w:r>
    </w:p>
    <w:p>
      <w:pPr>
        <w:spacing w:after="40"/>
        <w:ind w:left="454" w:hanging="454"/>
      </w:pPr>
      <w:r>
        <w:rPr>
          <w:b/>
          <w:color w:val="1F3864"/>
        </w:rPr>
        <w:t xml:space="preserve">(d)  </w:t>
      </w:r>
      <w:r>
        <w:rPr/>
        <w:t>Is the client’s assumption correct?</w:t>
      </w:r>
    </w:p>
    <w:p>
      <w:pPr>
        <w:spacing w:before="160"/>
      </w:pPr>
      <w:r>
        <w:rPr>
          <w:color w:val="595959"/>
          <w:sz w:val="18"/>
        </w:rPr>
        <w:t>Space for workings  ________________________________________________________________</w:t>
      </w:r>
    </w:p>
    <w:p>
      <w:pPr>
        <w:pStyle w:val="Heading2"/>
      </w:pPr>
      <w:r>
        <w:t>Case 4.5  Systematic vs Idiosyncratic Variance</w:t>
      </w:r>
    </w:p>
    <w:p>
      <w:r>
        <w:rPr>
          <w:i/>
          <w:color w:val="1A7F8E"/>
          <w:sz w:val="18"/>
        </w:rPr>
        <w:t>Variance decomposition | Diversification | Graph</w:t>
      </w:r>
    </w:p>
    <w:p>
      <w:pPr>
        <w:keepNext/>
        <w:spacing w:before="160" w:after="60"/>
      </w:pPr>
      <w:r>
        <w:rPr>
          <w:b/>
          <w:color w:val="1A7F8E"/>
          <w:sz w:val="19"/>
        </w:rPr>
        <w:t>BACKGROUND</w:t>
      </w:r>
    </w:p>
    <w:p>
      <w:r>
        <w:rPr/>
        <w:t>The Nifty 50 has an annual volatility of 15%. Stock X has beta 1.30 and total volatility 28%. A diversified large-cap fund has beta 0.95 and total volatility 15.2%.</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Item</w:t>
            </w:r>
          </w:p>
        </w:tc>
        <w:tc>
          <w:tcPr>
            <w:tcW w:type="dxa" w:w="3345"/>
            <w:shd w:val="clear" w:color="auto" w:fill="1F3864"/>
          </w:tcPr>
          <w:p>
            <w:pPr>
              <w:spacing w:after="20" w:before="20"/>
            </w:pPr>
            <w:r/>
            <w:r>
              <w:rPr>
                <w:b/>
                <w:color w:val="FFFFFF"/>
                <w:sz w:val="19"/>
              </w:rPr>
              <w:t>Beta</w:t>
            </w:r>
          </w:p>
        </w:tc>
        <w:tc>
          <w:tcPr>
            <w:tcW w:type="dxa" w:w="3345"/>
            <w:shd w:val="clear" w:color="auto" w:fill="1F3864"/>
          </w:tcPr>
          <w:p>
            <w:pPr>
              <w:spacing w:after="20" w:before="20"/>
            </w:pPr>
            <w:r/>
            <w:r>
              <w:rPr>
                <w:b/>
                <w:color w:val="FFFFFF"/>
                <w:sz w:val="19"/>
              </w:rPr>
              <w:t>Total σ</w:t>
            </w:r>
          </w:p>
        </w:tc>
      </w:tr>
      <w:tr>
        <w:tc>
          <w:tcPr>
            <w:tcW w:type="dxa" w:w="2948"/>
          </w:tcPr>
          <w:p>
            <w:pPr>
              <w:spacing w:after="20" w:before="20"/>
            </w:pPr>
            <w:r/>
            <w:r>
              <w:rPr>
                <w:b/>
                <w:sz w:val="19"/>
              </w:rPr>
              <w:t>Market (Nifty 50)</w:t>
            </w:r>
          </w:p>
        </w:tc>
        <w:tc>
          <w:tcPr>
            <w:tcW w:type="dxa" w:w="3345"/>
          </w:tcPr>
          <w:p>
            <w:pPr>
              <w:spacing w:after="20" w:before="20"/>
              <w:jc w:val="center"/>
            </w:pPr>
            <w:r/>
            <w:r>
              <w:rPr>
                <w:sz w:val="19"/>
              </w:rPr>
              <w:t>1.00</w:t>
            </w:r>
          </w:p>
        </w:tc>
        <w:tc>
          <w:tcPr>
            <w:tcW w:type="dxa" w:w="3345"/>
          </w:tcPr>
          <w:p>
            <w:pPr>
              <w:spacing w:after="20" w:before="20"/>
              <w:jc w:val="center"/>
            </w:pPr>
            <w:r/>
            <w:r>
              <w:rPr>
                <w:sz w:val="19"/>
              </w:rPr>
              <w:t>15.0%</w:t>
            </w:r>
          </w:p>
        </w:tc>
      </w:tr>
      <w:tr>
        <w:tc>
          <w:tcPr>
            <w:tcW w:type="dxa" w:w="2948"/>
            <w:shd w:val="clear" w:color="auto" w:fill="F3F6FA"/>
          </w:tcPr>
          <w:p>
            <w:pPr>
              <w:spacing w:after="20" w:before="20"/>
            </w:pPr>
            <w:r/>
            <w:r>
              <w:rPr>
                <w:b/>
                <w:sz w:val="19"/>
              </w:rPr>
              <w:t>Stock X</w:t>
            </w:r>
          </w:p>
        </w:tc>
        <w:tc>
          <w:tcPr>
            <w:tcW w:type="dxa" w:w="3345"/>
            <w:shd w:val="clear" w:color="auto" w:fill="F3F6FA"/>
          </w:tcPr>
          <w:p>
            <w:pPr>
              <w:spacing w:after="20" w:before="20"/>
              <w:jc w:val="center"/>
            </w:pPr>
            <w:r/>
            <w:r>
              <w:rPr>
                <w:sz w:val="19"/>
              </w:rPr>
              <w:t>1.30</w:t>
            </w:r>
          </w:p>
        </w:tc>
        <w:tc>
          <w:tcPr>
            <w:tcW w:type="dxa" w:w="3345"/>
            <w:shd w:val="clear" w:color="auto" w:fill="F3F6FA"/>
          </w:tcPr>
          <w:p>
            <w:pPr>
              <w:spacing w:after="20" w:before="20"/>
              <w:jc w:val="center"/>
            </w:pPr>
            <w:r/>
            <w:r>
              <w:rPr>
                <w:sz w:val="19"/>
              </w:rPr>
              <w:t>28.0%</w:t>
            </w:r>
          </w:p>
        </w:tc>
      </w:tr>
      <w:tr>
        <w:tc>
          <w:tcPr>
            <w:tcW w:type="dxa" w:w="2948"/>
          </w:tcPr>
          <w:p>
            <w:pPr>
              <w:spacing w:after="20" w:before="20"/>
            </w:pPr>
            <w:r/>
            <w:r>
              <w:rPr>
                <w:b/>
                <w:sz w:val="19"/>
              </w:rPr>
              <w:t>Diversified fund</w:t>
            </w:r>
          </w:p>
        </w:tc>
        <w:tc>
          <w:tcPr>
            <w:tcW w:type="dxa" w:w="3345"/>
          </w:tcPr>
          <w:p>
            <w:pPr>
              <w:spacing w:after="20" w:before="20"/>
              <w:jc w:val="center"/>
            </w:pPr>
            <w:r/>
            <w:r>
              <w:rPr>
                <w:sz w:val="19"/>
              </w:rPr>
              <w:t>0.95</w:t>
            </w:r>
          </w:p>
        </w:tc>
        <w:tc>
          <w:tcPr>
            <w:tcW w:type="dxa" w:w="3345"/>
          </w:tcPr>
          <w:p>
            <w:pPr>
              <w:spacing w:after="20" w:before="20"/>
              <w:jc w:val="center"/>
            </w:pPr>
            <w:r/>
            <w:r>
              <w:rPr>
                <w:sz w:val="19"/>
              </w:rPr>
              <w:t>15.2%</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Decompose total variance of Stock X and the fund into systematic and idiosyncratic components.</w:t>
      </w:r>
    </w:p>
    <w:p>
      <w:pPr>
        <w:spacing w:after="40"/>
        <w:ind w:left="454" w:hanging="454"/>
      </w:pPr>
      <w:r>
        <w:rPr>
          <w:b/>
          <w:color w:val="1F3864"/>
        </w:rPr>
        <w:t xml:space="preserve">(b)  </w:t>
      </w:r>
      <w:r>
        <w:rPr/>
        <w:t>Compute the share of systematic variance (equivalent to R² of the market model).</w:t>
      </w:r>
    </w:p>
    <w:p>
      <w:pPr>
        <w:spacing w:after="40"/>
        <w:ind w:left="454" w:hanging="454"/>
      </w:pPr>
      <w:r>
        <w:rPr>
          <w:b/>
          <w:color w:val="1F3864"/>
        </w:rPr>
        <w:t xml:space="preserve">(c)  </w:t>
      </w:r>
      <w:r>
        <w:rPr>
          <w:b/>
          <w:color w:val="C9A227"/>
        </w:rPr>
        <w:t xml:space="preserve">Graph task: </w:t>
      </w:r>
      <w:r>
        <w:rPr/>
        <w:t>show the decomposition as a stacked bar chart.</w:t>
      </w:r>
    </w:p>
    <w:p>
      <w:pPr>
        <w:spacing w:after="40"/>
        <w:ind w:left="454" w:hanging="454"/>
      </w:pPr>
      <w:r>
        <w:rPr>
          <w:b/>
          <w:color w:val="1F3864"/>
        </w:rPr>
        <w:t xml:space="preserve">(d)  </w:t>
      </w:r>
      <w:r>
        <w:rPr/>
        <w:t>Which component is rewarded by the market under CAPM and why?</w:t>
      </w:r>
    </w:p>
    <w:p>
      <w:pPr>
        <w:spacing w:before="160"/>
      </w:pPr>
      <w:r>
        <w:rPr>
          <w:color w:val="595959"/>
          <w:sz w:val="18"/>
        </w:rPr>
        <w:t>Space for workings  ________________________________________________________________</w:t>
      </w:r>
    </w:p>
    <w:p>
      <w:pPr>
        <w:pStyle w:val="Heading2"/>
      </w:pPr>
      <w:r>
        <w:t>Case 4.6  Variance, Volatility and Risk-Adjusted Performance of Two Funds</w:t>
      </w:r>
    </w:p>
    <w:p>
      <w:r>
        <w:rPr>
          <w:i/>
          <w:color w:val="1A7F8E"/>
          <w:sz w:val="18"/>
        </w:rPr>
        <w:t>Sample variance | Annualisation | Sharpe ratio</w:t>
      </w:r>
    </w:p>
    <w:p>
      <w:pPr>
        <w:keepNext/>
        <w:spacing w:before="160" w:after="60"/>
      </w:pPr>
      <w:r>
        <w:rPr>
          <w:b/>
          <w:color w:val="1A7F8E"/>
          <w:sz w:val="19"/>
        </w:rPr>
        <w:t>BACKGROUND</w:t>
      </w:r>
    </w:p>
    <w:p>
      <w:r>
        <w:rPr/>
        <w:t>A distributor must recommend one of two equity funds to a conservative client. Monthly returns for the last 12 months are given. The annual risk-free rate is 6.5%.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rPr>
          <w:tblHeader w:val="true"/>
        </w:trPr>
        <w:tc>
          <w:tcPr>
            <w:tcW w:type="dxa" w:w="1474"/>
            <w:shd w:val="clear" w:color="auto" w:fill="1F3864"/>
          </w:tcPr>
          <w:p>
            <w:pPr>
              <w:spacing w:after="20" w:before="20"/>
            </w:pPr>
            <w:r/>
            <w:r>
              <w:rPr>
                <w:b/>
                <w:color w:val="FFFFFF"/>
                <w:sz w:val="17"/>
              </w:rPr>
              <w:t>Month</w:t>
            </w:r>
          </w:p>
        </w:tc>
        <w:tc>
          <w:tcPr>
            <w:tcW w:type="dxa" w:w="680"/>
            <w:shd w:val="clear" w:color="auto" w:fill="1F3864"/>
          </w:tcPr>
          <w:p>
            <w:pPr>
              <w:spacing w:after="20" w:before="20"/>
            </w:pPr>
            <w:r/>
            <w:r>
              <w:rPr>
                <w:b/>
                <w:color w:val="FFFFFF"/>
                <w:sz w:val="17"/>
              </w:rPr>
              <w:t>M1</w:t>
            </w:r>
          </w:p>
        </w:tc>
        <w:tc>
          <w:tcPr>
            <w:tcW w:type="dxa" w:w="680"/>
            <w:shd w:val="clear" w:color="auto" w:fill="1F3864"/>
          </w:tcPr>
          <w:p>
            <w:pPr>
              <w:spacing w:after="20" w:before="20"/>
            </w:pPr>
            <w:r/>
            <w:r>
              <w:rPr>
                <w:b/>
                <w:color w:val="FFFFFF"/>
                <w:sz w:val="17"/>
              </w:rPr>
              <w:t>M2</w:t>
            </w:r>
          </w:p>
        </w:tc>
        <w:tc>
          <w:tcPr>
            <w:tcW w:type="dxa" w:w="680"/>
            <w:shd w:val="clear" w:color="auto" w:fill="1F3864"/>
          </w:tcPr>
          <w:p>
            <w:pPr>
              <w:spacing w:after="20" w:before="20"/>
            </w:pPr>
            <w:r/>
            <w:r>
              <w:rPr>
                <w:b/>
                <w:color w:val="FFFFFF"/>
                <w:sz w:val="17"/>
              </w:rPr>
              <w:t>M3</w:t>
            </w:r>
          </w:p>
        </w:tc>
        <w:tc>
          <w:tcPr>
            <w:tcW w:type="dxa" w:w="680"/>
            <w:shd w:val="clear" w:color="auto" w:fill="1F3864"/>
          </w:tcPr>
          <w:p>
            <w:pPr>
              <w:spacing w:after="20" w:before="20"/>
            </w:pPr>
            <w:r/>
            <w:r>
              <w:rPr>
                <w:b/>
                <w:color w:val="FFFFFF"/>
                <w:sz w:val="17"/>
              </w:rPr>
              <w:t>M4</w:t>
            </w:r>
          </w:p>
        </w:tc>
        <w:tc>
          <w:tcPr>
            <w:tcW w:type="dxa" w:w="680"/>
            <w:shd w:val="clear" w:color="auto" w:fill="1F3864"/>
          </w:tcPr>
          <w:p>
            <w:pPr>
              <w:spacing w:after="20" w:before="20"/>
            </w:pPr>
            <w:r/>
            <w:r>
              <w:rPr>
                <w:b/>
                <w:color w:val="FFFFFF"/>
                <w:sz w:val="17"/>
              </w:rPr>
              <w:t>M5</w:t>
            </w:r>
          </w:p>
        </w:tc>
        <w:tc>
          <w:tcPr>
            <w:tcW w:type="dxa" w:w="680"/>
            <w:shd w:val="clear" w:color="auto" w:fill="1F3864"/>
          </w:tcPr>
          <w:p>
            <w:pPr>
              <w:spacing w:after="20" w:before="20"/>
            </w:pPr>
            <w:r/>
            <w:r>
              <w:rPr>
                <w:b/>
                <w:color w:val="FFFFFF"/>
                <w:sz w:val="17"/>
              </w:rPr>
              <w:t>M6</w:t>
            </w:r>
          </w:p>
        </w:tc>
        <w:tc>
          <w:tcPr>
            <w:tcW w:type="dxa" w:w="680"/>
            <w:shd w:val="clear" w:color="auto" w:fill="1F3864"/>
          </w:tcPr>
          <w:p>
            <w:pPr>
              <w:spacing w:after="20" w:before="20"/>
            </w:pPr>
            <w:r/>
            <w:r>
              <w:rPr>
                <w:b/>
                <w:color w:val="FFFFFF"/>
                <w:sz w:val="17"/>
              </w:rPr>
              <w:t>M7</w:t>
            </w:r>
          </w:p>
        </w:tc>
        <w:tc>
          <w:tcPr>
            <w:tcW w:type="dxa" w:w="680"/>
            <w:shd w:val="clear" w:color="auto" w:fill="1F3864"/>
          </w:tcPr>
          <w:p>
            <w:pPr>
              <w:spacing w:after="20" w:before="20"/>
            </w:pPr>
            <w:r/>
            <w:r>
              <w:rPr>
                <w:b/>
                <w:color w:val="FFFFFF"/>
                <w:sz w:val="17"/>
              </w:rPr>
              <w:t>M8</w:t>
            </w:r>
          </w:p>
        </w:tc>
        <w:tc>
          <w:tcPr>
            <w:tcW w:type="dxa" w:w="680"/>
            <w:shd w:val="clear" w:color="auto" w:fill="1F3864"/>
          </w:tcPr>
          <w:p>
            <w:pPr>
              <w:spacing w:after="20" w:before="20"/>
            </w:pPr>
            <w:r/>
            <w:r>
              <w:rPr>
                <w:b/>
                <w:color w:val="FFFFFF"/>
                <w:sz w:val="17"/>
              </w:rPr>
              <w:t>M9</w:t>
            </w:r>
          </w:p>
        </w:tc>
        <w:tc>
          <w:tcPr>
            <w:tcW w:type="dxa" w:w="680"/>
            <w:shd w:val="clear" w:color="auto" w:fill="1F3864"/>
          </w:tcPr>
          <w:p>
            <w:pPr>
              <w:spacing w:after="20" w:before="20"/>
            </w:pPr>
            <w:r/>
            <w:r>
              <w:rPr>
                <w:b/>
                <w:color w:val="FFFFFF"/>
                <w:sz w:val="17"/>
              </w:rPr>
              <w:t>M10</w:t>
            </w:r>
          </w:p>
        </w:tc>
        <w:tc>
          <w:tcPr>
            <w:tcW w:type="dxa" w:w="680"/>
            <w:shd w:val="clear" w:color="auto" w:fill="1F3864"/>
          </w:tcPr>
          <w:p>
            <w:pPr>
              <w:spacing w:after="20" w:before="20"/>
            </w:pPr>
            <w:r/>
            <w:r>
              <w:rPr>
                <w:b/>
                <w:color w:val="FFFFFF"/>
                <w:sz w:val="17"/>
              </w:rPr>
              <w:t>M11</w:t>
            </w:r>
          </w:p>
        </w:tc>
        <w:tc>
          <w:tcPr>
            <w:tcW w:type="dxa" w:w="680"/>
            <w:shd w:val="clear" w:color="auto" w:fill="1F3864"/>
          </w:tcPr>
          <w:p>
            <w:pPr>
              <w:spacing w:after="20" w:before="20"/>
            </w:pPr>
            <w:r/>
            <w:r>
              <w:rPr>
                <w:b/>
                <w:color w:val="FFFFFF"/>
                <w:sz w:val="17"/>
              </w:rPr>
              <w:t>M12</w:t>
            </w:r>
          </w:p>
        </w:tc>
      </w:tr>
      <w:tr>
        <w:tc>
          <w:tcPr>
            <w:tcW w:type="dxa" w:w="1474"/>
          </w:tcPr>
          <w:p>
            <w:pPr>
              <w:spacing w:after="20" w:before="20"/>
            </w:pPr>
            <w:r/>
            <w:r>
              <w:rPr>
                <w:b/>
                <w:sz w:val="17"/>
              </w:rPr>
              <w:t>Fund A (%)</w:t>
            </w:r>
          </w:p>
        </w:tc>
        <w:tc>
          <w:tcPr>
            <w:tcW w:type="dxa" w:w="680"/>
          </w:tcPr>
          <w:p>
            <w:pPr>
              <w:spacing w:after="20" w:before="20"/>
              <w:jc w:val="center"/>
            </w:pPr>
            <w:r/>
            <w:r>
              <w:rPr>
                <w:sz w:val="17"/>
              </w:rPr>
              <w:t>1.8</w:t>
            </w:r>
          </w:p>
        </w:tc>
        <w:tc>
          <w:tcPr>
            <w:tcW w:type="dxa" w:w="680"/>
          </w:tcPr>
          <w:p>
            <w:pPr>
              <w:spacing w:after="20" w:before="20"/>
              <w:jc w:val="center"/>
            </w:pPr>
            <w:r/>
            <w:r>
              <w:rPr>
                <w:sz w:val="17"/>
              </w:rPr>
              <w:t>2.2</w:t>
            </w:r>
          </w:p>
        </w:tc>
        <w:tc>
          <w:tcPr>
            <w:tcW w:type="dxa" w:w="680"/>
          </w:tcPr>
          <w:p>
            <w:pPr>
              <w:spacing w:after="20" w:before="20"/>
              <w:jc w:val="center"/>
            </w:pPr>
            <w:r/>
            <w:r>
              <w:rPr>
                <w:sz w:val="17"/>
              </w:rPr>
              <w:t>-0.9</w:t>
            </w:r>
          </w:p>
        </w:tc>
        <w:tc>
          <w:tcPr>
            <w:tcW w:type="dxa" w:w="680"/>
          </w:tcPr>
          <w:p>
            <w:pPr>
              <w:spacing w:after="20" w:before="20"/>
              <w:jc w:val="center"/>
            </w:pPr>
            <w:r/>
            <w:r>
              <w:rPr>
                <w:sz w:val="17"/>
              </w:rPr>
              <w:t>1.5</w:t>
            </w:r>
          </w:p>
        </w:tc>
        <w:tc>
          <w:tcPr>
            <w:tcW w:type="dxa" w:w="680"/>
          </w:tcPr>
          <w:p>
            <w:pPr>
              <w:spacing w:after="20" w:before="20"/>
              <w:jc w:val="center"/>
            </w:pPr>
            <w:r/>
            <w:r>
              <w:rPr>
                <w:sz w:val="17"/>
              </w:rPr>
              <w:t>2.6</w:t>
            </w:r>
          </w:p>
        </w:tc>
        <w:tc>
          <w:tcPr>
            <w:tcW w:type="dxa" w:w="680"/>
          </w:tcPr>
          <w:p>
            <w:pPr>
              <w:spacing w:after="20" w:before="20"/>
              <w:jc w:val="center"/>
            </w:pPr>
            <w:r/>
            <w:r>
              <w:rPr>
                <w:sz w:val="17"/>
              </w:rPr>
              <w:t>-1.2</w:t>
            </w:r>
          </w:p>
        </w:tc>
        <w:tc>
          <w:tcPr>
            <w:tcW w:type="dxa" w:w="680"/>
          </w:tcPr>
          <w:p>
            <w:pPr>
              <w:spacing w:after="20" w:before="20"/>
              <w:jc w:val="center"/>
            </w:pPr>
            <w:r/>
            <w:r>
              <w:rPr>
                <w:sz w:val="17"/>
              </w:rPr>
              <w:t>1.9</w:t>
            </w:r>
          </w:p>
        </w:tc>
        <w:tc>
          <w:tcPr>
            <w:tcW w:type="dxa" w:w="680"/>
          </w:tcPr>
          <w:p>
            <w:pPr>
              <w:spacing w:after="20" w:before="20"/>
              <w:jc w:val="center"/>
            </w:pPr>
            <w:r/>
            <w:r>
              <w:rPr>
                <w:sz w:val="17"/>
              </w:rPr>
              <w:t>0.7</w:t>
            </w:r>
          </w:p>
        </w:tc>
        <w:tc>
          <w:tcPr>
            <w:tcW w:type="dxa" w:w="680"/>
          </w:tcPr>
          <w:p>
            <w:pPr>
              <w:spacing w:after="20" w:before="20"/>
              <w:jc w:val="center"/>
            </w:pPr>
            <w:r/>
            <w:r>
              <w:rPr>
                <w:sz w:val="17"/>
              </w:rPr>
              <w:t>2.4</w:t>
            </w:r>
          </w:p>
        </w:tc>
        <w:tc>
          <w:tcPr>
            <w:tcW w:type="dxa" w:w="680"/>
          </w:tcPr>
          <w:p>
            <w:pPr>
              <w:spacing w:after="20" w:before="20"/>
              <w:jc w:val="center"/>
            </w:pPr>
            <w:r/>
            <w:r>
              <w:rPr>
                <w:sz w:val="17"/>
              </w:rPr>
              <w:t>-0.5</w:t>
            </w:r>
          </w:p>
        </w:tc>
        <w:tc>
          <w:tcPr>
            <w:tcW w:type="dxa" w:w="680"/>
          </w:tcPr>
          <w:p>
            <w:pPr>
              <w:spacing w:after="20" w:before="20"/>
              <w:jc w:val="center"/>
            </w:pPr>
            <w:r/>
            <w:r>
              <w:rPr>
                <w:sz w:val="17"/>
              </w:rPr>
              <w:t>1.6</w:t>
            </w:r>
          </w:p>
        </w:tc>
        <w:tc>
          <w:tcPr>
            <w:tcW w:type="dxa" w:w="680"/>
          </w:tcPr>
          <w:p>
            <w:pPr>
              <w:spacing w:after="20" w:before="20"/>
              <w:jc w:val="center"/>
            </w:pPr>
            <w:r/>
            <w:r>
              <w:rPr>
                <w:sz w:val="17"/>
              </w:rPr>
              <w:t>1.1</w:t>
            </w:r>
          </w:p>
        </w:tc>
      </w:tr>
      <w:tr>
        <w:tc>
          <w:tcPr>
            <w:tcW w:type="dxa" w:w="1474"/>
            <w:shd w:val="clear" w:color="auto" w:fill="F3F6FA"/>
          </w:tcPr>
          <w:p>
            <w:pPr>
              <w:spacing w:after="20" w:before="20"/>
            </w:pPr>
            <w:r/>
            <w:r>
              <w:rPr>
                <w:b/>
                <w:sz w:val="17"/>
              </w:rPr>
              <w:t>Fund B (%)</w:t>
            </w:r>
          </w:p>
        </w:tc>
        <w:tc>
          <w:tcPr>
            <w:tcW w:type="dxa" w:w="680"/>
            <w:shd w:val="clear" w:color="auto" w:fill="F3F6FA"/>
          </w:tcPr>
          <w:p>
            <w:pPr>
              <w:spacing w:after="20" w:before="20"/>
              <w:jc w:val="center"/>
            </w:pPr>
            <w:r/>
            <w:r>
              <w:rPr>
                <w:sz w:val="17"/>
              </w:rPr>
              <w:t>3.5</w:t>
            </w:r>
          </w:p>
        </w:tc>
        <w:tc>
          <w:tcPr>
            <w:tcW w:type="dxa" w:w="680"/>
            <w:shd w:val="clear" w:color="auto" w:fill="F3F6FA"/>
          </w:tcPr>
          <w:p>
            <w:pPr>
              <w:spacing w:after="20" w:before="20"/>
              <w:jc w:val="center"/>
            </w:pPr>
            <w:r/>
            <w:r>
              <w:rPr>
                <w:sz w:val="17"/>
              </w:rPr>
              <w:t>-2.8</w:t>
            </w:r>
          </w:p>
        </w:tc>
        <w:tc>
          <w:tcPr>
            <w:tcW w:type="dxa" w:w="680"/>
            <w:shd w:val="clear" w:color="auto" w:fill="F3F6FA"/>
          </w:tcPr>
          <w:p>
            <w:pPr>
              <w:spacing w:after="20" w:before="20"/>
              <w:jc w:val="center"/>
            </w:pPr>
            <w:r/>
            <w:r>
              <w:rPr>
                <w:sz w:val="17"/>
              </w:rPr>
              <w:t>4.9</w:t>
            </w:r>
          </w:p>
        </w:tc>
        <w:tc>
          <w:tcPr>
            <w:tcW w:type="dxa" w:w="680"/>
            <w:shd w:val="clear" w:color="auto" w:fill="F3F6FA"/>
          </w:tcPr>
          <w:p>
            <w:pPr>
              <w:spacing w:after="20" w:before="20"/>
              <w:jc w:val="center"/>
            </w:pPr>
            <w:r/>
            <w:r>
              <w:rPr>
                <w:sz w:val="17"/>
              </w:rPr>
              <w:t>1.2</w:t>
            </w:r>
          </w:p>
        </w:tc>
        <w:tc>
          <w:tcPr>
            <w:tcW w:type="dxa" w:w="680"/>
            <w:shd w:val="clear" w:color="auto" w:fill="F3F6FA"/>
          </w:tcPr>
          <w:p>
            <w:pPr>
              <w:spacing w:after="20" w:before="20"/>
              <w:jc w:val="center"/>
            </w:pPr>
            <w:r/>
            <w:r>
              <w:rPr>
                <w:sz w:val="17"/>
              </w:rPr>
              <w:t>-3.6</w:t>
            </w:r>
          </w:p>
        </w:tc>
        <w:tc>
          <w:tcPr>
            <w:tcW w:type="dxa" w:w="680"/>
            <w:shd w:val="clear" w:color="auto" w:fill="F3F6FA"/>
          </w:tcPr>
          <w:p>
            <w:pPr>
              <w:spacing w:after="20" w:before="20"/>
              <w:jc w:val="center"/>
            </w:pPr>
            <w:r/>
            <w:r>
              <w:rPr>
                <w:sz w:val="17"/>
              </w:rPr>
              <w:t>5.2</w:t>
            </w:r>
          </w:p>
        </w:tc>
        <w:tc>
          <w:tcPr>
            <w:tcW w:type="dxa" w:w="680"/>
            <w:shd w:val="clear" w:color="auto" w:fill="F3F6FA"/>
          </w:tcPr>
          <w:p>
            <w:pPr>
              <w:spacing w:after="20" w:before="20"/>
              <w:jc w:val="center"/>
            </w:pPr>
            <w:r/>
            <w:r>
              <w:rPr>
                <w:sz w:val="17"/>
              </w:rPr>
              <w:t>2.1</w:t>
            </w:r>
          </w:p>
        </w:tc>
        <w:tc>
          <w:tcPr>
            <w:tcW w:type="dxa" w:w="680"/>
            <w:shd w:val="clear" w:color="auto" w:fill="F3F6FA"/>
          </w:tcPr>
          <w:p>
            <w:pPr>
              <w:spacing w:after="20" w:before="20"/>
              <w:jc w:val="center"/>
            </w:pPr>
            <w:r/>
            <w:r>
              <w:rPr>
                <w:sz w:val="17"/>
              </w:rPr>
              <w:t>-1.9</w:t>
            </w:r>
          </w:p>
        </w:tc>
        <w:tc>
          <w:tcPr>
            <w:tcW w:type="dxa" w:w="680"/>
            <w:shd w:val="clear" w:color="auto" w:fill="F3F6FA"/>
          </w:tcPr>
          <w:p>
            <w:pPr>
              <w:spacing w:after="20" w:before="20"/>
              <w:jc w:val="center"/>
            </w:pPr>
            <w:r/>
            <w:r>
              <w:rPr>
                <w:sz w:val="17"/>
              </w:rPr>
              <w:t>4.4</w:t>
            </w:r>
          </w:p>
        </w:tc>
        <w:tc>
          <w:tcPr>
            <w:tcW w:type="dxa" w:w="680"/>
            <w:shd w:val="clear" w:color="auto" w:fill="F3F6FA"/>
          </w:tcPr>
          <w:p>
            <w:pPr>
              <w:spacing w:after="20" w:before="20"/>
              <w:jc w:val="center"/>
            </w:pPr>
            <w:r/>
            <w:r>
              <w:rPr>
                <w:sz w:val="17"/>
              </w:rPr>
              <w:t>-2.2</w:t>
            </w:r>
          </w:p>
        </w:tc>
        <w:tc>
          <w:tcPr>
            <w:tcW w:type="dxa" w:w="680"/>
            <w:shd w:val="clear" w:color="auto" w:fill="F3F6FA"/>
          </w:tcPr>
          <w:p>
            <w:pPr>
              <w:spacing w:after="20" w:before="20"/>
              <w:jc w:val="center"/>
            </w:pPr>
            <w:r/>
            <w:r>
              <w:rPr>
                <w:sz w:val="17"/>
              </w:rPr>
              <w:t>3.8</w:t>
            </w:r>
          </w:p>
        </w:tc>
        <w:tc>
          <w:tcPr>
            <w:tcW w:type="dxa" w:w="680"/>
            <w:shd w:val="clear" w:color="auto" w:fill="F3F6FA"/>
          </w:tcPr>
          <w:p>
            <w:pPr>
              <w:spacing w:after="20" w:before="20"/>
              <w:jc w:val="center"/>
            </w:pPr>
            <w:r/>
            <w:r>
              <w:rPr>
                <w:sz w:val="17"/>
              </w:rPr>
              <w:t>0.6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mean monthly return, sample variance and standard deviation of each fund (VAR.S / STDEV.S).</w:t>
      </w:r>
    </w:p>
    <w:p>
      <w:pPr>
        <w:spacing w:after="40"/>
        <w:ind w:left="454" w:hanging="454"/>
      </w:pPr>
      <w:r>
        <w:rPr>
          <w:b/>
          <w:color w:val="1F3864"/>
        </w:rPr>
        <w:t xml:space="preserve">(b)  </w:t>
      </w:r>
      <w:r>
        <w:rPr/>
        <w:t>Annualise return (×12) and volatility (×√12).</w:t>
      </w:r>
    </w:p>
    <w:p>
      <w:pPr>
        <w:spacing w:after="40"/>
        <w:ind w:left="454" w:hanging="454"/>
      </w:pPr>
      <w:r>
        <w:rPr>
          <w:b/>
          <w:color w:val="1F3864"/>
        </w:rPr>
        <w:t xml:space="preserve">(c)  </w:t>
      </w:r>
      <w:r>
        <w:rPr/>
        <w:t>Compute the Sharpe ratio and coefficient of variation.</w:t>
      </w:r>
    </w:p>
    <w:p>
      <w:pPr>
        <w:spacing w:after="40"/>
        <w:ind w:left="454" w:hanging="454"/>
      </w:pPr>
      <w:r>
        <w:rPr>
          <w:b/>
          <w:color w:val="1F3864"/>
        </w:rPr>
        <w:t xml:space="preserve">(d)  </w:t>
      </w:r>
      <w:r>
        <w:rPr/>
        <w:t>Which fund suits the client? Justify.</w:t>
      </w:r>
    </w:p>
    <w:p>
      <w:pPr>
        <w:spacing w:before="160"/>
      </w:pPr>
      <w:r>
        <w:rPr>
          <w:color w:val="595959"/>
          <w:sz w:val="18"/>
        </w:rPr>
        <w:t>Space for workings  ________________________________________________________________</w:t>
      </w:r>
    </w:p>
    <w:p>
      <w:pPr>
        <w:pStyle w:val="Heading2"/>
      </w:pPr>
      <w:r>
        <w:t>Case 4.7  Regression-Based Flexible Budget and Cost Variance Analysis</w:t>
      </w:r>
    </w:p>
    <w:p>
      <w:r>
        <w:rPr>
          <w:i/>
          <w:color w:val="1A7F8E"/>
          <w:sz w:val="18"/>
        </w:rPr>
        <w:t>Cost behaviour | Flexible budget | FP&amp;A | Graph</w:t>
      </w:r>
    </w:p>
    <w:p>
      <w:pPr>
        <w:keepNext/>
        <w:spacing w:before="160" w:after="60"/>
      </w:pPr>
      <w:r>
        <w:rPr>
          <w:b/>
          <w:color w:val="1A7F8E"/>
          <w:sz w:val="19"/>
        </w:rPr>
        <w:t>BACKGROUND</w:t>
      </w:r>
    </w:p>
    <w:p>
      <w:r>
        <w:rPr/>
        <w:t>The FP&amp;A team of a manufacturing plant uses regression to separate the fixed and variable elements of power cost. Eight months of data are below. For Month 9, the budget assumed 17,000 machine hours; actual activity was 19,000 hours and actual power cost was ₹13.90 lakh.</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474"/>
            <w:shd w:val="clear" w:color="auto" w:fill="1F3864"/>
          </w:tcPr>
          <w:p>
            <w:pPr>
              <w:spacing w:after="20" w:before="20"/>
            </w:pPr>
            <w:r/>
            <w:r>
              <w:rPr>
                <w:b/>
                <w:color w:val="FFFFFF"/>
                <w:sz w:val="17"/>
              </w:rPr>
              <w:t>Month</w:t>
            </w:r>
          </w:p>
        </w:tc>
        <w:tc>
          <w:tcPr>
            <w:tcW w:type="dxa" w:w="1020"/>
            <w:shd w:val="clear" w:color="auto" w:fill="1F3864"/>
          </w:tcPr>
          <w:p>
            <w:pPr>
              <w:spacing w:after="20" w:before="20"/>
            </w:pPr>
            <w:r/>
            <w:r>
              <w:rPr>
                <w:b/>
                <w:color w:val="FFFFFF"/>
                <w:sz w:val="17"/>
              </w:rPr>
              <w:t>M1</w:t>
            </w:r>
          </w:p>
        </w:tc>
        <w:tc>
          <w:tcPr>
            <w:tcW w:type="dxa" w:w="1020"/>
            <w:shd w:val="clear" w:color="auto" w:fill="1F3864"/>
          </w:tcPr>
          <w:p>
            <w:pPr>
              <w:spacing w:after="20" w:before="20"/>
            </w:pPr>
            <w:r/>
            <w:r>
              <w:rPr>
                <w:b/>
                <w:color w:val="FFFFFF"/>
                <w:sz w:val="17"/>
              </w:rPr>
              <w:t>M2</w:t>
            </w:r>
          </w:p>
        </w:tc>
        <w:tc>
          <w:tcPr>
            <w:tcW w:type="dxa" w:w="1020"/>
            <w:shd w:val="clear" w:color="auto" w:fill="1F3864"/>
          </w:tcPr>
          <w:p>
            <w:pPr>
              <w:spacing w:after="20" w:before="20"/>
            </w:pPr>
            <w:r/>
            <w:r>
              <w:rPr>
                <w:b/>
                <w:color w:val="FFFFFF"/>
                <w:sz w:val="17"/>
              </w:rPr>
              <w:t>M3</w:t>
            </w:r>
          </w:p>
        </w:tc>
        <w:tc>
          <w:tcPr>
            <w:tcW w:type="dxa" w:w="1020"/>
            <w:shd w:val="clear" w:color="auto" w:fill="1F3864"/>
          </w:tcPr>
          <w:p>
            <w:pPr>
              <w:spacing w:after="20" w:before="20"/>
            </w:pPr>
            <w:r/>
            <w:r>
              <w:rPr>
                <w:b/>
                <w:color w:val="FFFFFF"/>
                <w:sz w:val="17"/>
              </w:rPr>
              <w:t>M4</w:t>
            </w:r>
          </w:p>
        </w:tc>
        <w:tc>
          <w:tcPr>
            <w:tcW w:type="dxa" w:w="1020"/>
            <w:shd w:val="clear" w:color="auto" w:fill="1F3864"/>
          </w:tcPr>
          <w:p>
            <w:pPr>
              <w:spacing w:after="20" w:before="20"/>
            </w:pPr>
            <w:r/>
            <w:r>
              <w:rPr>
                <w:b/>
                <w:color w:val="FFFFFF"/>
                <w:sz w:val="17"/>
              </w:rPr>
              <w:t>M5</w:t>
            </w:r>
          </w:p>
        </w:tc>
        <w:tc>
          <w:tcPr>
            <w:tcW w:type="dxa" w:w="1020"/>
            <w:shd w:val="clear" w:color="auto" w:fill="1F3864"/>
          </w:tcPr>
          <w:p>
            <w:pPr>
              <w:spacing w:after="20" w:before="20"/>
            </w:pPr>
            <w:r/>
            <w:r>
              <w:rPr>
                <w:b/>
                <w:color w:val="FFFFFF"/>
                <w:sz w:val="17"/>
              </w:rPr>
              <w:t>M6</w:t>
            </w:r>
          </w:p>
        </w:tc>
        <w:tc>
          <w:tcPr>
            <w:tcW w:type="dxa" w:w="1020"/>
            <w:shd w:val="clear" w:color="auto" w:fill="1F3864"/>
          </w:tcPr>
          <w:p>
            <w:pPr>
              <w:spacing w:after="20" w:before="20"/>
            </w:pPr>
            <w:r/>
            <w:r>
              <w:rPr>
                <w:b/>
                <w:color w:val="FFFFFF"/>
                <w:sz w:val="17"/>
              </w:rPr>
              <w:t>M7</w:t>
            </w:r>
          </w:p>
        </w:tc>
        <w:tc>
          <w:tcPr>
            <w:tcW w:type="dxa" w:w="1020"/>
            <w:shd w:val="clear" w:color="auto" w:fill="1F3864"/>
          </w:tcPr>
          <w:p>
            <w:pPr>
              <w:spacing w:after="20" w:before="20"/>
            </w:pPr>
            <w:r/>
            <w:r>
              <w:rPr>
                <w:b/>
                <w:color w:val="FFFFFF"/>
                <w:sz w:val="17"/>
              </w:rPr>
              <w:t>M8</w:t>
            </w:r>
          </w:p>
        </w:tc>
      </w:tr>
      <w:tr>
        <w:tc>
          <w:tcPr>
            <w:tcW w:type="dxa" w:w="1474"/>
          </w:tcPr>
          <w:p>
            <w:pPr>
              <w:spacing w:after="20" w:before="20"/>
            </w:pPr>
            <w:r/>
            <w:r>
              <w:rPr>
                <w:b/>
                <w:sz w:val="17"/>
              </w:rPr>
              <w:t>Machine hours ('000)</w:t>
            </w:r>
          </w:p>
        </w:tc>
        <w:tc>
          <w:tcPr>
            <w:tcW w:type="dxa" w:w="1020"/>
          </w:tcPr>
          <w:p>
            <w:pPr>
              <w:spacing w:after="20" w:before="20"/>
              <w:jc w:val="center"/>
            </w:pPr>
            <w:r/>
            <w:r>
              <w:rPr>
                <w:sz w:val="17"/>
              </w:rPr>
              <w:t>12</w:t>
            </w:r>
          </w:p>
        </w:tc>
        <w:tc>
          <w:tcPr>
            <w:tcW w:type="dxa" w:w="1020"/>
          </w:tcPr>
          <w:p>
            <w:pPr>
              <w:spacing w:after="20" w:before="20"/>
              <w:jc w:val="center"/>
            </w:pPr>
            <w:r/>
            <w:r>
              <w:rPr>
                <w:sz w:val="17"/>
              </w:rPr>
              <w:t>15</w:t>
            </w:r>
          </w:p>
        </w:tc>
        <w:tc>
          <w:tcPr>
            <w:tcW w:type="dxa" w:w="1020"/>
          </w:tcPr>
          <w:p>
            <w:pPr>
              <w:spacing w:after="20" w:before="20"/>
              <w:jc w:val="center"/>
            </w:pPr>
            <w:r/>
            <w:r>
              <w:rPr>
                <w:sz w:val="17"/>
              </w:rPr>
              <w:t>10</w:t>
            </w:r>
          </w:p>
        </w:tc>
        <w:tc>
          <w:tcPr>
            <w:tcW w:type="dxa" w:w="1020"/>
          </w:tcPr>
          <w:p>
            <w:pPr>
              <w:spacing w:after="20" w:before="20"/>
              <w:jc w:val="center"/>
            </w:pPr>
            <w:r/>
            <w:r>
              <w:rPr>
                <w:sz w:val="17"/>
              </w:rPr>
              <w:t>18</w:t>
            </w:r>
          </w:p>
        </w:tc>
        <w:tc>
          <w:tcPr>
            <w:tcW w:type="dxa" w:w="1020"/>
          </w:tcPr>
          <w:p>
            <w:pPr>
              <w:spacing w:after="20" w:before="20"/>
              <w:jc w:val="center"/>
            </w:pPr>
            <w:r/>
            <w:r>
              <w:rPr>
                <w:sz w:val="17"/>
              </w:rPr>
              <w:t>14</w:t>
            </w:r>
          </w:p>
        </w:tc>
        <w:tc>
          <w:tcPr>
            <w:tcW w:type="dxa" w:w="1020"/>
          </w:tcPr>
          <w:p>
            <w:pPr>
              <w:spacing w:after="20" w:before="20"/>
              <w:jc w:val="center"/>
            </w:pPr>
            <w:r/>
            <w:r>
              <w:rPr>
                <w:sz w:val="17"/>
              </w:rPr>
              <w:t>20</w:t>
            </w:r>
          </w:p>
        </w:tc>
        <w:tc>
          <w:tcPr>
            <w:tcW w:type="dxa" w:w="1020"/>
          </w:tcPr>
          <w:p>
            <w:pPr>
              <w:spacing w:after="20" w:before="20"/>
              <w:jc w:val="center"/>
            </w:pPr>
            <w:r/>
            <w:r>
              <w:rPr>
                <w:sz w:val="17"/>
              </w:rPr>
              <w:t>16</w:t>
            </w:r>
          </w:p>
        </w:tc>
        <w:tc>
          <w:tcPr>
            <w:tcW w:type="dxa" w:w="1020"/>
          </w:tcPr>
          <w:p>
            <w:pPr>
              <w:spacing w:after="20" w:before="20"/>
              <w:jc w:val="center"/>
            </w:pPr>
            <w:r/>
            <w:r>
              <w:rPr>
                <w:sz w:val="17"/>
              </w:rPr>
              <w:t>11</w:t>
            </w:r>
          </w:p>
        </w:tc>
      </w:tr>
      <w:tr>
        <w:tc>
          <w:tcPr>
            <w:tcW w:type="dxa" w:w="1474"/>
            <w:shd w:val="clear" w:color="auto" w:fill="F3F6FA"/>
          </w:tcPr>
          <w:p>
            <w:pPr>
              <w:spacing w:after="20" w:before="20"/>
            </w:pPr>
            <w:r/>
            <w:r>
              <w:rPr>
                <w:b/>
                <w:sz w:val="17"/>
              </w:rPr>
              <w:t>Power cost (₹ lakh)</w:t>
            </w:r>
          </w:p>
        </w:tc>
        <w:tc>
          <w:tcPr>
            <w:tcW w:type="dxa" w:w="1020"/>
            <w:shd w:val="clear" w:color="auto" w:fill="F3F6FA"/>
          </w:tcPr>
          <w:p>
            <w:pPr>
              <w:spacing w:after="20" w:before="20"/>
              <w:jc w:val="center"/>
            </w:pPr>
            <w:r/>
            <w:r>
              <w:rPr>
                <w:sz w:val="17"/>
              </w:rPr>
              <w:t>9.8</w:t>
            </w:r>
          </w:p>
        </w:tc>
        <w:tc>
          <w:tcPr>
            <w:tcW w:type="dxa" w:w="1020"/>
            <w:shd w:val="clear" w:color="auto" w:fill="F3F6FA"/>
          </w:tcPr>
          <w:p>
            <w:pPr>
              <w:spacing w:after="20" w:before="20"/>
              <w:jc w:val="center"/>
            </w:pPr>
            <w:r/>
            <w:r>
              <w:rPr>
                <w:sz w:val="17"/>
              </w:rPr>
              <w:t>11.6</w:t>
            </w:r>
          </w:p>
        </w:tc>
        <w:tc>
          <w:tcPr>
            <w:tcW w:type="dxa" w:w="1020"/>
            <w:shd w:val="clear" w:color="auto" w:fill="F3F6FA"/>
          </w:tcPr>
          <w:p>
            <w:pPr>
              <w:spacing w:after="20" w:before="20"/>
              <w:jc w:val="center"/>
            </w:pPr>
            <w:r/>
            <w:r>
              <w:rPr>
                <w:sz w:val="17"/>
              </w:rPr>
              <w:t>8.7</w:t>
            </w:r>
          </w:p>
        </w:tc>
        <w:tc>
          <w:tcPr>
            <w:tcW w:type="dxa" w:w="1020"/>
            <w:shd w:val="clear" w:color="auto" w:fill="F3F6FA"/>
          </w:tcPr>
          <w:p>
            <w:pPr>
              <w:spacing w:after="20" w:before="20"/>
              <w:jc w:val="center"/>
            </w:pPr>
            <w:r/>
            <w:r>
              <w:rPr>
                <w:sz w:val="17"/>
              </w:rPr>
              <w:t>12.4</w:t>
            </w:r>
          </w:p>
        </w:tc>
        <w:tc>
          <w:tcPr>
            <w:tcW w:type="dxa" w:w="1020"/>
            <w:shd w:val="clear" w:color="auto" w:fill="F3F6FA"/>
          </w:tcPr>
          <w:p>
            <w:pPr>
              <w:spacing w:after="20" w:before="20"/>
              <w:jc w:val="center"/>
            </w:pPr>
            <w:r/>
            <w:r>
              <w:rPr>
                <w:sz w:val="17"/>
              </w:rPr>
              <w:t>11.2</w:t>
            </w:r>
          </w:p>
        </w:tc>
        <w:tc>
          <w:tcPr>
            <w:tcW w:type="dxa" w:w="1020"/>
            <w:shd w:val="clear" w:color="auto" w:fill="F3F6FA"/>
          </w:tcPr>
          <w:p>
            <w:pPr>
              <w:spacing w:after="20" w:before="20"/>
              <w:jc w:val="center"/>
            </w:pPr>
            <w:r/>
            <w:r>
              <w:rPr>
                <w:sz w:val="17"/>
              </w:rPr>
              <w:t>13.9</w:t>
            </w:r>
          </w:p>
        </w:tc>
        <w:tc>
          <w:tcPr>
            <w:tcW w:type="dxa" w:w="1020"/>
            <w:shd w:val="clear" w:color="auto" w:fill="F3F6FA"/>
          </w:tcPr>
          <w:p>
            <w:pPr>
              <w:spacing w:after="20" w:before="20"/>
              <w:jc w:val="center"/>
            </w:pPr>
            <w:r/>
            <w:r>
              <w:rPr>
                <w:sz w:val="17"/>
              </w:rPr>
              <w:t>11.5</w:t>
            </w:r>
          </w:p>
        </w:tc>
        <w:tc>
          <w:tcPr>
            <w:tcW w:type="dxa" w:w="1020"/>
            <w:shd w:val="clear" w:color="auto" w:fill="F3F6FA"/>
          </w:tcPr>
          <w:p>
            <w:pPr>
              <w:spacing w:after="20" w:before="20"/>
              <w:jc w:val="center"/>
            </w:pPr>
            <w:r/>
            <w:r>
              <w:rPr>
                <w:sz w:val="17"/>
              </w:rPr>
              <w:t>9.6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Estimate the cost function (fixed cost + variable cost per '000 hours) and R².</w:t>
      </w:r>
    </w:p>
    <w:p>
      <w:pPr>
        <w:spacing w:after="40"/>
        <w:ind w:left="454" w:hanging="454"/>
      </w:pPr>
      <w:r>
        <w:rPr>
          <w:b/>
          <w:color w:val="1F3864"/>
        </w:rPr>
        <w:t xml:space="preserve">(b)  </w:t>
      </w:r>
      <w:r>
        <w:rPr>
          <w:b/>
          <w:color w:val="C9A227"/>
        </w:rPr>
        <w:t xml:space="preserve">Graph task: </w:t>
      </w:r>
      <w:r>
        <w:rPr/>
        <w:t>plot the data with the fitted cost line and mark the Month 9 actual.</w:t>
      </w:r>
    </w:p>
    <w:p>
      <w:pPr>
        <w:spacing w:after="40"/>
        <w:ind w:left="454" w:hanging="454"/>
      </w:pPr>
      <w:r>
        <w:rPr>
          <w:b/>
          <w:color w:val="1F3864"/>
        </w:rPr>
        <w:t xml:space="preserve">(c)  </w:t>
      </w:r>
      <w:r>
        <w:rPr/>
        <w:t>Compute the static budget cost, flexible budget cost and actual cost for Month 9.</w:t>
      </w:r>
    </w:p>
    <w:p>
      <w:pPr>
        <w:spacing w:after="40"/>
        <w:ind w:left="454" w:hanging="454"/>
      </w:pPr>
      <w:r>
        <w:rPr>
          <w:b/>
          <w:color w:val="1F3864"/>
        </w:rPr>
        <w:t xml:space="preserve">(d)  </w:t>
      </w:r>
      <w:r>
        <w:rPr/>
        <w:t>Compute the volume variance and spending variance, and label each Favourable/Adverse.</w:t>
      </w:r>
    </w:p>
    <w:p>
      <w:pPr>
        <w:spacing w:after="40"/>
        <w:ind w:left="454" w:hanging="454"/>
      </w:pPr>
      <w:r>
        <w:rPr>
          <w:b/>
          <w:color w:val="1F3864"/>
        </w:rPr>
        <w:t xml:space="preserve">(e)  </w:t>
      </w:r>
      <w:r>
        <w:rPr/>
        <w:t>What should management investigate?</w:t>
      </w:r>
    </w:p>
    <w:p>
      <w:pPr>
        <w:spacing w:before="160"/>
      </w:pPr>
      <w:r>
        <w:rPr>
          <w:color w:val="595959"/>
          <w:sz w:val="18"/>
        </w:rPr>
        <w:t>Space for workings  ________________________________________________________________</w:t>
      </w:r>
    </w:p>
    <w:p>
      <w:pPr>
        <w:pStyle w:val="Heading2"/>
      </w:pPr>
      <w:r>
        <w:t>Case 4.8  ANOVA Table and Goodness of Fit</w:t>
      </w:r>
    </w:p>
    <w:p>
      <w:r>
        <w:rPr>
          <w:i/>
          <w:color w:val="1A7F8E"/>
          <w:sz w:val="18"/>
        </w:rPr>
        <w:t>ANOVA | F-test | Adjusted R²</w:t>
      </w:r>
    </w:p>
    <w:p>
      <w:pPr>
        <w:keepNext/>
        <w:spacing w:before="160" w:after="60"/>
      </w:pPr>
      <w:r>
        <w:rPr>
          <w:b/>
          <w:color w:val="1A7F8E"/>
          <w:sz w:val="19"/>
        </w:rPr>
        <w:t>BACKGROUND</w:t>
      </w:r>
    </w:p>
    <w:p>
      <w:r>
        <w:rPr/>
        <w:t>A credit analyst built a regression explaining a corporate bond spread (bps) using leverage and interest coverage for 60 issuers. The software output was partially lost; only the totals below survived.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Item</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Observations (n)</w:t>
            </w:r>
          </w:p>
        </w:tc>
        <w:tc>
          <w:tcPr>
            <w:tcW w:type="dxa" w:w="5386"/>
          </w:tcPr>
          <w:p>
            <w:pPr>
              <w:spacing w:after="20" w:before="20"/>
              <w:jc w:val="center"/>
            </w:pPr>
            <w:r/>
            <w:r>
              <w:rPr>
                <w:sz w:val="19"/>
              </w:rPr>
              <w:t>60</w:t>
            </w:r>
          </w:p>
        </w:tc>
      </w:tr>
      <w:tr>
        <w:tc>
          <w:tcPr>
            <w:tcW w:type="dxa" w:w="4252"/>
            <w:shd w:val="clear" w:color="auto" w:fill="F3F6FA"/>
          </w:tcPr>
          <w:p>
            <w:pPr>
              <w:spacing w:after="20" w:before="20"/>
            </w:pPr>
            <w:r/>
            <w:r>
              <w:rPr>
                <w:b/>
                <w:sz w:val="19"/>
              </w:rPr>
              <w:t>Explanatory variables (k)</w:t>
            </w:r>
          </w:p>
        </w:tc>
        <w:tc>
          <w:tcPr>
            <w:tcW w:type="dxa" w:w="5386"/>
            <w:shd w:val="clear" w:color="auto" w:fill="F3F6FA"/>
          </w:tcPr>
          <w:p>
            <w:pPr>
              <w:spacing w:after="20" w:before="20"/>
              <w:jc w:val="center"/>
            </w:pPr>
            <w:r/>
            <w:r>
              <w:rPr>
                <w:sz w:val="19"/>
              </w:rPr>
              <w:t>2</w:t>
            </w:r>
          </w:p>
        </w:tc>
      </w:tr>
      <w:tr>
        <w:tc>
          <w:tcPr>
            <w:tcW w:type="dxa" w:w="4252"/>
          </w:tcPr>
          <w:p>
            <w:pPr>
              <w:spacing w:after="20" w:before="20"/>
            </w:pPr>
            <w:r/>
            <w:r>
              <w:rPr>
                <w:b/>
                <w:sz w:val="19"/>
              </w:rPr>
              <w:t>Total sum of squares (SST)</w:t>
            </w:r>
          </w:p>
        </w:tc>
        <w:tc>
          <w:tcPr>
            <w:tcW w:type="dxa" w:w="5386"/>
          </w:tcPr>
          <w:p>
            <w:pPr>
              <w:spacing w:after="20" w:before="20"/>
              <w:jc w:val="center"/>
            </w:pPr>
            <w:r/>
            <w:r>
              <w:rPr>
                <w:sz w:val="19"/>
              </w:rPr>
              <w:t>450.0</w:t>
            </w:r>
          </w:p>
        </w:tc>
      </w:tr>
      <w:tr>
        <w:tc>
          <w:tcPr>
            <w:tcW w:type="dxa" w:w="4252"/>
            <w:shd w:val="clear" w:color="auto" w:fill="F3F6FA"/>
          </w:tcPr>
          <w:p>
            <w:pPr>
              <w:spacing w:after="20" w:before="20"/>
            </w:pPr>
            <w:r/>
            <w:r>
              <w:rPr>
                <w:b/>
                <w:sz w:val="19"/>
              </w:rPr>
              <w:t>Regression sum of squares (SSR)</w:t>
            </w:r>
          </w:p>
        </w:tc>
        <w:tc>
          <w:tcPr>
            <w:tcW w:type="dxa" w:w="5386"/>
            <w:shd w:val="clear" w:color="auto" w:fill="F3F6FA"/>
          </w:tcPr>
          <w:p>
            <w:pPr>
              <w:spacing w:after="20" w:before="20"/>
              <w:jc w:val="center"/>
            </w:pPr>
            <w:r/>
            <w:r>
              <w:rPr>
                <w:sz w:val="19"/>
              </w:rPr>
              <w:t>315.0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Reconstruct the full ANOVA table (SS, df, MS, F).</w:t>
      </w:r>
    </w:p>
    <w:p>
      <w:pPr>
        <w:spacing w:after="40"/>
        <w:ind w:left="454" w:hanging="454"/>
      </w:pPr>
      <w:r>
        <w:rPr>
          <w:b/>
          <w:color w:val="1F3864"/>
        </w:rPr>
        <w:t xml:space="preserve">(b)  </w:t>
      </w:r>
      <w:r>
        <w:rPr/>
        <w:t>Compute R², adjusted R² and the standard error of the regression.</w:t>
      </w:r>
    </w:p>
    <w:p>
      <w:pPr>
        <w:spacing w:after="40"/>
        <w:ind w:left="454" w:hanging="454"/>
      </w:pPr>
      <w:r>
        <w:rPr>
          <w:b/>
          <w:color w:val="1F3864"/>
        </w:rPr>
        <w:t xml:space="preserve">(c)  </w:t>
      </w:r>
      <w:r>
        <w:rPr/>
        <w:t>Test the overall significance of the model at 5% (F-critical ≈ 3.16).</w:t>
      </w:r>
    </w:p>
    <w:p>
      <w:pPr>
        <w:spacing w:after="40"/>
        <w:ind w:left="454" w:hanging="454"/>
      </w:pPr>
      <w:r>
        <w:rPr>
          <w:b/>
          <w:color w:val="1F3864"/>
        </w:rPr>
        <w:t xml:space="preserve">(d)  </w:t>
      </w:r>
      <w:r>
        <w:rPr/>
        <w:t>List three diagnostic checks before using the model for pricing.</w:t>
      </w:r>
    </w:p>
    <w:p>
      <w:pPr>
        <w:spacing w:before="160"/>
      </w:pPr>
      <w:r>
        <w:rPr>
          <w:color w:val="595959"/>
          <w:sz w:val="18"/>
        </w:rPr>
        <w:t>Space for workings  ________________________________________________________________</w:t>
      </w:r>
    </w:p>
    <w:p>
      <w:r>
        <w:br w:type="page"/>
      </w:r>
    </w:p>
    <w:p>
      <w:pPr>
        <w:pStyle w:val="Heading1"/>
      </w:pPr>
      <w:r>
        <w:t>Appendix A — Formula Sheet &amp; Excel Functions</w:t>
      </w:r>
    </w:p>
    <w:p>
      <w:pPr>
        <w:keepNext/>
        <w:spacing w:before="160" w:after="60"/>
      </w:pPr>
      <w:r>
        <w:rPr>
          <w:b/>
          <w:color w:val="1A7F8E"/>
          <w:sz w:val="19"/>
        </w:rPr>
        <w:t>STANDARD NORMAL CRITICAL VALUES (ONE-TAILED)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Confidence</w:t>
            </w:r>
          </w:p>
        </w:tc>
        <w:tc>
          <w:tcPr>
            <w:tcW w:type="dxa" w:w="1338"/>
            <w:shd w:val="clear" w:color="auto" w:fill="1F3864"/>
          </w:tcPr>
          <w:p>
            <w:pPr>
              <w:spacing w:after="20" w:before="20"/>
            </w:pPr>
            <w:r/>
            <w:r>
              <w:rPr>
                <w:b/>
                <w:color w:val="FFFFFF"/>
                <w:sz w:val="19"/>
              </w:rPr>
              <w:t>90%</w:t>
            </w:r>
          </w:p>
        </w:tc>
        <w:tc>
          <w:tcPr>
            <w:tcW w:type="dxa" w:w="1338"/>
            <w:shd w:val="clear" w:color="auto" w:fill="1F3864"/>
          </w:tcPr>
          <w:p>
            <w:pPr>
              <w:spacing w:after="20" w:before="20"/>
            </w:pPr>
            <w:r/>
            <w:r>
              <w:rPr>
                <w:b/>
                <w:color w:val="FFFFFF"/>
                <w:sz w:val="19"/>
              </w:rPr>
              <w:t>95%</w:t>
            </w:r>
          </w:p>
        </w:tc>
        <w:tc>
          <w:tcPr>
            <w:tcW w:type="dxa" w:w="1338"/>
            <w:shd w:val="clear" w:color="auto" w:fill="1F3864"/>
          </w:tcPr>
          <w:p>
            <w:pPr>
              <w:spacing w:after="20" w:before="20"/>
            </w:pPr>
            <w:r/>
            <w:r>
              <w:rPr>
                <w:b/>
                <w:color w:val="FFFFFF"/>
                <w:sz w:val="19"/>
              </w:rPr>
              <w:t>97.5%</w:t>
            </w:r>
          </w:p>
        </w:tc>
        <w:tc>
          <w:tcPr>
            <w:tcW w:type="dxa" w:w="1338"/>
            <w:shd w:val="clear" w:color="auto" w:fill="1F3864"/>
          </w:tcPr>
          <w:p>
            <w:pPr>
              <w:spacing w:after="20" w:before="20"/>
            </w:pPr>
            <w:r/>
            <w:r>
              <w:rPr>
                <w:b/>
                <w:color w:val="FFFFFF"/>
                <w:sz w:val="19"/>
              </w:rPr>
              <w:t>99%</w:t>
            </w:r>
          </w:p>
        </w:tc>
        <w:tc>
          <w:tcPr>
            <w:tcW w:type="dxa" w:w="1338"/>
            <w:shd w:val="clear" w:color="auto" w:fill="1F3864"/>
          </w:tcPr>
          <w:p>
            <w:pPr>
              <w:spacing w:after="20" w:before="20"/>
            </w:pPr>
            <w:r/>
            <w:r>
              <w:rPr>
                <w:b/>
                <w:color w:val="FFFFFF"/>
                <w:sz w:val="19"/>
              </w:rPr>
              <w:t>99.9%</w:t>
            </w:r>
          </w:p>
        </w:tc>
      </w:tr>
      <w:tr>
        <w:tc>
          <w:tcPr>
            <w:tcW w:type="dxa" w:w="2948"/>
          </w:tcPr>
          <w:p>
            <w:pPr>
              <w:spacing w:after="20" w:before="20"/>
            </w:pPr>
            <w:r/>
            <w:r>
              <w:rPr>
                <w:b/>
                <w:sz w:val="19"/>
              </w:rPr>
              <w:t>z</w:t>
            </w:r>
          </w:p>
        </w:tc>
        <w:tc>
          <w:tcPr>
            <w:tcW w:type="dxa" w:w="1338"/>
          </w:tcPr>
          <w:p>
            <w:pPr>
              <w:spacing w:after="20" w:before="20"/>
              <w:jc w:val="center"/>
            </w:pPr>
            <w:r/>
            <w:r>
              <w:rPr>
                <w:sz w:val="19"/>
              </w:rPr>
              <w:t>1.282</w:t>
            </w:r>
          </w:p>
        </w:tc>
        <w:tc>
          <w:tcPr>
            <w:tcW w:type="dxa" w:w="1338"/>
          </w:tcPr>
          <w:p>
            <w:pPr>
              <w:spacing w:after="20" w:before="20"/>
              <w:jc w:val="center"/>
            </w:pPr>
            <w:r/>
            <w:r>
              <w:rPr>
                <w:sz w:val="19"/>
              </w:rPr>
              <w:t>1.645</w:t>
            </w:r>
          </w:p>
        </w:tc>
        <w:tc>
          <w:tcPr>
            <w:tcW w:type="dxa" w:w="1338"/>
          </w:tcPr>
          <w:p>
            <w:pPr>
              <w:spacing w:after="20" w:before="20"/>
              <w:jc w:val="center"/>
            </w:pPr>
            <w:r/>
            <w:r>
              <w:rPr>
                <w:sz w:val="19"/>
              </w:rPr>
              <w:t>1.960</w:t>
            </w:r>
          </w:p>
        </w:tc>
        <w:tc>
          <w:tcPr>
            <w:tcW w:type="dxa" w:w="1338"/>
          </w:tcPr>
          <w:p>
            <w:pPr>
              <w:spacing w:after="20" w:before="20"/>
              <w:jc w:val="center"/>
            </w:pPr>
            <w:r/>
            <w:r>
              <w:rPr>
                <w:sz w:val="19"/>
              </w:rPr>
              <w:t>2.326</w:t>
            </w:r>
          </w:p>
        </w:tc>
        <w:tc>
          <w:tcPr>
            <w:tcW w:type="dxa" w:w="1338"/>
          </w:tcPr>
          <w:p>
            <w:pPr>
              <w:spacing w:after="20" w:before="20"/>
              <w:jc w:val="center"/>
            </w:pPr>
            <w:r/>
            <w:r>
              <w:rPr>
                <w:sz w:val="19"/>
              </w:rPr>
              <w:t>3.090</w:t>
            </w:r>
          </w:p>
        </w:tc>
      </w:tr>
    </w:tbl>
    <w:p>
      <w:pPr>
        <w:spacing w:after="40"/>
      </w:pPr>
    </w:p>
    <w:p>
      <w:pPr>
        <w:keepNext/>
        <w:spacing w:before="160" w:after="60"/>
      </w:pPr>
      <w:r>
        <w:rPr>
          <w:b/>
          <w:color w:val="1A7F8E"/>
          <w:sz w:val="19"/>
        </w:rPr>
        <w:t>EXCEL FUNCTIONS USED IN THIS WORKBOOK</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608"/>
            <w:shd w:val="clear" w:color="auto" w:fill="1F3864"/>
          </w:tcPr>
          <w:p>
            <w:pPr>
              <w:spacing w:after="20" w:before="20"/>
            </w:pPr>
            <w:r/>
            <w:r>
              <w:rPr>
                <w:b/>
                <w:color w:val="FFFFFF"/>
                <w:sz w:val="18"/>
              </w:rPr>
              <w:t>Function</w:t>
            </w:r>
          </w:p>
        </w:tc>
        <w:tc>
          <w:tcPr>
            <w:tcW w:type="dxa" w:w="3175"/>
            <w:shd w:val="clear" w:color="auto" w:fill="1F3864"/>
          </w:tcPr>
          <w:p>
            <w:pPr>
              <w:spacing w:after="20" w:before="20"/>
            </w:pPr>
            <w:r/>
            <w:r>
              <w:rPr>
                <w:b/>
                <w:color w:val="FFFFFF"/>
                <w:sz w:val="18"/>
              </w:rPr>
              <w:t>Purpose</w:t>
            </w:r>
          </w:p>
        </w:tc>
        <w:tc>
          <w:tcPr>
            <w:tcW w:type="dxa" w:w="3855"/>
            <w:shd w:val="clear" w:color="auto" w:fill="1F3864"/>
          </w:tcPr>
          <w:p>
            <w:pPr>
              <w:spacing w:after="20" w:before="20"/>
            </w:pPr>
            <w:r/>
            <w:r>
              <w:rPr>
                <w:b/>
                <w:color w:val="FFFFFF"/>
                <w:sz w:val="18"/>
              </w:rPr>
              <w:t>Example</w:t>
            </w:r>
          </w:p>
        </w:tc>
      </w:tr>
      <w:tr>
        <w:tc>
          <w:tcPr>
            <w:tcW w:type="dxa" w:w="2608"/>
          </w:tcPr>
          <w:p>
            <w:pPr>
              <w:spacing w:after="20" w:before="20"/>
            </w:pPr>
            <w:r/>
            <w:r>
              <w:rPr>
                <w:b/>
                <w:sz w:val="18"/>
              </w:rPr>
              <w:t>NORM.S.INV(p)</w:t>
            </w:r>
          </w:p>
        </w:tc>
        <w:tc>
          <w:tcPr>
            <w:tcW w:type="dxa" w:w="3175"/>
          </w:tcPr>
          <w:p>
            <w:pPr>
              <w:spacing w:after="20" w:before="20"/>
              <w:jc w:val="center"/>
            </w:pPr>
            <w:r/>
            <w:r>
              <w:rPr>
                <w:sz w:val="18"/>
              </w:rPr>
              <w:t>z-value for a confidence level</w:t>
            </w:r>
          </w:p>
        </w:tc>
        <w:tc>
          <w:tcPr>
            <w:tcW w:type="dxa" w:w="3855"/>
          </w:tcPr>
          <w:p>
            <w:pPr>
              <w:spacing w:after="20" w:before="20"/>
              <w:jc w:val="center"/>
            </w:pPr>
            <w:r/>
            <w:r>
              <w:rPr>
                <w:sz w:val="18"/>
              </w:rPr>
              <w:t>=NORM.S.INV(0.99) → 2.326</w:t>
            </w:r>
          </w:p>
        </w:tc>
      </w:tr>
      <w:tr>
        <w:tc>
          <w:tcPr>
            <w:tcW w:type="dxa" w:w="2608"/>
            <w:shd w:val="clear" w:color="auto" w:fill="F3F6FA"/>
          </w:tcPr>
          <w:p>
            <w:pPr>
              <w:spacing w:after="20" w:before="20"/>
            </w:pPr>
            <w:r/>
            <w:r>
              <w:rPr>
                <w:b/>
                <w:sz w:val="18"/>
              </w:rPr>
              <w:t>PERCENTILE.EXC / SMALL</w:t>
            </w:r>
          </w:p>
        </w:tc>
        <w:tc>
          <w:tcPr>
            <w:tcW w:type="dxa" w:w="3175"/>
            <w:shd w:val="clear" w:color="auto" w:fill="F3F6FA"/>
          </w:tcPr>
          <w:p>
            <w:pPr>
              <w:spacing w:after="20" w:before="20"/>
              <w:jc w:val="center"/>
            </w:pPr>
            <w:r/>
            <w:r>
              <w:rPr>
                <w:sz w:val="18"/>
              </w:rPr>
              <w:t>Historical VaR from a return series</w:t>
            </w:r>
          </w:p>
        </w:tc>
        <w:tc>
          <w:tcPr>
            <w:tcW w:type="dxa" w:w="3855"/>
            <w:shd w:val="clear" w:color="auto" w:fill="F3F6FA"/>
          </w:tcPr>
          <w:p>
            <w:pPr>
              <w:spacing w:after="20" w:before="20"/>
              <w:jc w:val="center"/>
            </w:pPr>
            <w:r/>
            <w:r>
              <w:rPr>
                <w:sz w:val="18"/>
              </w:rPr>
              <w:t>=-PERCENTILE.EXC(Returns, 0.01)</w:t>
            </w:r>
          </w:p>
        </w:tc>
      </w:tr>
      <w:tr>
        <w:tc>
          <w:tcPr>
            <w:tcW w:type="dxa" w:w="2608"/>
          </w:tcPr>
          <w:p>
            <w:pPr>
              <w:spacing w:after="20" w:before="20"/>
            </w:pPr>
            <w:r/>
            <w:r>
              <w:rPr>
                <w:b/>
                <w:sz w:val="18"/>
              </w:rPr>
              <w:t>BINOM.DIST</w:t>
            </w:r>
          </w:p>
        </w:tc>
        <w:tc>
          <w:tcPr>
            <w:tcW w:type="dxa" w:w="3175"/>
          </w:tcPr>
          <w:p>
            <w:pPr>
              <w:spacing w:after="20" w:before="20"/>
              <w:jc w:val="center"/>
            </w:pPr>
            <w:r/>
            <w:r>
              <w:rPr>
                <w:sz w:val="18"/>
              </w:rPr>
              <w:t>Backtesting exception probability</w:t>
            </w:r>
          </w:p>
        </w:tc>
        <w:tc>
          <w:tcPr>
            <w:tcW w:type="dxa" w:w="3855"/>
          </w:tcPr>
          <w:p>
            <w:pPr>
              <w:spacing w:after="20" w:before="20"/>
              <w:jc w:val="center"/>
            </w:pPr>
            <w:r/>
            <w:r>
              <w:rPr>
                <w:sz w:val="18"/>
              </w:rPr>
              <w:t>=1-BINOM.DIST(7,250,0.01,TRUE)</w:t>
            </w:r>
          </w:p>
        </w:tc>
      </w:tr>
      <w:tr>
        <w:tc>
          <w:tcPr>
            <w:tcW w:type="dxa" w:w="2608"/>
            <w:shd w:val="clear" w:color="auto" w:fill="F3F6FA"/>
          </w:tcPr>
          <w:p>
            <w:pPr>
              <w:spacing w:after="20" w:before="20"/>
            </w:pPr>
            <w:r/>
            <w:r>
              <w:rPr>
                <w:b/>
                <w:sz w:val="18"/>
              </w:rPr>
              <w:t>PRICE / MDURATION / DURATION</w:t>
            </w:r>
          </w:p>
        </w:tc>
        <w:tc>
          <w:tcPr>
            <w:tcW w:type="dxa" w:w="3175"/>
            <w:shd w:val="clear" w:color="auto" w:fill="F3F6FA"/>
          </w:tcPr>
          <w:p>
            <w:pPr>
              <w:spacing w:after="20" w:before="20"/>
              <w:jc w:val="center"/>
            </w:pPr>
            <w:r/>
            <w:r>
              <w:rPr>
                <w:sz w:val="18"/>
              </w:rPr>
              <w:t>Bond price and duration</w:t>
            </w:r>
          </w:p>
        </w:tc>
        <w:tc>
          <w:tcPr>
            <w:tcW w:type="dxa" w:w="3855"/>
            <w:shd w:val="clear" w:color="auto" w:fill="F3F6FA"/>
          </w:tcPr>
          <w:p>
            <w:pPr>
              <w:spacing w:after="20" w:before="20"/>
              <w:jc w:val="center"/>
            </w:pPr>
            <w:r/>
            <w:r>
              <w:rPr>
                <w:sz w:val="18"/>
              </w:rPr>
              <w:t>=MDURATION(settle, mat, 7.5%, 8%, 1)</w:t>
            </w:r>
          </w:p>
        </w:tc>
      </w:tr>
      <w:tr>
        <w:tc>
          <w:tcPr>
            <w:tcW w:type="dxa" w:w="2608"/>
          </w:tcPr>
          <w:p>
            <w:pPr>
              <w:spacing w:after="20" w:before="20"/>
            </w:pPr>
            <w:r/>
            <w:r>
              <w:rPr>
                <w:b/>
                <w:sz w:val="18"/>
              </w:rPr>
              <w:t>NORM.S.DIST</w:t>
            </w:r>
          </w:p>
        </w:tc>
        <w:tc>
          <w:tcPr>
            <w:tcW w:type="dxa" w:w="3175"/>
          </w:tcPr>
          <w:p>
            <w:pPr>
              <w:spacing w:after="20" w:before="20"/>
              <w:jc w:val="center"/>
            </w:pPr>
            <w:r/>
            <w:r>
              <w:rPr>
                <w:sz w:val="18"/>
              </w:rPr>
              <w:t>N(d₁), N(d₂) in Black–Scholes</w:t>
            </w:r>
          </w:p>
        </w:tc>
        <w:tc>
          <w:tcPr>
            <w:tcW w:type="dxa" w:w="3855"/>
          </w:tcPr>
          <w:p>
            <w:pPr>
              <w:spacing w:after="20" w:before="20"/>
              <w:jc w:val="center"/>
            </w:pPr>
            <w:r/>
            <w:r>
              <w:rPr>
                <w:sz w:val="18"/>
              </w:rPr>
              <w:t>=NORM.S.DIST(d1, TRUE)</w:t>
            </w:r>
          </w:p>
        </w:tc>
      </w:tr>
      <w:tr>
        <w:tc>
          <w:tcPr>
            <w:tcW w:type="dxa" w:w="2608"/>
            <w:shd w:val="clear" w:color="auto" w:fill="F3F6FA"/>
          </w:tcPr>
          <w:p>
            <w:pPr>
              <w:spacing w:after="20" w:before="20"/>
            </w:pPr>
            <w:r/>
            <w:r>
              <w:rPr>
                <w:b/>
                <w:sz w:val="18"/>
              </w:rPr>
              <w:t>SLOPE / INTERCEPT / RSQ</w:t>
            </w:r>
          </w:p>
        </w:tc>
        <w:tc>
          <w:tcPr>
            <w:tcW w:type="dxa" w:w="3175"/>
            <w:shd w:val="clear" w:color="auto" w:fill="F3F6FA"/>
          </w:tcPr>
          <w:p>
            <w:pPr>
              <w:spacing w:after="20" w:before="20"/>
              <w:jc w:val="center"/>
            </w:pPr>
            <w:r/>
            <w:r>
              <w:rPr>
                <w:sz w:val="18"/>
              </w:rPr>
              <w:t>Simple regression: beta, alpha, R²</w:t>
            </w:r>
          </w:p>
        </w:tc>
        <w:tc>
          <w:tcPr>
            <w:tcW w:type="dxa" w:w="3855"/>
            <w:shd w:val="clear" w:color="auto" w:fill="F3F6FA"/>
          </w:tcPr>
          <w:p>
            <w:pPr>
              <w:spacing w:after="20" w:before="20"/>
              <w:jc w:val="center"/>
            </w:pPr>
            <w:r/>
            <w:r>
              <w:rPr>
                <w:sz w:val="18"/>
              </w:rPr>
              <w:t>=SLOPE(Stock, Nifty)</w:t>
            </w:r>
          </w:p>
        </w:tc>
      </w:tr>
      <w:tr>
        <w:tc>
          <w:tcPr>
            <w:tcW w:type="dxa" w:w="2608"/>
          </w:tcPr>
          <w:p>
            <w:pPr>
              <w:spacing w:after="20" w:before="20"/>
            </w:pPr>
            <w:r/>
            <w:r>
              <w:rPr>
                <w:b/>
                <w:sz w:val="18"/>
              </w:rPr>
              <w:t>LINEST (dynamic array)</w:t>
            </w:r>
          </w:p>
        </w:tc>
        <w:tc>
          <w:tcPr>
            <w:tcW w:type="dxa" w:w="3175"/>
          </w:tcPr>
          <w:p>
            <w:pPr>
              <w:spacing w:after="20" w:before="20"/>
              <w:jc w:val="center"/>
            </w:pPr>
            <w:r/>
            <w:r>
              <w:rPr>
                <w:sz w:val="18"/>
              </w:rPr>
              <w:t>Full regression statistics</w:t>
            </w:r>
          </w:p>
        </w:tc>
        <w:tc>
          <w:tcPr>
            <w:tcW w:type="dxa" w:w="3855"/>
          </w:tcPr>
          <w:p>
            <w:pPr>
              <w:spacing w:after="20" w:before="20"/>
              <w:jc w:val="center"/>
            </w:pPr>
            <w:r/>
            <w:r>
              <w:rPr>
                <w:sz w:val="18"/>
              </w:rPr>
              <w:t>=LINEST(Y, X, TRUE, TRUE)</w:t>
            </w:r>
          </w:p>
        </w:tc>
      </w:tr>
      <w:tr>
        <w:tc>
          <w:tcPr>
            <w:tcW w:type="dxa" w:w="2608"/>
            <w:shd w:val="clear" w:color="auto" w:fill="F3F6FA"/>
          </w:tcPr>
          <w:p>
            <w:pPr>
              <w:spacing w:after="20" w:before="20"/>
            </w:pPr>
            <w:r/>
            <w:r>
              <w:rPr>
                <w:b/>
                <w:sz w:val="18"/>
              </w:rPr>
              <w:t>VAR.S / STDEV.S / COVARIANCE.S</w:t>
            </w:r>
          </w:p>
        </w:tc>
        <w:tc>
          <w:tcPr>
            <w:tcW w:type="dxa" w:w="3175"/>
            <w:shd w:val="clear" w:color="auto" w:fill="F3F6FA"/>
          </w:tcPr>
          <w:p>
            <w:pPr>
              <w:spacing w:after="20" w:before="20"/>
              <w:jc w:val="center"/>
            </w:pPr>
            <w:r/>
            <w:r>
              <w:rPr>
                <w:sz w:val="18"/>
              </w:rPr>
              <w:t>Sample variance, σ and covariance</w:t>
            </w:r>
          </w:p>
        </w:tc>
        <w:tc>
          <w:tcPr>
            <w:tcW w:type="dxa" w:w="3855"/>
            <w:shd w:val="clear" w:color="auto" w:fill="F3F6FA"/>
          </w:tcPr>
          <w:p>
            <w:pPr>
              <w:spacing w:after="20" w:before="20"/>
              <w:jc w:val="center"/>
            </w:pPr>
            <w:r/>
            <w:r>
              <w:rPr>
                <w:sz w:val="18"/>
              </w:rPr>
              <w:t>=STDEV.S(Returns)*SQRT(12)</w:t>
            </w:r>
          </w:p>
        </w:tc>
      </w:tr>
      <w:tr>
        <w:tc>
          <w:tcPr>
            <w:tcW w:type="dxa" w:w="2608"/>
          </w:tcPr>
          <w:p>
            <w:pPr>
              <w:spacing w:after="20" w:before="20"/>
            </w:pPr>
            <w:r/>
            <w:r>
              <w:rPr>
                <w:b/>
                <w:sz w:val="18"/>
              </w:rPr>
              <w:t>MMULT / TRANSPOSE</w:t>
            </w:r>
          </w:p>
        </w:tc>
        <w:tc>
          <w:tcPr>
            <w:tcW w:type="dxa" w:w="3175"/>
          </w:tcPr>
          <w:p>
            <w:pPr>
              <w:spacing w:after="20" w:before="20"/>
              <w:jc w:val="center"/>
            </w:pPr>
            <w:r/>
            <w:r>
              <w:rPr>
                <w:sz w:val="18"/>
              </w:rPr>
              <w:t>Portfolio variance wᵀΣw</w:t>
            </w:r>
          </w:p>
        </w:tc>
        <w:tc>
          <w:tcPr>
            <w:tcW w:type="dxa" w:w="3855"/>
          </w:tcPr>
          <w:p>
            <w:pPr>
              <w:spacing w:after="20" w:before="20"/>
              <w:jc w:val="center"/>
            </w:pPr>
            <w:r/>
            <w:r>
              <w:rPr>
                <w:sz w:val="18"/>
              </w:rPr>
              <w:t>=MMULT(TRANSPOSE(w), MMULT(Cov, w))</w:t>
            </w:r>
          </w:p>
        </w:tc>
      </w:tr>
    </w:tbl>
    <w:p>
      <w:pPr>
        <w:spacing w:after="40"/>
      </w:pPr>
    </w:p>
    <w:p>
      <w:pPr>
        <w:keepNext/>
        <w:spacing w:before="160" w:after="60"/>
      </w:pPr>
      <w:r>
        <w:rPr>
          <w:b/>
          <w:color w:val="1A7F8E"/>
          <w:sz w:val="19"/>
        </w:rPr>
        <w:t>RECOMMENDED READING</w:t>
      </w:r>
    </w:p>
    <w:p>
      <w:pPr>
        <w:pStyle w:val="ListBullet"/>
      </w:pPr>
      <w:r>
        <w:rPr/>
        <w:t>Philippe Jorion — *Value at Risk: The New Benchmark for Managing Financial Risk*.</w:t>
      </w:r>
    </w:p>
    <w:p>
      <w:pPr>
        <w:pStyle w:val="ListBullet"/>
      </w:pPr>
      <w:r>
        <w:rPr/>
        <w:t>John C. Hull — *Risk Management and Financial Institutions* and *Options, Futures, and Other Derivatives*.</w:t>
      </w:r>
    </w:p>
    <w:p>
      <w:pPr>
        <w:pStyle w:val="ListBullet"/>
      </w:pPr>
      <w:r>
        <w:rPr/>
        <w:t>Frank J. Fabozzi — *Bond Markets, Analysis and Strategies*.</w:t>
      </w:r>
    </w:p>
    <w:p>
      <w:pPr>
        <w:pStyle w:val="ListBullet"/>
      </w:pPr>
      <w:r>
        <w:rPr/>
        <w:t>Basel Committee on Banking Supervision — *Minimum capital requirements for market risk* (FRTB, January 2019).</w:t>
      </w:r>
    </w:p>
    <w:p>
      <w:pPr>
        <w:pStyle w:val="ListBullet"/>
      </w:pPr>
      <w:r>
        <w:rPr/>
        <w:t>Reserve Bank of India — Master Circular on Basel III Capital Regulations; Financial Stability Report (half-yearly).</w:t>
      </w:r>
    </w:p>
    <w:p>
      <w:pPr>
        <w:pStyle w:val="ListBullet"/>
      </w:pPr>
      <w:r>
        <w:rPr/>
        <w:t>GARP — FRM Part I (Quantitative Analysis, Valuation &amp; Risk Models) and Part II (Market Risk, Credit Risk) readings.</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 COMandFIN Edutech Pvt. Ltd.  |  www.comandfin.com  |  Page </w:t>
    </w:r>
    <w:r>
      <w:rPr>
        <w:color w:val="595959"/>
        <w:sz w:val="17"/>
      </w:rPr>
      <w:fldChar w:fldCharType="begin"/>
    </w:r>
    <w:r>
      <w:rPr>
        <w:color w:val="595959"/>
        <w:sz w:val="17"/>
      </w:rPr>
      <w:instrText xml:space="preserve">PAGE</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1F3864"/>
      </w:pBdr>
    </w:pPr>
    <w:r>
      <w:rPr>
        <w:color w:val="595959"/>
        <w:sz w:val="17"/>
      </w:rPr>
      <w:t>COMandFIN  |  Financial Risk Management Case Workbook  |  Student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eastAsia="Calibri" w:cs="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eastAsia="Calibri" w:cs="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Calibri" w:cs="Calibri"/>
      <w:b/>
      <w:bCs/>
      <w:color w:val="1A7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FRM Case Workbook — Student Edition</dc:title>
  <dc:subject/>
  <dc:creator>CA Ankit Bajaj, COMandFIN</dc:creator>
  <cp:keywords/>
  <dc:description>generated by python-docx</dc:description>
  <cp:lastModifiedBy/>
  <cp:revision>1</cp:revision>
  <dcterms:created xsi:type="dcterms:W3CDTF">2013-12-23T23:15:00Z</dcterms:created>
  <dcterms:modified xsi:type="dcterms:W3CDTF">2013-12-23T23:15:00Z</dcterms:modified>
  <cp:category/>
</cp:coreProperties>
</file>