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b/>
          <w:bCs/>
          <w:color w:val="0B1220"/>
          <w:sz w:val="48"/>
          <w:szCs w:val="48"/>
        </w:rPr>
        <w:t xml:space="preserve">ANÁLISIS DE CAPACIDAD PARA PRODUCCIÓN</w:t>
      </w:r>
    </w:p>
    <w:p>
      <w:pPr>
        <w:spacing w:after="600"/>
        <w:jc w:val="center"/>
      </w:pPr>
      <w:r>
        <w:rPr>
          <w:color w:val="F0B429"/>
          <w:sz w:val="28"/>
          <w:szCs w:val="28"/>
        </w:rPr>
        <w:t xml:space="preserve">Vercel Free + Supabase Free + GitHub Free</w:t>
      </w:r>
    </w:p>
    <w:p>
      <w:pPr>
        <w:pStyle w:val="Heading1"/>
      </w:pPr>
      <w:r>
        <w:t xml:space="preserve">1. Resumen Ejecutivo</w:t>
      </w:r>
    </w:p>
    <w:p>
      <w:pPr>
        <w:spacing w:after="200"/>
      </w:pPr>
      <w:r>
        <w:rPr>
          <w:sz w:val="24"/>
          <w:szCs w:val="24"/>
        </w:rPr>
        <w:t xml:space="preserve">Este análisis detalla la capacidad real del stack tecnológico gratuito para AETHEL OS, calculando específicamente cuántas empresas por industria pueden operar sin exceder los límites del tier gratuito. La conclusión principal es que el tier gratuito puede soportar un negocio en etapa inicial con hasta 25-30 empresas activas dependiendo de la combinación de industrias, lo cual es suficiente para validar el modelo de negocio y generar los primeros ingresos recurrentes antes de escalar a planes pagados.</w:t>
      </w:r>
    </w:p>
    <w:p>
      <w:pPr>
        <w:pStyle w:val="Heading1"/>
      </w:pPr>
      <w:r>
        <w:t xml:space="preserve">2. Límites Reales del Tier Gratuito</w:t>
      </w:r>
    </w:p>
    <w:p>
      <w:pPr>
        <w:pStyle w:val="Heading2"/>
      </w:pPr>
      <w:r>
        <w:t xml:space="preserve">2.1 Vercel Hobby (Free)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0B1220" w:sz="12"/>
              <w:left w:val="none"/>
              <w:bottom w:val="single" w:color="0B1220" w:sz="12"/>
              <w:right w:val="none"/>
            </w:tcBorders>
            <w:shd w:fill="F1F5F9" w:val="clear"/>
            <w:vAlign w:val="center"/>
          </w:tcPr>
          <w:p>
            <w:pPr>
              <w:jc w:val="center"/>
            </w:pPr>
            <w:r>
              <w:rPr>
                <w:b/>
                <w:bCs/>
                <w:sz w:val="22"/>
                <w:szCs w:val="22"/>
              </w:rPr>
              <w:t xml:space="preserve">Recurso</w:t>
            </w:r>
          </w:p>
        </w:tc>
        <w:tc>
          <w:tcPr>
            <w:tcW w:type="dxa" w:w="5860"/>
            <w:tcBorders>
              <w:top w:val="single" w:color="0B1220" w:sz="12"/>
              <w:left w:val="none"/>
              <w:bottom w:val="single" w:color="0B1220" w:sz="12"/>
              <w:right w:val="none"/>
            </w:tcBorders>
            <w:shd w:fill="F1F5F9" w:val="clear"/>
            <w:vAlign w:val="center"/>
          </w:tcPr>
          <w:p>
            <w:pPr>
              <w:jc w:val="center"/>
            </w:pPr>
            <w:r>
              <w:rPr>
                <w:b/>
                <w:bCs/>
                <w:sz w:val="22"/>
                <w:szCs w:val="22"/>
              </w:rPr>
              <w:t xml:space="preserve">Límite Gratuito</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r>
              <w:rPr>
                <w:sz w:val="22"/>
                <w:szCs w:val="22"/>
              </w:rPr>
              <w:t xml:space="preserve">100 GB/mes</w:t>
            </w:r>
          </w:p>
        </w:tc>
      </w:tr>
      <w:tr>
        <w:tc>
          <w:tcPr>
            <w:tcBorders>
              <w:top w:val="single" w:color="0B1220" w:sz="12"/>
              <w:left w:val="none"/>
              <w:bottom w:val="single" w:color="0B1220" w:sz="12"/>
              <w:right w:val="none"/>
            </w:tcBorders>
          </w:tcPr>
          <w:p>
            <w:r>
              <w:rPr>
                <w:sz w:val="22"/>
                <w:szCs w:val="22"/>
              </w:rPr>
              <w:t xml:space="preserve">Builds</w:t>
            </w:r>
          </w:p>
        </w:tc>
        <w:tc>
          <w:tcPr>
            <w:tcBorders>
              <w:top w:val="single" w:color="0B1220" w:sz="12"/>
              <w:left w:val="none"/>
              <w:bottom w:val="single" w:color="0B1220" w:sz="12"/>
              <w:right w:val="none"/>
            </w:tcBorders>
          </w:tcPr>
          <w:p>
            <w:r>
              <w:rPr>
                <w:sz w:val="22"/>
                <w:szCs w:val="22"/>
              </w:rPr>
              <w:t xml:space="preserve">6,000 minutos/mes</w:t>
            </w:r>
          </w:p>
        </w:tc>
      </w:tr>
      <w:tr>
        <w:tc>
          <w:tcPr>
            <w:tcBorders>
              <w:top w:val="single" w:color="0B1220" w:sz="12"/>
              <w:left w:val="none"/>
              <w:bottom w:val="single" w:color="0B1220" w:sz="12"/>
              <w:right w:val="none"/>
            </w:tcBorders>
          </w:tcPr>
          <w:p>
            <w:r>
              <w:rPr>
                <w:sz w:val="22"/>
                <w:szCs w:val="22"/>
              </w:rPr>
              <w:t xml:space="preserve">Funciones Serverless</w:t>
            </w:r>
          </w:p>
        </w:tc>
        <w:tc>
          <w:tcPr>
            <w:tcBorders>
              <w:top w:val="single" w:color="0B1220" w:sz="12"/>
              <w:left w:val="none"/>
              <w:bottom w:val="single" w:color="0B1220" w:sz="12"/>
              <w:right w:val="none"/>
            </w:tcBorders>
          </w:tcPr>
          <w:p>
            <w:r>
              <w:rPr>
                <w:sz w:val="22"/>
                <w:szCs w:val="22"/>
              </w:rPr>
              <w:t xml:space="preserve">100 GB-hora/mes</w:t>
            </w:r>
          </w:p>
        </w:tc>
      </w:tr>
      <w:tr>
        <w:tc>
          <w:tcPr>
            <w:tcBorders>
              <w:top w:val="single" w:color="0B1220" w:sz="12"/>
              <w:left w:val="none"/>
              <w:bottom w:val="single" w:color="0B1220" w:sz="12"/>
              <w:right w:val="none"/>
            </w:tcBorders>
          </w:tcPr>
          <w:p>
            <w:r>
              <w:rPr>
                <w:sz w:val="22"/>
                <w:szCs w:val="22"/>
              </w:rPr>
              <w:t xml:space="preserve">Dominios personalizados</w:t>
            </w:r>
          </w:p>
        </w:tc>
        <w:tc>
          <w:tcPr>
            <w:tcBorders>
              <w:top w:val="single" w:color="0B1220" w:sz="12"/>
              <w:left w:val="none"/>
              <w:bottom w:val="single" w:color="0B1220" w:sz="12"/>
              <w:right w:val="none"/>
            </w:tcBorders>
          </w:tcPr>
          <w:p>
            <w:r>
              <w:rPr>
                <w:sz w:val="22"/>
                <w:szCs w:val="22"/>
              </w:rPr>
              <w:t xml:space="preserve">Ilimitados (incluye SSL)</w:t>
            </w:r>
          </w:p>
        </w:tc>
      </w:tr>
      <w:tr>
        <w:tc>
          <w:tcPr>
            <w:tcBorders>
              <w:top w:val="single" w:color="0B1220" w:sz="12"/>
              <w:left w:val="none"/>
              <w:bottom w:val="single" w:color="0B1220" w:sz="12"/>
              <w:right w:val="none"/>
            </w:tcBorders>
          </w:tcPr>
          <w:p>
            <w:r>
              <w:rPr>
                <w:sz w:val="22"/>
                <w:szCs w:val="22"/>
              </w:rPr>
              <w:t xml:space="preserve">Tiempo de ejecución función</w:t>
            </w:r>
          </w:p>
        </w:tc>
        <w:tc>
          <w:tcPr>
            <w:tcBorders>
              <w:top w:val="single" w:color="0B1220" w:sz="12"/>
              <w:left w:val="none"/>
              <w:bottom w:val="single" w:color="0B1220" w:sz="12"/>
              <w:right w:val="none"/>
            </w:tcBorders>
          </w:tcPr>
          <w:p>
            <w:r>
              <w:rPr>
                <w:sz w:val="22"/>
                <w:szCs w:val="22"/>
              </w:rPr>
              <w:t xml:space="preserve">10 segundos máximo</w:t>
            </w:r>
          </w:p>
        </w:tc>
      </w:tr>
    </w:tbl>
    <w:p>
      <w:pPr>
        <w:spacing w:after="200"/>
      </w:pPr>
      <w:r>
        <w:rPr>
          <w:i/>
          <w:iCs/>
          <w:color w:val="2B2B2B"/>
          <w:sz w:val="18"/>
          <w:szCs w:val="18"/>
        </w:rPr>
        <w:t xml:space="preserve">Tabla 1: Límites de Vercel Hobby</w:t>
      </w:r>
    </w:p>
    <w:p>
      <w:pPr>
        <w:pStyle w:val="Heading2"/>
      </w:pPr>
      <w:r>
        <w:t xml:space="preserve">2.2 Supabase Free Tier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0B1220" w:sz="12"/>
              <w:left w:val="none"/>
              <w:bottom w:val="single" w:color="0B1220" w:sz="12"/>
              <w:right w:val="none"/>
            </w:tcBorders>
            <w:shd w:fill="F1F5F9" w:val="clear"/>
            <w:vAlign w:val="center"/>
          </w:tcPr>
          <w:p>
            <w:pPr>
              <w:jc w:val="center"/>
            </w:pPr>
            <w:r>
              <w:rPr>
                <w:b/>
                <w:bCs/>
                <w:sz w:val="22"/>
                <w:szCs w:val="22"/>
              </w:rPr>
              <w:t xml:space="preserve">Recurso</w:t>
            </w:r>
          </w:p>
        </w:tc>
        <w:tc>
          <w:tcPr>
            <w:tcW w:type="dxa" w:w="5860"/>
            <w:tcBorders>
              <w:top w:val="single" w:color="0B1220" w:sz="12"/>
              <w:left w:val="none"/>
              <w:bottom w:val="single" w:color="0B1220" w:sz="12"/>
              <w:right w:val="none"/>
            </w:tcBorders>
            <w:shd w:fill="F1F5F9" w:val="clear"/>
            <w:vAlign w:val="center"/>
          </w:tcPr>
          <w:p>
            <w:pPr>
              <w:jc w:val="center"/>
            </w:pPr>
            <w:r>
              <w:rPr>
                <w:b/>
                <w:bCs/>
                <w:sz w:val="22"/>
                <w:szCs w:val="22"/>
              </w:rPr>
              <w:t xml:space="preserve">Límite Gratuito</w:t>
            </w:r>
          </w:p>
        </w:tc>
      </w:tr>
      <w:tr>
        <w:tc>
          <w:tcPr>
            <w:tcBorders>
              <w:top w:val="single" w:color="0B1220" w:sz="12"/>
              <w:left w:val="none"/>
              <w:bottom w:val="single" w:color="0B1220" w:sz="12"/>
              <w:right w:val="none"/>
            </w:tcBorders>
          </w:tcPr>
          <w:p>
            <w:r>
              <w:rPr>
                <w:sz w:val="22"/>
                <w:szCs w:val="22"/>
              </w:rPr>
              <w:t xml:space="preserve">Almacenamiento base de datos</w:t>
            </w:r>
          </w:p>
        </w:tc>
        <w:tc>
          <w:tcPr>
            <w:tcBorders>
              <w:top w:val="single" w:color="0B1220" w:sz="12"/>
              <w:left w:val="none"/>
              <w:bottom w:val="single" w:color="0B1220" w:sz="12"/>
              <w:right w:val="none"/>
            </w:tcBorders>
          </w:tcPr>
          <w:p>
            <w:r>
              <w:rPr>
                <w:sz w:val="22"/>
                <w:szCs w:val="22"/>
              </w:rPr>
              <w:t xml:space="preserve">500 MB</w:t>
            </w:r>
          </w:p>
        </w:tc>
      </w:tr>
      <w:tr>
        <w:tc>
          <w:tcPr>
            <w:tcBorders>
              <w:top w:val="single" w:color="0B1220" w:sz="12"/>
              <w:left w:val="none"/>
              <w:bottom w:val="single" w:color="0B1220" w:sz="12"/>
              <w:right w:val="none"/>
            </w:tcBorders>
          </w:tcPr>
          <w:p>
            <w:r>
              <w:rPr>
                <w:sz w:val="22"/>
                <w:szCs w:val="22"/>
              </w:rPr>
              <w:t xml:space="preserve">Almacenamiento archivos</w:t>
            </w:r>
          </w:p>
        </w:tc>
        <w:tc>
          <w:tcPr>
            <w:tcBorders>
              <w:top w:val="single" w:color="0B1220" w:sz="12"/>
              <w:left w:val="none"/>
              <w:bottom w:val="single" w:color="0B1220" w:sz="12"/>
              <w:right w:val="none"/>
            </w:tcBorders>
          </w:tcPr>
          <w:p>
            <w:r>
              <w:rPr>
                <w:sz w:val="22"/>
                <w:szCs w:val="22"/>
              </w:rPr>
              <w:t xml:space="preserve">1 GB</w:t>
            </w:r>
          </w:p>
        </w:tc>
      </w:tr>
      <w:tr>
        <w:tc>
          <w:tcPr>
            <w:tcBorders>
              <w:top w:val="single" w:color="0B1220" w:sz="12"/>
              <w:left w:val="none"/>
              <w:bottom w:val="single" w:color="0B1220" w:sz="12"/>
              <w:right w:val="none"/>
            </w:tcBorders>
          </w:tcPr>
          <w:p>
            <w:r>
              <w:rPr>
                <w:sz w:val="22"/>
                <w:szCs w:val="22"/>
              </w:rPr>
              <w:t xml:space="preserve">Transferencia de datos</w:t>
            </w:r>
          </w:p>
        </w:tc>
        <w:tc>
          <w:tcPr>
            <w:tcBorders>
              <w:top w:val="single" w:color="0B1220" w:sz="12"/>
              <w:left w:val="none"/>
              <w:bottom w:val="single" w:color="0B1220" w:sz="12"/>
              <w:right w:val="none"/>
            </w:tcBorders>
          </w:tcPr>
          <w:p>
            <w:r>
              <w:rPr>
                <w:sz w:val="22"/>
                <w:szCs w:val="22"/>
              </w:rPr>
              <w:t xml:space="preserve">5 GB/mes</w:t>
            </w:r>
          </w:p>
        </w:tc>
      </w:tr>
      <w:tr>
        <w:tc>
          <w:tcPr>
            <w:tcBorders>
              <w:top w:val="single" w:color="0B1220" w:sz="12"/>
              <w:left w:val="none"/>
              <w:bottom w:val="single" w:color="0B1220" w:sz="12"/>
              <w:right w:val="none"/>
            </w:tcBorders>
          </w:tcPr>
          <w:p>
            <w:r>
              <w:rPr>
                <w:sz w:val="22"/>
                <w:szCs w:val="22"/>
              </w:rPr>
              <w:t xml:space="preserve">Conexiones concurrentes</w:t>
            </w:r>
          </w:p>
        </w:tc>
        <w:tc>
          <w:tcPr>
            <w:tcBorders>
              <w:top w:val="single" w:color="0B1220" w:sz="12"/>
              <w:left w:val="none"/>
              <w:bottom w:val="single" w:color="0B1220" w:sz="12"/>
              <w:right w:val="none"/>
            </w:tcBorders>
          </w:tcPr>
          <w:p>
            <w:r>
              <w:rPr>
                <w:sz w:val="22"/>
                <w:szCs w:val="22"/>
              </w:rPr>
              <w:t xml:space="preserve">60 conexiones directas, 200 pool</w:t>
            </w:r>
          </w:p>
        </w:tc>
      </w:tr>
      <w:tr>
        <w:tc>
          <w:tcPr>
            <w:tcBorders>
              <w:top w:val="single" w:color="0B1220" w:sz="12"/>
              <w:left w:val="none"/>
              <w:bottom w:val="single" w:color="0B1220" w:sz="12"/>
              <w:right w:val="none"/>
            </w:tcBorders>
          </w:tcPr>
          <w:p>
            <w:r>
              <w:rPr>
                <w:sz w:val="22"/>
                <w:szCs w:val="22"/>
              </w:rPr>
              <w:t xml:space="preserve">Proyectos activos</w:t>
            </w:r>
          </w:p>
        </w:tc>
        <w:tc>
          <w:tcPr>
            <w:tcBorders>
              <w:top w:val="single" w:color="0B1220" w:sz="12"/>
              <w:left w:val="none"/>
              <w:bottom w:val="single" w:color="0B1220" w:sz="12"/>
              <w:right w:val="none"/>
            </w:tcBorders>
          </w:tcPr>
          <w:p>
            <w:r>
              <w:rPr>
                <w:sz w:val="22"/>
                <w:szCs w:val="22"/>
              </w:rPr>
              <w:t xml:space="preserve">2 proyectos (pausados tras 1 sem inactivos)</w:t>
            </w:r>
          </w:p>
        </w:tc>
      </w:tr>
      <w:tr>
        <w:tc>
          <w:tcPr>
            <w:tcBorders>
              <w:top w:val="single" w:color="0B1220" w:sz="12"/>
              <w:left w:val="none"/>
              <w:bottom w:val="single" w:color="0B1220" w:sz="12"/>
              <w:right w:val="none"/>
            </w:tcBorders>
          </w:tcPr>
          <w:p>
            <w:r>
              <w:rPr>
                <w:sz w:val="22"/>
                <w:szCs w:val="22"/>
              </w:rPr>
              <w:t xml:space="preserve">Edge Functions</w:t>
            </w:r>
          </w:p>
        </w:tc>
        <w:tc>
          <w:tcPr>
            <w:tcBorders>
              <w:top w:val="single" w:color="0B1220" w:sz="12"/>
              <w:left w:val="none"/>
              <w:bottom w:val="single" w:color="0B1220" w:sz="12"/>
              <w:right w:val="none"/>
            </w:tcBorders>
          </w:tcPr>
          <w:p>
            <w:r>
              <w:rPr>
                <w:sz w:val="22"/>
                <w:szCs w:val="22"/>
              </w:rPr>
              <w:t xml:space="preserve">500,000 invocaciones/mes</w:t>
            </w:r>
          </w:p>
        </w:tc>
      </w:tr>
      <w:tr>
        <w:tc>
          <w:tcPr>
            <w:tcBorders>
              <w:top w:val="single" w:color="0B1220" w:sz="12"/>
              <w:left w:val="none"/>
              <w:bottom w:val="single" w:color="0B1220" w:sz="12"/>
              <w:right w:val="none"/>
            </w:tcBorders>
          </w:tcPr>
          <w:p>
            <w:r>
              <w:rPr>
                <w:sz w:val="22"/>
                <w:szCs w:val="22"/>
              </w:rPr>
              <w:t xml:space="preserve">Auth (usuarios)</w:t>
            </w:r>
          </w:p>
        </w:tc>
        <w:tc>
          <w:tcPr>
            <w:tcBorders>
              <w:top w:val="single" w:color="0B1220" w:sz="12"/>
              <w:left w:val="none"/>
              <w:bottom w:val="single" w:color="0B1220" w:sz="12"/>
              <w:right w:val="none"/>
            </w:tcBorders>
          </w:tcPr>
          <w:p>
            <w:r>
              <w:rPr>
                <w:sz w:val="22"/>
                <w:szCs w:val="22"/>
              </w:rPr>
              <w:t xml:space="preserve">50,000 usuarios MAU</w:t>
            </w:r>
          </w:p>
        </w:tc>
      </w:tr>
      <w:tr>
        <w:tc>
          <w:tcPr>
            <w:tcBorders>
              <w:top w:val="single" w:color="0B1220" w:sz="12"/>
              <w:left w:val="none"/>
              <w:bottom w:val="single" w:color="0B1220" w:sz="12"/>
              <w:right w:val="none"/>
            </w:tcBorders>
          </w:tcPr>
          <w:p>
            <w:r>
              <w:rPr>
                <w:sz w:val="22"/>
                <w:szCs w:val="22"/>
              </w:rPr>
              <w:t xml:space="preserve">Realtime conexiones</w:t>
            </w:r>
          </w:p>
        </w:tc>
        <w:tc>
          <w:tcPr>
            <w:tcBorders>
              <w:top w:val="single" w:color="0B1220" w:sz="12"/>
              <w:left w:val="none"/>
              <w:bottom w:val="single" w:color="0B1220" w:sz="12"/>
              <w:right w:val="none"/>
            </w:tcBorders>
          </w:tcPr>
          <w:p>
            <w:r>
              <w:rPr>
                <w:sz w:val="22"/>
                <w:szCs w:val="22"/>
              </w:rPr>
              <w:t xml:space="preserve">200 concurrentes</w:t>
            </w:r>
          </w:p>
        </w:tc>
      </w:tr>
    </w:tbl>
    <w:p>
      <w:pPr>
        <w:spacing w:after="200"/>
      </w:pPr>
      <w:r>
        <w:rPr>
          <w:i/>
          <w:iCs/>
          <w:color w:val="2B2B2B"/>
          <w:sz w:val="18"/>
          <w:szCs w:val="18"/>
        </w:rPr>
        <w:t xml:space="preserve">Tabla 2: Límites de Supabase Free</w:t>
      </w:r>
    </w:p>
    <w:p>
      <w:pPr>
        <w:pStyle w:val="Heading2"/>
      </w:pPr>
      <w:r>
        <w:t xml:space="preserve">2.3 GitHub Free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0B1220" w:sz="12"/>
              <w:left w:val="none"/>
              <w:bottom w:val="single" w:color="0B1220" w:sz="12"/>
              <w:right w:val="none"/>
            </w:tcBorders>
            <w:shd w:fill="F1F5F9" w:val="clear"/>
            <w:vAlign w:val="center"/>
          </w:tcPr>
          <w:p>
            <w:pPr>
              <w:jc w:val="center"/>
            </w:pPr>
            <w:r>
              <w:rPr>
                <w:b/>
                <w:bCs/>
                <w:sz w:val="22"/>
                <w:szCs w:val="22"/>
              </w:rPr>
              <w:t xml:space="preserve">Recurso</w:t>
            </w:r>
          </w:p>
        </w:tc>
        <w:tc>
          <w:tcPr>
            <w:tcW w:type="dxa" w:w="5860"/>
            <w:tcBorders>
              <w:top w:val="single" w:color="0B1220" w:sz="12"/>
              <w:left w:val="none"/>
              <w:bottom w:val="single" w:color="0B1220" w:sz="12"/>
              <w:right w:val="none"/>
            </w:tcBorders>
            <w:shd w:fill="F1F5F9" w:val="clear"/>
            <w:vAlign w:val="center"/>
          </w:tcPr>
          <w:p>
            <w:pPr>
              <w:jc w:val="center"/>
            </w:pPr>
            <w:r>
              <w:rPr>
                <w:b/>
                <w:bCs/>
                <w:sz w:val="22"/>
                <w:szCs w:val="22"/>
              </w:rPr>
              <w:t xml:space="preserve">Límite Gratuito</w:t>
            </w:r>
          </w:p>
        </w:tc>
      </w:tr>
      <w:tr>
        <w:tc>
          <w:tcPr>
            <w:tcBorders>
              <w:top w:val="single" w:color="0B1220" w:sz="12"/>
              <w:left w:val="none"/>
              <w:bottom w:val="single" w:color="0B1220" w:sz="12"/>
              <w:right w:val="none"/>
            </w:tcBorders>
          </w:tcPr>
          <w:p>
            <w:r>
              <w:rPr>
                <w:sz w:val="22"/>
                <w:szCs w:val="22"/>
              </w:rPr>
              <w:t xml:space="preserve">Repositorios privados</w:t>
            </w:r>
          </w:p>
        </w:tc>
        <w:tc>
          <w:tcPr>
            <w:tcBorders>
              <w:top w:val="single" w:color="0B1220" w:sz="12"/>
              <w:left w:val="none"/>
              <w:bottom w:val="single" w:color="0B1220" w:sz="12"/>
              <w:right w:val="none"/>
            </w:tcBorders>
          </w:tcPr>
          <w:p>
            <w:r>
              <w:rPr>
                <w:sz w:val="22"/>
                <w:szCs w:val="22"/>
              </w:rPr>
              <w:t xml:space="preserve">Ilimitados</w:t>
            </w:r>
          </w:p>
        </w:tc>
      </w:tr>
      <w:tr>
        <w:tc>
          <w:tcPr>
            <w:tcBorders>
              <w:top w:val="single" w:color="0B1220" w:sz="12"/>
              <w:left w:val="none"/>
              <w:bottom w:val="single" w:color="0B1220" w:sz="12"/>
              <w:right w:val="none"/>
            </w:tcBorders>
          </w:tcPr>
          <w:p>
            <w:r>
              <w:rPr>
                <w:sz w:val="22"/>
                <w:szCs w:val="22"/>
              </w:rPr>
              <w:t xml:space="preserve">Almacenamiento</w:t>
            </w:r>
          </w:p>
        </w:tc>
        <w:tc>
          <w:tcPr>
            <w:tcBorders>
              <w:top w:val="single" w:color="0B1220" w:sz="12"/>
              <w:left w:val="none"/>
              <w:bottom w:val="single" w:color="0B1220" w:sz="12"/>
              <w:right w:val="none"/>
            </w:tcBorders>
          </w:tcPr>
          <w:p>
            <w:r>
              <w:rPr>
                <w:sz w:val="22"/>
                <w:szCs w:val="22"/>
              </w:rPr>
              <w:t xml:space="preserve">500 MB por repositorio</w:t>
            </w:r>
          </w:p>
        </w:tc>
      </w:tr>
      <w:tr>
        <w:tc>
          <w:tcPr>
            <w:tcBorders>
              <w:top w:val="single" w:color="0B1220" w:sz="12"/>
              <w:left w:val="none"/>
              <w:bottom w:val="single" w:color="0B1220" w:sz="12"/>
              <w:right w:val="none"/>
            </w:tcBorders>
          </w:tcPr>
          <w:p>
            <w:r>
              <w:rPr>
                <w:sz w:val="22"/>
                <w:szCs w:val="22"/>
              </w:rPr>
              <w:t xml:space="preserve">GitHub Actions</w:t>
            </w:r>
          </w:p>
        </w:tc>
        <w:tc>
          <w:tcPr>
            <w:tcBorders>
              <w:top w:val="single" w:color="0B1220" w:sz="12"/>
              <w:left w:val="none"/>
              <w:bottom w:val="single" w:color="0B1220" w:sz="12"/>
              <w:right w:val="none"/>
            </w:tcBorders>
          </w:tcPr>
          <w:p>
            <w:r>
              <w:rPr>
                <w:sz w:val="22"/>
                <w:szCs w:val="22"/>
              </w:rPr>
              <w:t xml:space="preserve">2,000 minutos/mes</w:t>
            </w:r>
          </w:p>
        </w:tc>
      </w:tr>
      <w:tr>
        <w:tc>
          <w:tcPr>
            <w:tcBorders>
              <w:top w:val="single" w:color="0B1220" w:sz="12"/>
              <w:left w:val="none"/>
              <w:bottom w:val="single" w:color="0B1220" w:sz="12"/>
              <w:right w:val="none"/>
            </w:tcBorders>
          </w:tcPr>
          <w:p>
            <w:r>
              <w:rPr>
                <w:sz w:val="22"/>
                <w:szCs w:val="22"/>
              </w:rPr>
              <w:t xml:space="preserve">Pages</w:t>
            </w:r>
          </w:p>
        </w:tc>
        <w:tc>
          <w:tcPr>
            <w:tcBorders>
              <w:top w:val="single" w:color="0B1220" w:sz="12"/>
              <w:left w:val="none"/>
              <w:bottom w:val="single" w:color="0B1220" w:sz="12"/>
              <w:right w:val="none"/>
            </w:tcBorders>
          </w:tcPr>
          <w:p>
            <w:r>
              <w:rPr>
                <w:sz w:val="22"/>
                <w:szCs w:val="22"/>
              </w:rPr>
              <w:t xml:space="preserve">1 sitio por cuenta</w:t>
            </w:r>
          </w:p>
        </w:tc>
      </w:tr>
    </w:tbl>
    <w:p>
      <w:pPr>
        <w:spacing w:after="400"/>
      </w:pPr>
      <w:r>
        <w:rPr>
          <w:i/>
          <w:iCs/>
          <w:color w:val="2B2B2B"/>
          <w:sz w:val="18"/>
          <w:szCs w:val="18"/>
        </w:rPr>
        <w:t xml:space="preserve">Tabla 3: Límites de GitHub Free</w:t>
      </w:r>
    </w:p>
    <w:p>
      <w:pPr>
        <w:pStyle w:val="Heading1"/>
      </w:pPr>
      <w:r>
        <w:t xml:space="preserve">3. Análisis de Consumo por Industria</w:t>
      </w:r>
    </w:p>
    <w:p>
      <w:pPr>
        <w:spacing w:after="200"/>
      </w:pPr>
      <w:r>
        <w:rPr>
          <w:sz w:val="24"/>
          <w:szCs w:val="24"/>
        </w:rPr>
        <w:t xml:space="preserve">A continuación se presenta el análisis detallado de consumo estimado por cada industria soportada por AETHEL OS. Los cálculos se basan en escenarios de operación 'medio-alto' donde cada empresa tiene una clientela activa y realiza transacciones regulares.</w:t>
      </w:r>
    </w:p>
    <w:p>
      <w:pPr>
        <w:pStyle w:val="Heading2"/>
      </w:pPr>
      <w:r>
        <w:t xml:space="preserve">3.1 Pastelerías y Panaderías</w:t>
      </w:r>
    </w:p>
    <w:p>
      <w:pPr>
        <w:spacing w:after="150"/>
      </w:pPr>
      <w:r>
        <w:rPr>
          <w:sz w:val="24"/>
          <w:szCs w:val="24"/>
        </w:rPr>
        <w:t xml:space="preserve">Escenario medio-alto: 80-120 pedidos diarios, inventario de 150-200 productos, catálogo público activo.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 (estimado)</w:t>
            </w:r>
          </w:p>
        </w:tc>
        <w:tc>
          <w:tcPr>
            <w:tcBorders>
              <w:top w:val="single" w:color="0B1220" w:sz="12"/>
              <w:left w:val="none"/>
              <w:bottom w:val="single" w:color="0B1220" w:sz="12"/>
              <w:right w:val="none"/>
            </w:tcBorders>
          </w:tcPr>
          <w:p>
            <w:pPr>
              <w:jc w:val="center"/>
            </w:pPr>
            <w:r>
              <w:rPr>
                <w:sz w:val="22"/>
                <w:szCs w:val="22"/>
              </w:rPr>
              <w:t xml:space="preserve">200-300</w:t>
            </w:r>
          </w:p>
        </w:tc>
        <w:tc>
          <w:tcPr>
            <w:tcBorders>
              <w:top w:val="single" w:color="0B1220" w:sz="12"/>
              <w:left w:val="none"/>
              <w:bottom w:val="single" w:color="0B1220" w:sz="12"/>
              <w:right w:val="none"/>
            </w:tcBorders>
          </w:tcPr>
          <w:p>
            <w:pPr>
              <w:jc w:val="center"/>
            </w:pPr>
            <w:r>
              <w:rPr>
                <w:sz w:val="22"/>
                <w:szCs w:val="22"/>
              </w:rPr>
              <w:t xml:space="preserve">~8 MB</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pPr>
              <w:jc w:val="center"/>
            </w:pPr>
            <w:r>
              <w:rPr>
                <w:sz w:val="22"/>
                <w:szCs w:val="22"/>
              </w:rPr>
              <w:t xml:space="preserve">50-80 MB</w:t>
            </w:r>
          </w:p>
        </w:tc>
        <w:tc>
          <w:tcPr>
            <w:tcBorders>
              <w:top w:val="single" w:color="0B1220" w:sz="12"/>
              <w:left w:val="none"/>
              <w:bottom w:val="single" w:color="0B1220" w:sz="12"/>
              <w:right w:val="none"/>
            </w:tcBorders>
          </w:tcPr>
          <w:p>
            <w:pPr>
              <w:jc w:val="center"/>
            </w:pPr>
            <w:r>
              <w:rPr>
                <w:sz w:val="22"/>
                <w:szCs w:val="22"/>
              </w:rPr>
              <w:t xml:space="preserve">1.5-2.4 GB</w:t>
            </w:r>
          </w:p>
        </w:tc>
      </w:tr>
      <w:tr>
        <w:tc>
          <w:tcPr>
            <w:tcBorders>
              <w:top w:val="single" w:color="0B1220" w:sz="12"/>
              <w:left w:val="none"/>
              <w:bottom w:val="single" w:color="0B1220" w:sz="12"/>
              <w:right w:val="none"/>
            </w:tcBorders>
          </w:tcPr>
          <w:p>
            <w:r>
              <w:rPr>
                <w:sz w:val="22"/>
                <w:szCs w:val="22"/>
              </w:rPr>
              <w:t xml:space="preserve">API calls</w:t>
            </w:r>
          </w:p>
        </w:tc>
        <w:tc>
          <w:tcPr>
            <w:tcBorders>
              <w:top w:val="single" w:color="0B1220" w:sz="12"/>
              <w:left w:val="none"/>
              <w:bottom w:val="single" w:color="0B1220" w:sz="12"/>
              <w:right w:val="none"/>
            </w:tcBorders>
          </w:tcPr>
          <w:p>
            <w:pPr>
              <w:jc w:val="center"/>
            </w:pPr>
            <w:r>
              <w:rPr>
                <w:sz w:val="22"/>
                <w:szCs w:val="22"/>
              </w:rPr>
              <w:t xml:space="preserve">1,500-2,500</w:t>
            </w:r>
          </w:p>
        </w:tc>
        <w:tc>
          <w:tcPr>
            <w:tcBorders>
              <w:top w:val="single" w:color="0B1220" w:sz="12"/>
              <w:left w:val="none"/>
              <w:bottom w:val="single" w:color="0B1220" w:sz="12"/>
              <w:right w:val="none"/>
            </w:tcBorders>
          </w:tcPr>
          <w:p>
            <w:pPr>
              <w:jc w:val="center"/>
            </w:pPr>
            <w:r>
              <w:rPr>
                <w:sz w:val="22"/>
                <w:szCs w:val="22"/>
              </w:rPr>
              <w:t xml:space="preserve">45,000-75,000</w:t>
            </w:r>
          </w:p>
        </w:tc>
      </w:tr>
      <w:tr>
        <w:tc>
          <w:tcPr>
            <w:tcBorders>
              <w:top w:val="single" w:color="0B1220" w:sz="12"/>
              <w:left w:val="none"/>
              <w:bottom w:val="single" w:color="0B1220" w:sz="12"/>
              <w:right w:val="none"/>
            </w:tcBorders>
          </w:tcPr>
          <w:p>
            <w:r>
              <w:rPr>
                <w:sz w:val="22"/>
                <w:szCs w:val="22"/>
              </w:rPr>
              <w:t xml:space="preserve">Almacenamiento archivos (fotos)</w:t>
            </w:r>
          </w:p>
        </w:tc>
        <w:tc>
          <w:tcPr>
            <w:tcBorders>
              <w:top w:val="single" w:color="0B1220" w:sz="12"/>
              <w:left w:val="none"/>
              <w:bottom w:val="single" w:color="0B1220" w:sz="12"/>
              <w:right w:val="none"/>
            </w:tcBorders>
          </w:tcPr>
          <w:p>
            <w:pPr>
              <w:jc w:val="center"/>
            </w:pPr>
            <w:r>
              <w:rPr>
                <w:sz w:val="22"/>
                <w:szCs w:val="22"/>
              </w:rPr>
              <w:t xml:space="preserve">5-10 MB</w:t>
            </w:r>
          </w:p>
        </w:tc>
        <w:tc>
          <w:tcPr>
            <w:tcBorders>
              <w:top w:val="single" w:color="0B1220" w:sz="12"/>
              <w:left w:val="none"/>
              <w:bottom w:val="single" w:color="0B1220" w:sz="12"/>
              <w:right w:val="none"/>
            </w:tcBorders>
          </w:tcPr>
          <w:p>
            <w:pPr>
              <w:jc w:val="center"/>
            </w:pPr>
            <w:r>
              <w:rPr>
                <w:sz w:val="22"/>
                <w:szCs w:val="22"/>
              </w:rPr>
              <w:t xml:space="preserve">150-300 MB</w:t>
            </w:r>
          </w:p>
        </w:tc>
      </w:tr>
    </w:tbl>
    <w:p>
      <w:pPr>
        <w:spacing w:after="300"/>
      </w:pPr>
      <w:r>
        <w:rPr>
          <w:b/>
          <w:bCs/>
          <w:color w:val="34D399"/>
          <w:sz w:val="24"/>
          <w:szCs w:val="24"/>
        </w:rPr>
        <w:t xml:space="preserve">CAPACIDAD ESTIMADA: 30-35 pastelerías en tier gratuito</w:t>
      </w:r>
    </w:p>
    <w:p>
      <w:pPr>
        <w:pStyle w:val="Heading2"/>
      </w:pPr>
      <w:r>
        <w:t xml:space="preserve">3.2 Clínicas y Centros Médicos</w:t>
      </w:r>
    </w:p>
    <w:p>
      <w:pPr>
        <w:spacing w:after="150"/>
      </w:pPr>
      <w:r>
        <w:rPr>
          <w:sz w:val="24"/>
          <w:szCs w:val="24"/>
        </w:rPr>
        <w:t xml:space="preserve">Escenario medio-alto: 50-80 consultas diarias, historiales médicos, telemedicina activa.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 (pacientes, citas)</w:t>
            </w:r>
          </w:p>
        </w:tc>
        <w:tc>
          <w:tcPr>
            <w:tcBorders>
              <w:top w:val="single" w:color="0B1220" w:sz="12"/>
              <w:left w:val="none"/>
              <w:bottom w:val="single" w:color="0B1220" w:sz="12"/>
              <w:right w:val="none"/>
            </w:tcBorders>
          </w:tcPr>
          <w:p>
            <w:pPr>
              <w:jc w:val="center"/>
            </w:pPr>
            <w:r>
              <w:rPr>
                <w:sz w:val="22"/>
                <w:szCs w:val="22"/>
              </w:rPr>
              <w:t xml:space="preserve">150-250</w:t>
            </w:r>
          </w:p>
        </w:tc>
        <w:tc>
          <w:tcPr>
            <w:tcBorders>
              <w:top w:val="single" w:color="0B1220" w:sz="12"/>
              <w:left w:val="none"/>
              <w:bottom w:val="single" w:color="0B1220" w:sz="12"/>
              <w:right w:val="none"/>
            </w:tcBorders>
          </w:tcPr>
          <w:p>
            <w:pPr>
              <w:jc w:val="center"/>
            </w:pPr>
            <w:r>
              <w:rPr>
                <w:sz w:val="22"/>
                <w:szCs w:val="22"/>
              </w:rPr>
              <w:t xml:space="preserve">~15 MB</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pPr>
              <w:jc w:val="center"/>
            </w:pPr>
            <w:r>
              <w:rPr>
                <w:sz w:val="22"/>
                <w:szCs w:val="22"/>
              </w:rPr>
              <w:t xml:space="preserve">80-120 MB</w:t>
            </w:r>
          </w:p>
        </w:tc>
        <w:tc>
          <w:tcPr>
            <w:tcBorders>
              <w:top w:val="single" w:color="0B1220" w:sz="12"/>
              <w:left w:val="none"/>
              <w:bottom w:val="single" w:color="0B1220" w:sz="12"/>
              <w:right w:val="none"/>
            </w:tcBorders>
          </w:tcPr>
          <w:p>
            <w:pPr>
              <w:jc w:val="center"/>
            </w:pPr>
            <w:r>
              <w:rPr>
                <w:sz w:val="22"/>
                <w:szCs w:val="22"/>
              </w:rPr>
              <w:t xml:space="preserve">2.4-3.6 GB</w:t>
            </w:r>
          </w:p>
        </w:tc>
      </w:tr>
      <w:tr>
        <w:tc>
          <w:tcPr>
            <w:tcBorders>
              <w:top w:val="single" w:color="0B1220" w:sz="12"/>
              <w:left w:val="none"/>
              <w:bottom w:val="single" w:color="0B1220" w:sz="12"/>
              <w:right w:val="none"/>
            </w:tcBorders>
          </w:tcPr>
          <w:p>
            <w:r>
              <w:rPr>
                <w:sz w:val="22"/>
                <w:szCs w:val="22"/>
              </w:rPr>
              <w:t xml:space="preserve">API calls (incluye telemedicina)</w:t>
            </w:r>
          </w:p>
        </w:tc>
        <w:tc>
          <w:tcPr>
            <w:tcBorders>
              <w:top w:val="single" w:color="0B1220" w:sz="12"/>
              <w:left w:val="none"/>
              <w:bottom w:val="single" w:color="0B1220" w:sz="12"/>
              <w:right w:val="none"/>
            </w:tcBorders>
          </w:tcPr>
          <w:p>
            <w:pPr>
              <w:jc w:val="center"/>
            </w:pPr>
            <w:r>
              <w:rPr>
                <w:sz w:val="22"/>
                <w:szCs w:val="22"/>
              </w:rPr>
              <w:t xml:space="preserve">3,000-5,000</w:t>
            </w:r>
          </w:p>
        </w:tc>
        <w:tc>
          <w:tcPr>
            <w:tcBorders>
              <w:top w:val="single" w:color="0B1220" w:sz="12"/>
              <w:left w:val="none"/>
              <w:bottom w:val="single" w:color="0B1220" w:sz="12"/>
              <w:right w:val="none"/>
            </w:tcBorders>
          </w:tcPr>
          <w:p>
            <w:pPr>
              <w:jc w:val="center"/>
            </w:pPr>
            <w:r>
              <w:rPr>
                <w:sz w:val="22"/>
                <w:szCs w:val="22"/>
              </w:rPr>
              <w:t xml:space="preserve">90,000-150,000</w:t>
            </w:r>
          </w:p>
        </w:tc>
      </w:tr>
      <w:tr>
        <w:tc>
          <w:tcPr>
            <w:tcBorders>
              <w:top w:val="single" w:color="0B1220" w:sz="12"/>
              <w:left w:val="none"/>
              <w:bottom w:val="single" w:color="0B1220" w:sz="12"/>
              <w:right w:val="none"/>
            </w:tcBorders>
          </w:tcPr>
          <w:p>
            <w:r>
              <w:rPr>
                <w:sz w:val="22"/>
                <w:szCs w:val="22"/>
              </w:rPr>
              <w:t xml:space="preserve">Realtime (telemedicina)</w:t>
            </w:r>
          </w:p>
        </w:tc>
        <w:tc>
          <w:tcPr>
            <w:tcBorders>
              <w:top w:val="single" w:color="0B1220" w:sz="12"/>
              <w:left w:val="none"/>
              <w:bottom w:val="single" w:color="0B1220" w:sz="12"/>
              <w:right w:val="none"/>
            </w:tcBorders>
          </w:tcPr>
          <w:p>
            <w:pPr>
              <w:jc w:val="center"/>
            </w:pPr>
            <w:r>
              <w:rPr>
                <w:sz w:val="22"/>
                <w:szCs w:val="22"/>
              </w:rPr>
              <w:t xml:space="preserve">10-20 conexiones</w:t>
            </w:r>
          </w:p>
        </w:tc>
        <w:tc>
          <w:tcPr>
            <w:tcBorders>
              <w:top w:val="single" w:color="0B1220" w:sz="12"/>
              <w:left w:val="none"/>
              <w:bottom w:val="single" w:color="0B1220" w:sz="12"/>
              <w:right w:val="none"/>
            </w:tcBorders>
          </w:tcPr>
          <w:p>
            <w:pPr>
              <w:jc w:val="center"/>
            </w:pPr>
            <w:r>
              <w:rPr>
                <w:sz w:val="22"/>
                <w:szCs w:val="22"/>
              </w:rPr>
              <w:t xml:space="preserve">~300 conexiones-hora</w:t>
            </w:r>
          </w:p>
        </w:tc>
      </w:tr>
    </w:tbl>
    <w:p>
      <w:pPr>
        <w:spacing w:after="300"/>
      </w:pPr>
      <w:r>
        <w:rPr>
          <w:b/>
          <w:bCs/>
          <w:color w:val="34D399"/>
          <w:sz w:val="24"/>
          <w:szCs w:val="24"/>
        </w:rPr>
        <w:t xml:space="preserve">CAPACIDAD ESTIMADA: 15-20 clínicas en tier gratuito</w:t>
      </w:r>
    </w:p>
    <w:p>
      <w:pPr>
        <w:pStyle w:val="Heading2"/>
      </w:pPr>
      <w:r>
        <w:t xml:space="preserve">3.3 Restaurantes</w:t>
      </w:r>
    </w:p>
    <w:p>
      <w:pPr>
        <w:spacing w:after="150"/>
      </w:pPr>
      <w:r>
        <w:rPr>
          <w:sz w:val="24"/>
          <w:szCs w:val="24"/>
        </w:rPr>
        <w:t xml:space="preserve">Escenario medio-alto: 150-250 órdenes diarias, menú digital, mesas con QR, inventario.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w:t>
            </w:r>
          </w:p>
        </w:tc>
        <w:tc>
          <w:tcPr>
            <w:tcBorders>
              <w:top w:val="single" w:color="0B1220" w:sz="12"/>
              <w:left w:val="none"/>
              <w:bottom w:val="single" w:color="0B1220" w:sz="12"/>
              <w:right w:val="none"/>
            </w:tcBorders>
          </w:tcPr>
          <w:p>
            <w:pPr>
              <w:jc w:val="center"/>
            </w:pPr>
            <w:r>
              <w:rPr>
                <w:sz w:val="22"/>
                <w:szCs w:val="22"/>
              </w:rPr>
              <w:t xml:space="preserve">300-500</w:t>
            </w:r>
          </w:p>
        </w:tc>
        <w:tc>
          <w:tcPr>
            <w:tcBorders>
              <w:top w:val="single" w:color="0B1220" w:sz="12"/>
              <w:left w:val="none"/>
              <w:bottom w:val="single" w:color="0B1220" w:sz="12"/>
              <w:right w:val="none"/>
            </w:tcBorders>
          </w:tcPr>
          <w:p>
            <w:pPr>
              <w:jc w:val="center"/>
            </w:pPr>
            <w:r>
              <w:rPr>
                <w:sz w:val="22"/>
                <w:szCs w:val="22"/>
              </w:rPr>
              <w:t xml:space="preserve">~12 MB</w:t>
            </w:r>
          </w:p>
        </w:tc>
      </w:tr>
      <w:tr>
        <w:tc>
          <w:tcPr>
            <w:tcBorders>
              <w:top w:val="single" w:color="0B1220" w:sz="12"/>
              <w:left w:val="none"/>
              <w:bottom w:val="single" w:color="0B1220" w:sz="12"/>
              <w:right w:val="none"/>
            </w:tcBorders>
          </w:tcPr>
          <w:p>
            <w:r>
              <w:rPr>
                <w:sz w:val="22"/>
                <w:szCs w:val="22"/>
              </w:rPr>
              <w:t xml:space="preserve">Ancho de banda (incluye menú QR)</w:t>
            </w:r>
          </w:p>
        </w:tc>
        <w:tc>
          <w:tcPr>
            <w:tcBorders>
              <w:top w:val="single" w:color="0B1220" w:sz="12"/>
              <w:left w:val="none"/>
              <w:bottom w:val="single" w:color="0B1220" w:sz="12"/>
              <w:right w:val="none"/>
            </w:tcBorders>
          </w:tcPr>
          <w:p>
            <w:pPr>
              <w:jc w:val="center"/>
            </w:pPr>
            <w:r>
              <w:rPr>
                <w:sz w:val="22"/>
                <w:szCs w:val="22"/>
              </w:rPr>
              <w:t xml:space="preserve">100-180 MB</w:t>
            </w:r>
          </w:p>
        </w:tc>
        <w:tc>
          <w:tcPr>
            <w:tcBorders>
              <w:top w:val="single" w:color="0B1220" w:sz="12"/>
              <w:left w:val="none"/>
              <w:bottom w:val="single" w:color="0B1220" w:sz="12"/>
              <w:right w:val="none"/>
            </w:tcBorders>
          </w:tcPr>
          <w:p>
            <w:pPr>
              <w:jc w:val="center"/>
            </w:pPr>
            <w:r>
              <w:rPr>
                <w:sz w:val="22"/>
                <w:szCs w:val="22"/>
              </w:rPr>
              <w:t xml:space="preserve">3-5.4 GB</w:t>
            </w:r>
          </w:p>
        </w:tc>
      </w:tr>
      <w:tr>
        <w:tc>
          <w:tcPr>
            <w:tcBorders>
              <w:top w:val="single" w:color="0B1220" w:sz="12"/>
              <w:left w:val="none"/>
              <w:bottom w:val="single" w:color="0B1220" w:sz="12"/>
              <w:right w:val="none"/>
            </w:tcBorders>
          </w:tcPr>
          <w:p>
            <w:r>
              <w:rPr>
                <w:sz w:val="22"/>
                <w:szCs w:val="22"/>
              </w:rPr>
              <w:t xml:space="preserve">API calls</w:t>
            </w:r>
          </w:p>
        </w:tc>
        <w:tc>
          <w:tcPr>
            <w:tcBorders>
              <w:top w:val="single" w:color="0B1220" w:sz="12"/>
              <w:left w:val="none"/>
              <w:bottom w:val="single" w:color="0B1220" w:sz="12"/>
              <w:right w:val="none"/>
            </w:tcBorders>
          </w:tcPr>
          <w:p>
            <w:pPr>
              <w:jc w:val="center"/>
            </w:pPr>
            <w:r>
              <w:rPr>
                <w:sz w:val="22"/>
                <w:szCs w:val="22"/>
              </w:rPr>
              <w:t xml:space="preserve">5,000-8,000</w:t>
            </w:r>
          </w:p>
        </w:tc>
        <w:tc>
          <w:tcPr>
            <w:tcBorders>
              <w:top w:val="single" w:color="0B1220" w:sz="12"/>
              <w:left w:val="none"/>
              <w:bottom w:val="single" w:color="0B1220" w:sz="12"/>
              <w:right w:val="none"/>
            </w:tcBorders>
          </w:tcPr>
          <w:p>
            <w:pPr>
              <w:jc w:val="center"/>
            </w:pPr>
            <w:r>
              <w:rPr>
                <w:sz w:val="22"/>
                <w:szCs w:val="22"/>
              </w:rPr>
              <w:t xml:space="preserve">150,000-240,000</w:t>
            </w:r>
          </w:p>
        </w:tc>
      </w:tr>
    </w:tbl>
    <w:p>
      <w:pPr>
        <w:spacing w:after="300"/>
      </w:pPr>
      <w:r>
        <w:rPr>
          <w:b/>
          <w:bCs/>
          <w:color w:val="34D399"/>
          <w:sz w:val="24"/>
          <w:szCs w:val="24"/>
        </w:rPr>
        <w:t xml:space="preserve">CAPACIDAD ESTIMADA: 18-22 restaurantes en tier gratuito</w:t>
      </w:r>
    </w:p>
    <w:p>
      <w:pPr>
        <w:pStyle w:val="Heading2"/>
      </w:pPr>
      <w:r>
        <w:t xml:space="preserve">3.4 Bares y Cantinas</w:t>
      </w:r>
    </w:p>
    <w:p>
      <w:pPr>
        <w:spacing w:after="150"/>
      </w:pPr>
      <w:r>
        <w:rPr>
          <w:sz w:val="24"/>
          <w:szCs w:val="24"/>
        </w:rPr>
        <w:t xml:space="preserve">Escenario medio-alto: 200-350 transacciones diarias (viernes/sábado picos), inventario de bebidas.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w:t>
            </w:r>
          </w:p>
        </w:tc>
        <w:tc>
          <w:tcPr>
            <w:tcBorders>
              <w:top w:val="single" w:color="0B1220" w:sz="12"/>
              <w:left w:val="none"/>
              <w:bottom w:val="single" w:color="0B1220" w:sz="12"/>
              <w:right w:val="none"/>
            </w:tcBorders>
          </w:tcPr>
          <w:p>
            <w:pPr>
              <w:jc w:val="center"/>
            </w:pPr>
            <w:r>
              <w:rPr>
                <w:sz w:val="22"/>
                <w:szCs w:val="22"/>
              </w:rPr>
              <w:t xml:space="preserve">400-600</w:t>
            </w:r>
          </w:p>
        </w:tc>
        <w:tc>
          <w:tcPr>
            <w:tcBorders>
              <w:top w:val="single" w:color="0B1220" w:sz="12"/>
              <w:left w:val="none"/>
              <w:bottom w:val="single" w:color="0B1220" w:sz="12"/>
              <w:right w:val="none"/>
            </w:tcBorders>
          </w:tcPr>
          <w:p>
            <w:pPr>
              <w:jc w:val="center"/>
            </w:pPr>
            <w:r>
              <w:rPr>
                <w:sz w:val="22"/>
                <w:szCs w:val="22"/>
              </w:rPr>
              <w:t xml:space="preserve">~10 MB</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pPr>
              <w:jc w:val="center"/>
            </w:pPr>
            <w:r>
              <w:rPr>
                <w:sz w:val="22"/>
                <w:szCs w:val="22"/>
              </w:rPr>
              <w:t xml:space="preserve">60-100 MB</w:t>
            </w:r>
          </w:p>
        </w:tc>
        <w:tc>
          <w:tcPr>
            <w:tcBorders>
              <w:top w:val="single" w:color="0B1220" w:sz="12"/>
              <w:left w:val="none"/>
              <w:bottom w:val="single" w:color="0B1220" w:sz="12"/>
              <w:right w:val="none"/>
            </w:tcBorders>
          </w:tcPr>
          <w:p>
            <w:pPr>
              <w:jc w:val="center"/>
            </w:pPr>
            <w:r>
              <w:rPr>
                <w:sz w:val="22"/>
                <w:szCs w:val="22"/>
              </w:rPr>
              <w:t xml:space="preserve">1.8-3 GB</w:t>
            </w:r>
          </w:p>
        </w:tc>
      </w:tr>
      <w:tr>
        <w:tc>
          <w:tcPr>
            <w:tcBorders>
              <w:top w:val="single" w:color="0B1220" w:sz="12"/>
              <w:left w:val="none"/>
              <w:bottom w:val="single" w:color="0B1220" w:sz="12"/>
              <w:right w:val="none"/>
            </w:tcBorders>
          </w:tcPr>
          <w:p>
            <w:r>
              <w:rPr>
                <w:sz w:val="22"/>
                <w:szCs w:val="22"/>
              </w:rPr>
              <w:t xml:space="preserve">API calls (POS intensivo)</w:t>
            </w:r>
          </w:p>
        </w:tc>
        <w:tc>
          <w:tcPr>
            <w:tcBorders>
              <w:top w:val="single" w:color="0B1220" w:sz="12"/>
              <w:left w:val="none"/>
              <w:bottom w:val="single" w:color="0B1220" w:sz="12"/>
              <w:right w:val="none"/>
            </w:tcBorders>
          </w:tcPr>
          <w:p>
            <w:pPr>
              <w:jc w:val="center"/>
            </w:pPr>
            <w:r>
              <w:rPr>
                <w:sz w:val="22"/>
                <w:szCs w:val="22"/>
              </w:rPr>
              <w:t xml:space="preserve">6,000-10,000</w:t>
            </w:r>
          </w:p>
        </w:tc>
        <w:tc>
          <w:tcPr>
            <w:tcBorders>
              <w:top w:val="single" w:color="0B1220" w:sz="12"/>
              <w:left w:val="none"/>
              <w:bottom w:val="single" w:color="0B1220" w:sz="12"/>
              <w:right w:val="none"/>
            </w:tcBorders>
          </w:tcPr>
          <w:p>
            <w:pPr>
              <w:jc w:val="center"/>
            </w:pPr>
            <w:r>
              <w:rPr>
                <w:sz w:val="22"/>
                <w:szCs w:val="22"/>
              </w:rPr>
              <w:t xml:space="preserve">180,000-300,000</w:t>
            </w:r>
          </w:p>
        </w:tc>
      </w:tr>
    </w:tbl>
    <w:p>
      <w:pPr>
        <w:spacing w:after="300"/>
      </w:pPr>
      <w:r>
        <w:rPr>
          <w:b/>
          <w:bCs/>
          <w:color w:val="34D399"/>
          <w:sz w:val="24"/>
          <w:szCs w:val="24"/>
        </w:rPr>
        <w:t xml:space="preserve">CAPACIDAD ESTIMADA: 20-25 bares en tier gratuito</w:t>
      </w:r>
    </w:p>
    <w:p>
      <w:pPr>
        <w:pStyle w:val="Heading2"/>
      </w:pPr>
      <w:r>
        <w:t xml:space="preserve">3.5 Salones de Belleza y SPA</w:t>
      </w:r>
    </w:p>
    <w:p>
      <w:pPr>
        <w:spacing w:after="150"/>
      </w:pPr>
      <w:r>
        <w:rPr>
          <w:sz w:val="24"/>
          <w:szCs w:val="24"/>
        </w:rPr>
        <w:t xml:space="preserve">Escenario medio-alto: 30-50 citas diarias, 5-10 empleados, gestión de membresías.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w:t>
            </w:r>
          </w:p>
        </w:tc>
        <w:tc>
          <w:tcPr>
            <w:tcBorders>
              <w:top w:val="single" w:color="0B1220" w:sz="12"/>
              <w:left w:val="none"/>
              <w:bottom w:val="single" w:color="0B1220" w:sz="12"/>
              <w:right w:val="none"/>
            </w:tcBorders>
          </w:tcPr>
          <w:p>
            <w:pPr>
              <w:jc w:val="center"/>
            </w:pPr>
            <w:r>
              <w:rPr>
                <w:sz w:val="22"/>
                <w:szCs w:val="22"/>
              </w:rPr>
              <w:t xml:space="preserve">100-200</w:t>
            </w:r>
          </w:p>
        </w:tc>
        <w:tc>
          <w:tcPr>
            <w:tcBorders>
              <w:top w:val="single" w:color="0B1220" w:sz="12"/>
              <w:left w:val="none"/>
              <w:bottom w:val="single" w:color="0B1220" w:sz="12"/>
              <w:right w:val="none"/>
            </w:tcBorders>
          </w:tcPr>
          <w:p>
            <w:pPr>
              <w:jc w:val="center"/>
            </w:pPr>
            <w:r>
              <w:rPr>
                <w:sz w:val="22"/>
                <w:szCs w:val="22"/>
              </w:rPr>
              <w:t xml:space="preserve">~6 MB</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pPr>
              <w:jc w:val="center"/>
            </w:pPr>
            <w:r>
              <w:rPr>
                <w:sz w:val="22"/>
                <w:szCs w:val="22"/>
              </w:rPr>
              <w:t xml:space="preserve">30-50 MB</w:t>
            </w:r>
          </w:p>
        </w:tc>
        <w:tc>
          <w:tcPr>
            <w:tcBorders>
              <w:top w:val="single" w:color="0B1220" w:sz="12"/>
              <w:left w:val="none"/>
              <w:bottom w:val="single" w:color="0B1220" w:sz="12"/>
              <w:right w:val="none"/>
            </w:tcBorders>
          </w:tcPr>
          <w:p>
            <w:pPr>
              <w:jc w:val="center"/>
            </w:pPr>
            <w:r>
              <w:rPr>
                <w:sz w:val="22"/>
                <w:szCs w:val="22"/>
              </w:rPr>
              <w:t xml:space="preserve">0.9-1.5 GB</w:t>
            </w:r>
          </w:p>
        </w:tc>
      </w:tr>
      <w:tr>
        <w:tc>
          <w:tcPr>
            <w:tcBorders>
              <w:top w:val="single" w:color="0B1220" w:sz="12"/>
              <w:left w:val="none"/>
              <w:bottom w:val="single" w:color="0B1220" w:sz="12"/>
              <w:right w:val="none"/>
            </w:tcBorders>
          </w:tcPr>
          <w:p>
            <w:r>
              <w:rPr>
                <w:sz w:val="22"/>
                <w:szCs w:val="22"/>
              </w:rPr>
              <w:t xml:space="preserve">API calls</w:t>
            </w:r>
          </w:p>
        </w:tc>
        <w:tc>
          <w:tcPr>
            <w:tcBorders>
              <w:top w:val="single" w:color="0B1220" w:sz="12"/>
              <w:left w:val="none"/>
              <w:bottom w:val="single" w:color="0B1220" w:sz="12"/>
              <w:right w:val="none"/>
            </w:tcBorders>
          </w:tcPr>
          <w:p>
            <w:pPr>
              <w:jc w:val="center"/>
            </w:pPr>
            <w:r>
              <w:rPr>
                <w:sz w:val="22"/>
                <w:szCs w:val="22"/>
              </w:rPr>
              <w:t xml:space="preserve">1,000-2,000</w:t>
            </w:r>
          </w:p>
        </w:tc>
        <w:tc>
          <w:tcPr>
            <w:tcBorders>
              <w:top w:val="single" w:color="0B1220" w:sz="12"/>
              <w:left w:val="none"/>
              <w:bottom w:val="single" w:color="0B1220" w:sz="12"/>
              <w:right w:val="none"/>
            </w:tcBorders>
          </w:tcPr>
          <w:p>
            <w:pPr>
              <w:jc w:val="center"/>
            </w:pPr>
            <w:r>
              <w:rPr>
                <w:sz w:val="22"/>
                <w:szCs w:val="22"/>
              </w:rPr>
              <w:t xml:space="preserve">30,000-60,000</w:t>
            </w:r>
          </w:p>
        </w:tc>
      </w:tr>
    </w:tbl>
    <w:p>
      <w:pPr>
        <w:spacing w:after="300"/>
      </w:pPr>
      <w:r>
        <w:rPr>
          <w:b/>
          <w:bCs/>
          <w:color w:val="34D399"/>
          <w:sz w:val="24"/>
          <w:szCs w:val="24"/>
        </w:rPr>
        <w:t xml:space="preserve">CAPACIDAD ESTIMADA: 35-40 salones en tier gratuito</w:t>
      </w:r>
    </w:p>
    <w:p>
      <w:pPr>
        <w:pStyle w:val="Heading2"/>
      </w:pPr>
      <w:r>
        <w:t xml:space="preserve">3.6 Bufetes de Abogados</w:t>
      </w:r>
    </w:p>
    <w:p>
      <w:pPr>
        <w:spacing w:after="150"/>
      </w:pPr>
      <w:r>
        <w:rPr>
          <w:sz w:val="24"/>
          <w:szCs w:val="24"/>
        </w:rPr>
        <w:t xml:space="preserve">Escenario medio-alto: 3-5 abogados activos, 50-100 casos, billing por horas, documentos legales.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w:t>
            </w:r>
          </w:p>
        </w:tc>
        <w:tc>
          <w:tcPr>
            <w:tcBorders>
              <w:top w:val="single" w:color="0B1220" w:sz="12"/>
              <w:left w:val="none"/>
              <w:bottom w:val="single" w:color="0B1220" w:sz="12"/>
              <w:right w:val="none"/>
            </w:tcBorders>
          </w:tcPr>
          <w:p>
            <w:pPr>
              <w:jc w:val="center"/>
            </w:pPr>
            <w:r>
              <w:rPr>
                <w:sz w:val="22"/>
                <w:szCs w:val="22"/>
              </w:rPr>
              <w:t xml:space="preserve">50-100</w:t>
            </w:r>
          </w:p>
        </w:tc>
        <w:tc>
          <w:tcPr>
            <w:tcBorders>
              <w:top w:val="single" w:color="0B1220" w:sz="12"/>
              <w:left w:val="none"/>
              <w:bottom w:val="single" w:color="0B1220" w:sz="12"/>
              <w:right w:val="none"/>
            </w:tcBorders>
          </w:tcPr>
          <w:p>
            <w:pPr>
              <w:jc w:val="center"/>
            </w:pPr>
            <w:r>
              <w:rPr>
                <w:sz w:val="22"/>
                <w:szCs w:val="22"/>
              </w:rPr>
              <w:t xml:space="preserve">~10 MB (docs)</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pPr>
              <w:jc w:val="center"/>
            </w:pPr>
            <w:r>
              <w:rPr>
                <w:sz w:val="22"/>
                <w:szCs w:val="22"/>
              </w:rPr>
              <w:t xml:space="preserve">20-40 MB</w:t>
            </w:r>
          </w:p>
        </w:tc>
        <w:tc>
          <w:tcPr>
            <w:tcBorders>
              <w:top w:val="single" w:color="0B1220" w:sz="12"/>
              <w:left w:val="none"/>
              <w:bottom w:val="single" w:color="0B1220" w:sz="12"/>
              <w:right w:val="none"/>
            </w:tcBorders>
          </w:tcPr>
          <w:p>
            <w:pPr>
              <w:jc w:val="center"/>
            </w:pPr>
            <w:r>
              <w:rPr>
                <w:sz w:val="22"/>
                <w:szCs w:val="22"/>
              </w:rPr>
              <w:t xml:space="preserve">0.6-1.2 GB</w:t>
            </w:r>
          </w:p>
        </w:tc>
      </w:tr>
      <w:tr>
        <w:tc>
          <w:tcPr>
            <w:tcBorders>
              <w:top w:val="single" w:color="0B1220" w:sz="12"/>
              <w:left w:val="none"/>
              <w:bottom w:val="single" w:color="0B1220" w:sz="12"/>
              <w:right w:val="none"/>
            </w:tcBorders>
          </w:tcPr>
          <w:p>
            <w:r>
              <w:rPr>
                <w:sz w:val="22"/>
                <w:szCs w:val="22"/>
              </w:rPr>
              <w:t xml:space="preserve">API calls</w:t>
            </w:r>
          </w:p>
        </w:tc>
        <w:tc>
          <w:tcPr>
            <w:tcBorders>
              <w:top w:val="single" w:color="0B1220" w:sz="12"/>
              <w:left w:val="none"/>
              <w:bottom w:val="single" w:color="0B1220" w:sz="12"/>
              <w:right w:val="none"/>
            </w:tcBorders>
          </w:tcPr>
          <w:p>
            <w:pPr>
              <w:jc w:val="center"/>
            </w:pPr>
            <w:r>
              <w:rPr>
                <w:sz w:val="22"/>
                <w:szCs w:val="22"/>
              </w:rPr>
              <w:t xml:space="preserve">500-1,000</w:t>
            </w:r>
          </w:p>
        </w:tc>
        <w:tc>
          <w:tcPr>
            <w:tcBorders>
              <w:top w:val="single" w:color="0B1220" w:sz="12"/>
              <w:left w:val="none"/>
              <w:bottom w:val="single" w:color="0B1220" w:sz="12"/>
              <w:right w:val="none"/>
            </w:tcBorders>
          </w:tcPr>
          <w:p>
            <w:pPr>
              <w:jc w:val="center"/>
            </w:pPr>
            <w:r>
              <w:rPr>
                <w:sz w:val="22"/>
                <w:szCs w:val="22"/>
              </w:rPr>
              <w:t xml:space="preserve">15,000-30,000</w:t>
            </w:r>
          </w:p>
        </w:tc>
      </w:tr>
    </w:tbl>
    <w:p>
      <w:pPr>
        <w:spacing w:after="300"/>
      </w:pPr>
      <w:r>
        <w:rPr>
          <w:b/>
          <w:bCs/>
          <w:color w:val="34D399"/>
          <w:sz w:val="24"/>
          <w:szCs w:val="24"/>
        </w:rPr>
        <w:t xml:space="preserve">CAPACIDAD ESTIMADA: 40-45 bufetes en tier gratuito</w:t>
      </w:r>
    </w:p>
    <w:p>
      <w:pPr>
        <w:pStyle w:val="Heading2"/>
      </w:pPr>
      <w:r>
        <w:t xml:space="preserve">3.7 Farmacias</w:t>
      </w:r>
    </w:p>
    <w:p>
      <w:pPr>
        <w:spacing w:after="150"/>
      </w:pPr>
      <w:r>
        <w:rPr>
          <w:sz w:val="24"/>
          <w:szCs w:val="24"/>
        </w:rPr>
        <w:t xml:space="preserve">Escenario medio-alto: 200-400 transacciones diarias, inventario de 500-1000 productos, recetas.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930"/>
        <w:gridCol w:w="293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Recurso</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Consumo/Día</w:t>
            </w:r>
          </w:p>
        </w:tc>
        <w:tc>
          <w:tcPr>
            <w:tcBorders>
              <w:top w:val="single" w:color="0B1220" w:sz="12"/>
              <w:left w:val="none"/>
              <w:bottom w:val="single" w:color="0B1220" w:sz="12"/>
              <w:right w:val="none"/>
            </w:tcBorders>
            <w:shd w:fill="F1F5F9" w:val="clear"/>
          </w:tcPr>
          <w:p>
            <w:pPr>
              <w:jc w:val="center"/>
            </w:pPr>
            <w:r>
              <w:rPr>
                <w:b/>
                <w:bCs/>
                <w:sz w:val="22"/>
                <w:szCs w:val="22"/>
              </w:rPr>
              <w:t xml:space="preserve">Consumo/Mes</w:t>
            </w:r>
          </w:p>
        </w:tc>
      </w:tr>
      <w:tr>
        <w:tc>
          <w:tcPr>
            <w:tcBorders>
              <w:top w:val="single" w:color="0B1220" w:sz="12"/>
              <w:left w:val="none"/>
              <w:bottom w:val="single" w:color="0B1220" w:sz="12"/>
              <w:right w:val="none"/>
            </w:tcBorders>
          </w:tcPr>
          <w:p>
            <w:r>
              <w:rPr>
                <w:sz w:val="22"/>
                <w:szCs w:val="22"/>
              </w:rPr>
              <w:t xml:space="preserve">Registros DB</w:t>
            </w:r>
          </w:p>
        </w:tc>
        <w:tc>
          <w:tcPr>
            <w:tcBorders>
              <w:top w:val="single" w:color="0B1220" w:sz="12"/>
              <w:left w:val="none"/>
              <w:bottom w:val="single" w:color="0B1220" w:sz="12"/>
              <w:right w:val="none"/>
            </w:tcBorders>
          </w:tcPr>
          <w:p>
            <w:pPr>
              <w:jc w:val="center"/>
            </w:pPr>
            <w:r>
              <w:rPr>
                <w:sz w:val="22"/>
                <w:szCs w:val="22"/>
              </w:rPr>
              <w:t xml:space="preserve">500-800</w:t>
            </w:r>
          </w:p>
        </w:tc>
        <w:tc>
          <w:tcPr>
            <w:tcBorders>
              <w:top w:val="single" w:color="0B1220" w:sz="12"/>
              <w:left w:val="none"/>
              <w:bottom w:val="single" w:color="0B1220" w:sz="12"/>
              <w:right w:val="none"/>
            </w:tcBorders>
          </w:tcPr>
          <w:p>
            <w:pPr>
              <w:jc w:val="center"/>
            </w:pPr>
            <w:r>
              <w:rPr>
                <w:sz w:val="22"/>
                <w:szCs w:val="22"/>
              </w:rPr>
              <w:t xml:space="preserve">~20 MB</w:t>
            </w:r>
          </w:p>
        </w:tc>
      </w:tr>
      <w:tr>
        <w:tc>
          <w:tcPr>
            <w:tcBorders>
              <w:top w:val="single" w:color="0B1220" w:sz="12"/>
              <w:left w:val="none"/>
              <w:bottom w:val="single" w:color="0B1220" w:sz="12"/>
              <w:right w:val="none"/>
            </w:tcBorders>
          </w:tcPr>
          <w:p>
            <w:r>
              <w:rPr>
                <w:sz w:val="22"/>
                <w:szCs w:val="22"/>
              </w:rPr>
              <w:t xml:space="preserve">Ancho de banda</w:t>
            </w:r>
          </w:p>
        </w:tc>
        <w:tc>
          <w:tcPr>
            <w:tcBorders>
              <w:top w:val="single" w:color="0B1220" w:sz="12"/>
              <w:left w:val="none"/>
              <w:bottom w:val="single" w:color="0B1220" w:sz="12"/>
              <w:right w:val="none"/>
            </w:tcBorders>
          </w:tcPr>
          <w:p>
            <w:pPr>
              <w:jc w:val="center"/>
            </w:pPr>
            <w:r>
              <w:rPr>
                <w:sz w:val="22"/>
                <w:szCs w:val="22"/>
              </w:rPr>
              <w:t xml:space="preserve">80-150 MB</w:t>
            </w:r>
          </w:p>
        </w:tc>
        <w:tc>
          <w:tcPr>
            <w:tcBorders>
              <w:top w:val="single" w:color="0B1220" w:sz="12"/>
              <w:left w:val="none"/>
              <w:bottom w:val="single" w:color="0B1220" w:sz="12"/>
              <w:right w:val="none"/>
            </w:tcBorders>
          </w:tcPr>
          <w:p>
            <w:pPr>
              <w:jc w:val="center"/>
            </w:pPr>
            <w:r>
              <w:rPr>
                <w:sz w:val="22"/>
                <w:szCs w:val="22"/>
              </w:rPr>
              <w:t xml:space="preserve">2.4-4.5 GB</w:t>
            </w:r>
          </w:p>
        </w:tc>
      </w:tr>
      <w:tr>
        <w:tc>
          <w:tcPr>
            <w:tcBorders>
              <w:top w:val="single" w:color="0B1220" w:sz="12"/>
              <w:left w:val="none"/>
              <w:bottom w:val="single" w:color="0B1220" w:sz="12"/>
              <w:right w:val="none"/>
            </w:tcBorders>
          </w:tcPr>
          <w:p>
            <w:r>
              <w:rPr>
                <w:sz w:val="22"/>
                <w:szCs w:val="22"/>
              </w:rPr>
              <w:t xml:space="preserve">API calls</w:t>
            </w:r>
          </w:p>
        </w:tc>
        <w:tc>
          <w:tcPr>
            <w:tcBorders>
              <w:top w:val="single" w:color="0B1220" w:sz="12"/>
              <w:left w:val="none"/>
              <w:bottom w:val="single" w:color="0B1220" w:sz="12"/>
              <w:right w:val="none"/>
            </w:tcBorders>
          </w:tcPr>
          <w:p>
            <w:pPr>
              <w:jc w:val="center"/>
            </w:pPr>
            <w:r>
              <w:rPr>
                <w:sz w:val="22"/>
                <w:szCs w:val="22"/>
              </w:rPr>
              <w:t xml:space="preserve">4,000-7,000</w:t>
            </w:r>
          </w:p>
        </w:tc>
        <w:tc>
          <w:tcPr>
            <w:tcBorders>
              <w:top w:val="single" w:color="0B1220" w:sz="12"/>
              <w:left w:val="none"/>
              <w:bottom w:val="single" w:color="0B1220" w:sz="12"/>
              <w:right w:val="none"/>
            </w:tcBorders>
          </w:tcPr>
          <w:p>
            <w:pPr>
              <w:jc w:val="center"/>
            </w:pPr>
            <w:r>
              <w:rPr>
                <w:sz w:val="22"/>
                <w:szCs w:val="22"/>
              </w:rPr>
              <w:t xml:space="preserve">120,000-210,000</w:t>
            </w:r>
          </w:p>
        </w:tc>
      </w:tr>
    </w:tbl>
    <w:p>
      <w:pPr>
        <w:spacing w:after="300"/>
      </w:pPr>
      <w:r>
        <w:rPr>
          <w:b/>
          <w:bCs/>
          <w:color w:val="F59E0B"/>
          <w:sz w:val="24"/>
          <w:szCs w:val="24"/>
        </w:rPr>
        <w:t xml:space="preserve">CAPACIDAD ESTIMADA: 12-15 farmacias en tier gratuito</w:t>
      </w:r>
    </w:p>
    <w:p>
      <w:pPr>
        <w:pStyle w:val="Heading1"/>
      </w:pPr>
      <w:r>
        <w:t xml:space="preserve">4. Análisis del Cuello de Botella</w:t>
      </w:r>
    </w:p>
    <w:p>
      <w:pPr>
        <w:spacing w:after="200"/>
      </w:pPr>
      <w:r>
        <w:rPr>
          <w:sz w:val="24"/>
          <w:szCs w:val="24"/>
        </w:rPr>
        <w:t xml:space="preserve">El recurso más limitante del tier gratuito es el ALMACENAMIENTO DE BASE DE DATOS de Supabase (500 MB). Este es el factor determinante para calcular la capacidad máxima de empresas.</w:t>
      </w:r>
    </w:p>
    <w:p>
      <w:pPr>
        <w:pStyle w:val="Heading2"/>
      </w:pPr>
      <w:r>
        <w:t xml:space="preserve">4.1 Distribución Óptima por Industria</w:t>
      </w:r>
    </w:p>
    <w:p>
      <w:pPr>
        <w:spacing w:after="150"/>
      </w:pPr>
      <w:r>
        <w:rPr>
          <w:sz w:val="24"/>
          <w:szCs w:val="24"/>
        </w:rPr>
        <w:t xml:space="preserve">Combinación recomendada para maximizar ingresos mientras se mantiene en tier gratuito: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800"/>
        <w:gridCol w:w="2200"/>
        <w:gridCol w:w="2560"/>
      </w:tblGrid>
      <w:tr>
        <w:trPr>
          <w:tblHeader/>
        </w:trPr>
        <w:tc>
          <w:tcPr>
            <w:tcBorders>
              <w:top w:val="single" w:color="0B1220" w:sz="12"/>
              <w:left w:val="none"/>
              <w:bottom w:val="single" w:color="0B1220" w:sz="12"/>
              <w:right w:val="none"/>
            </w:tcBorders>
            <w:shd w:fill="F1F5F9" w:val="clear"/>
          </w:tcPr>
          <w:p>
            <w:pPr>
              <w:jc w:val="center"/>
            </w:pPr>
            <w:r>
              <w:rPr>
                <w:b/>
                <w:bCs/>
                <w:sz w:val="22"/>
                <w:szCs w:val="22"/>
              </w:rPr>
              <w:t xml:space="preserve">Industria</w:t>
            </w:r>
          </w:p>
        </w:tc>
        <w:tc>
          <w:tcPr>
            <w:tcBorders>
              <w:top w:val="single" w:color="0B1220" w:sz="12"/>
              <w:left w:val="none"/>
              <w:bottom w:val="single" w:color="0B1220" w:sz="12"/>
              <w:right w:val="none"/>
            </w:tcBorders>
            <w:shd w:fill="F1F5F9" w:val="clear"/>
          </w:tcPr>
          <w:p>
            <w:pPr>
              <w:jc w:val="center"/>
            </w:pPr>
            <w:r>
              <w:rPr>
                <w:b/>
                <w:bCs/>
                <w:sz w:val="22"/>
                <w:szCs w:val="22"/>
              </w:rPr>
              <w:t xml:space="preserve">Cantidad</w:t>
            </w:r>
          </w:p>
        </w:tc>
        <w:tc>
          <w:tcPr>
            <w:tcBorders>
              <w:top w:val="single" w:color="0B1220" w:sz="12"/>
              <w:left w:val="none"/>
              <w:bottom w:val="single" w:color="0B1220" w:sz="12"/>
              <w:right w:val="none"/>
            </w:tcBorders>
            <w:shd w:fill="F1F5F9" w:val="clear"/>
          </w:tcPr>
          <w:p>
            <w:pPr>
              <w:jc w:val="center"/>
            </w:pPr>
            <w:r>
              <w:rPr>
                <w:b/>
                <w:bCs/>
                <w:sz w:val="22"/>
                <w:szCs w:val="22"/>
              </w:rPr>
              <w:t xml:space="preserve">DB Space</w:t>
            </w:r>
          </w:p>
        </w:tc>
        <w:tc>
          <w:tcPr>
            <w:tcBorders>
              <w:top w:val="single" w:color="0B1220" w:sz="12"/>
              <w:left w:val="none"/>
              <w:bottom w:val="single" w:color="0B1220" w:sz="12"/>
              <w:right w:val="none"/>
            </w:tcBorders>
            <w:shd w:fill="F1F5F9" w:val="clear"/>
          </w:tcPr>
          <w:p>
            <w:pPr>
              <w:jc w:val="center"/>
            </w:pPr>
            <w:r>
              <w:rPr>
                <w:b/>
                <w:bCs/>
                <w:sz w:val="22"/>
                <w:szCs w:val="22"/>
              </w:rPr>
              <w:t xml:space="preserve">Ingresos/mes</w:t>
            </w:r>
          </w:p>
        </w:tc>
      </w:tr>
      <w:tr>
        <w:tc>
          <w:tcPr>
            <w:tcBorders>
              <w:top w:val="single" w:color="0B1220" w:sz="12"/>
              <w:left w:val="none"/>
              <w:bottom w:val="single" w:color="0B1220" w:sz="12"/>
              <w:right w:val="none"/>
            </w:tcBorders>
          </w:tcPr>
          <w:p>
            <w:r>
              <w:rPr>
                <w:sz w:val="22"/>
                <w:szCs w:val="22"/>
              </w:rPr>
              <w:t xml:space="preserve">Pastelerías</w:t>
            </w:r>
          </w:p>
        </w:tc>
        <w:tc>
          <w:tcPr>
            <w:tcBorders>
              <w:top w:val="single" w:color="0B1220" w:sz="12"/>
              <w:left w:val="none"/>
              <w:bottom w:val="single" w:color="0B1220" w:sz="12"/>
              <w:right w:val="none"/>
            </w:tcBorders>
          </w:tcPr>
          <w:p>
            <w:pPr>
              <w:jc w:val="center"/>
            </w:pPr>
            <w:r>
              <w:rPr>
                <w:sz w:val="22"/>
                <w:szCs w:val="22"/>
              </w:rPr>
              <w:t xml:space="preserve">5</w:t>
            </w:r>
          </w:p>
        </w:tc>
        <w:tc>
          <w:tcPr>
            <w:tcBorders>
              <w:top w:val="single" w:color="0B1220" w:sz="12"/>
              <w:left w:val="none"/>
              <w:bottom w:val="single" w:color="0B1220" w:sz="12"/>
              <w:right w:val="none"/>
            </w:tcBorders>
          </w:tcPr>
          <w:p>
            <w:pPr>
              <w:jc w:val="center"/>
            </w:pPr>
            <w:r>
              <w:rPr>
                <w:sz w:val="22"/>
                <w:szCs w:val="22"/>
              </w:rPr>
              <w:t xml:space="preserve">40 MB</w:t>
            </w:r>
          </w:p>
        </w:tc>
        <w:tc>
          <w:tcPr>
            <w:tcBorders>
              <w:top w:val="single" w:color="0B1220" w:sz="12"/>
              <w:left w:val="none"/>
              <w:bottom w:val="single" w:color="0B1220" w:sz="12"/>
              <w:right w:val="none"/>
            </w:tcBorders>
          </w:tcPr>
          <w:p>
            <w:pPr>
              <w:jc w:val="center"/>
            </w:pPr>
            <w:r>
              <w:rPr>
                <w:sz w:val="22"/>
                <w:szCs w:val="22"/>
              </w:rPr>
              <w:t xml:space="preserve">TT$4,500</w:t>
            </w:r>
          </w:p>
        </w:tc>
      </w:tr>
      <w:tr>
        <w:tc>
          <w:tcPr>
            <w:tcBorders>
              <w:top w:val="single" w:color="0B1220" w:sz="12"/>
              <w:left w:val="none"/>
              <w:bottom w:val="single" w:color="0B1220" w:sz="12"/>
              <w:right w:val="none"/>
            </w:tcBorders>
          </w:tcPr>
          <w:p>
            <w:r>
              <w:rPr>
                <w:sz w:val="22"/>
                <w:szCs w:val="22"/>
              </w:rPr>
              <w:t xml:space="preserve">Clínicas</w:t>
            </w:r>
          </w:p>
        </w:tc>
        <w:tc>
          <w:tcPr>
            <w:tcBorders>
              <w:top w:val="single" w:color="0B1220" w:sz="12"/>
              <w:left w:val="none"/>
              <w:bottom w:val="single" w:color="0B1220" w:sz="12"/>
              <w:right w:val="none"/>
            </w:tcBorders>
          </w:tcPr>
          <w:p>
            <w:pPr>
              <w:jc w:val="center"/>
            </w:pPr>
            <w:r>
              <w:rPr>
                <w:sz w:val="22"/>
                <w:szCs w:val="22"/>
              </w:rPr>
              <w:t xml:space="preserve">3</w:t>
            </w:r>
          </w:p>
        </w:tc>
        <w:tc>
          <w:tcPr>
            <w:tcBorders>
              <w:top w:val="single" w:color="0B1220" w:sz="12"/>
              <w:left w:val="none"/>
              <w:bottom w:val="single" w:color="0B1220" w:sz="12"/>
              <w:right w:val="none"/>
            </w:tcBorders>
          </w:tcPr>
          <w:p>
            <w:pPr>
              <w:jc w:val="center"/>
            </w:pPr>
            <w:r>
              <w:rPr>
                <w:sz w:val="22"/>
                <w:szCs w:val="22"/>
              </w:rPr>
              <w:t xml:space="preserve">45 MB</w:t>
            </w:r>
          </w:p>
        </w:tc>
        <w:tc>
          <w:tcPr>
            <w:tcBorders>
              <w:top w:val="single" w:color="0B1220" w:sz="12"/>
              <w:left w:val="none"/>
              <w:bottom w:val="single" w:color="0B1220" w:sz="12"/>
              <w:right w:val="none"/>
            </w:tcBorders>
          </w:tcPr>
          <w:p>
            <w:pPr>
              <w:jc w:val="center"/>
            </w:pPr>
            <w:r>
              <w:rPr>
                <w:sz w:val="22"/>
                <w:szCs w:val="22"/>
              </w:rPr>
              <w:t xml:space="preserve">TT$6,600</w:t>
            </w:r>
          </w:p>
        </w:tc>
      </w:tr>
      <w:tr>
        <w:tc>
          <w:tcPr>
            <w:tcBorders>
              <w:top w:val="single" w:color="0B1220" w:sz="12"/>
              <w:left w:val="none"/>
              <w:bottom w:val="single" w:color="0B1220" w:sz="12"/>
              <w:right w:val="none"/>
            </w:tcBorders>
          </w:tcPr>
          <w:p>
            <w:r>
              <w:rPr>
                <w:sz w:val="22"/>
                <w:szCs w:val="22"/>
              </w:rPr>
              <w:t xml:space="preserve">Restaurantes</w:t>
            </w:r>
          </w:p>
        </w:tc>
        <w:tc>
          <w:tcPr>
            <w:tcBorders>
              <w:top w:val="single" w:color="0B1220" w:sz="12"/>
              <w:left w:val="none"/>
              <w:bottom w:val="single" w:color="0B1220" w:sz="12"/>
              <w:right w:val="none"/>
            </w:tcBorders>
          </w:tcPr>
          <w:p>
            <w:pPr>
              <w:jc w:val="center"/>
            </w:pPr>
            <w:r>
              <w:rPr>
                <w:sz w:val="22"/>
                <w:szCs w:val="22"/>
              </w:rPr>
              <w:t xml:space="preserve">4</w:t>
            </w:r>
          </w:p>
        </w:tc>
        <w:tc>
          <w:tcPr>
            <w:tcBorders>
              <w:top w:val="single" w:color="0B1220" w:sz="12"/>
              <w:left w:val="none"/>
              <w:bottom w:val="single" w:color="0B1220" w:sz="12"/>
              <w:right w:val="none"/>
            </w:tcBorders>
          </w:tcPr>
          <w:p>
            <w:pPr>
              <w:jc w:val="center"/>
            </w:pPr>
            <w:r>
              <w:rPr>
                <w:sz w:val="22"/>
                <w:szCs w:val="22"/>
              </w:rPr>
              <w:t xml:space="preserve">48 MB</w:t>
            </w:r>
          </w:p>
        </w:tc>
        <w:tc>
          <w:tcPr>
            <w:tcBorders>
              <w:top w:val="single" w:color="0B1220" w:sz="12"/>
              <w:left w:val="none"/>
              <w:bottom w:val="single" w:color="0B1220" w:sz="12"/>
              <w:right w:val="none"/>
            </w:tcBorders>
          </w:tcPr>
          <w:p>
            <w:pPr>
              <w:jc w:val="center"/>
            </w:pPr>
            <w:r>
              <w:rPr>
                <w:sz w:val="22"/>
                <w:szCs w:val="22"/>
              </w:rPr>
              <w:t xml:space="preserve">TT$5,200</w:t>
            </w:r>
          </w:p>
        </w:tc>
      </w:tr>
      <w:tr>
        <w:tc>
          <w:tcPr>
            <w:tcBorders>
              <w:top w:val="single" w:color="0B1220" w:sz="12"/>
              <w:left w:val="none"/>
              <w:bottom w:val="single" w:color="0B1220" w:sz="12"/>
              <w:right w:val="none"/>
            </w:tcBorders>
          </w:tcPr>
          <w:p>
            <w:r>
              <w:rPr>
                <w:sz w:val="22"/>
                <w:szCs w:val="22"/>
              </w:rPr>
              <w:t xml:space="preserve">Bares</w:t>
            </w:r>
          </w:p>
        </w:tc>
        <w:tc>
          <w:tcPr>
            <w:tcBorders>
              <w:top w:val="single" w:color="0B1220" w:sz="12"/>
              <w:left w:val="none"/>
              <w:bottom w:val="single" w:color="0B1220" w:sz="12"/>
              <w:right w:val="none"/>
            </w:tcBorders>
          </w:tcPr>
          <w:p>
            <w:pPr>
              <w:jc w:val="center"/>
            </w:pPr>
            <w:r>
              <w:rPr>
                <w:sz w:val="22"/>
                <w:szCs w:val="22"/>
              </w:rPr>
              <w:t xml:space="preserve">3</w:t>
            </w:r>
          </w:p>
        </w:tc>
        <w:tc>
          <w:tcPr>
            <w:tcBorders>
              <w:top w:val="single" w:color="0B1220" w:sz="12"/>
              <w:left w:val="none"/>
              <w:bottom w:val="single" w:color="0B1220" w:sz="12"/>
              <w:right w:val="none"/>
            </w:tcBorders>
          </w:tcPr>
          <w:p>
            <w:pPr>
              <w:jc w:val="center"/>
            </w:pPr>
            <w:r>
              <w:rPr>
                <w:sz w:val="22"/>
                <w:szCs w:val="22"/>
              </w:rPr>
              <w:t xml:space="preserve">30 MB</w:t>
            </w:r>
          </w:p>
        </w:tc>
        <w:tc>
          <w:tcPr>
            <w:tcBorders>
              <w:top w:val="single" w:color="0B1220" w:sz="12"/>
              <w:left w:val="none"/>
              <w:bottom w:val="single" w:color="0B1220" w:sz="12"/>
              <w:right w:val="none"/>
            </w:tcBorders>
          </w:tcPr>
          <w:p>
            <w:pPr>
              <w:jc w:val="center"/>
            </w:pPr>
            <w:r>
              <w:rPr>
                <w:sz w:val="22"/>
                <w:szCs w:val="22"/>
              </w:rPr>
              <w:t xml:space="preserve">TT$3,300</w:t>
            </w:r>
          </w:p>
        </w:tc>
      </w:tr>
      <w:tr>
        <w:tc>
          <w:tcPr>
            <w:tcBorders>
              <w:top w:val="single" w:color="0B1220" w:sz="12"/>
              <w:left w:val="none"/>
              <w:bottom w:val="single" w:color="0B1220" w:sz="12"/>
              <w:right w:val="none"/>
            </w:tcBorders>
          </w:tcPr>
          <w:p>
            <w:r>
              <w:rPr>
                <w:sz w:val="22"/>
                <w:szCs w:val="22"/>
              </w:rPr>
              <w:t xml:space="preserve">Salones Belleza</w:t>
            </w:r>
          </w:p>
        </w:tc>
        <w:tc>
          <w:tcPr>
            <w:tcBorders>
              <w:top w:val="single" w:color="0B1220" w:sz="12"/>
              <w:left w:val="none"/>
              <w:bottom w:val="single" w:color="0B1220" w:sz="12"/>
              <w:right w:val="none"/>
            </w:tcBorders>
          </w:tcPr>
          <w:p>
            <w:pPr>
              <w:jc w:val="center"/>
            </w:pPr>
            <w:r>
              <w:rPr>
                <w:sz w:val="22"/>
                <w:szCs w:val="22"/>
              </w:rPr>
              <w:t xml:space="preserve">5</w:t>
            </w:r>
          </w:p>
        </w:tc>
        <w:tc>
          <w:tcPr>
            <w:tcBorders>
              <w:top w:val="single" w:color="0B1220" w:sz="12"/>
              <w:left w:val="none"/>
              <w:bottom w:val="single" w:color="0B1220" w:sz="12"/>
              <w:right w:val="none"/>
            </w:tcBorders>
          </w:tcPr>
          <w:p>
            <w:pPr>
              <w:jc w:val="center"/>
            </w:pPr>
            <w:r>
              <w:rPr>
                <w:sz w:val="22"/>
                <w:szCs w:val="22"/>
              </w:rPr>
              <w:t xml:space="preserve">30 MB</w:t>
            </w:r>
          </w:p>
        </w:tc>
        <w:tc>
          <w:tcPr>
            <w:tcBorders>
              <w:top w:val="single" w:color="0B1220" w:sz="12"/>
              <w:left w:val="none"/>
              <w:bottom w:val="single" w:color="0B1220" w:sz="12"/>
              <w:right w:val="none"/>
            </w:tcBorders>
          </w:tcPr>
          <w:p>
            <w:pPr>
              <w:jc w:val="center"/>
            </w:pPr>
            <w:r>
              <w:rPr>
                <w:sz w:val="22"/>
                <w:szCs w:val="22"/>
              </w:rPr>
              <w:t xml:space="preserve">TT$5,500</w:t>
            </w:r>
          </w:p>
        </w:tc>
      </w:tr>
      <w:tr>
        <w:tc>
          <w:tcPr>
            <w:tcBorders>
              <w:top w:val="single" w:color="0B1220" w:sz="12"/>
              <w:left w:val="none"/>
              <w:bottom w:val="single" w:color="0B1220" w:sz="12"/>
              <w:right w:val="none"/>
            </w:tcBorders>
          </w:tcPr>
          <w:p>
            <w:r>
              <w:rPr>
                <w:sz w:val="22"/>
                <w:szCs w:val="22"/>
              </w:rPr>
              <w:t xml:space="preserve">Bufetes</w:t>
            </w:r>
          </w:p>
        </w:tc>
        <w:tc>
          <w:tcPr>
            <w:tcBorders>
              <w:top w:val="single" w:color="0B1220" w:sz="12"/>
              <w:left w:val="none"/>
              <w:bottom w:val="single" w:color="0B1220" w:sz="12"/>
              <w:right w:val="none"/>
            </w:tcBorders>
          </w:tcPr>
          <w:p>
            <w:pPr>
              <w:jc w:val="center"/>
            </w:pPr>
            <w:r>
              <w:rPr>
                <w:sz w:val="22"/>
                <w:szCs w:val="22"/>
              </w:rPr>
              <w:t xml:space="preserve">3</w:t>
            </w:r>
          </w:p>
        </w:tc>
        <w:tc>
          <w:tcPr>
            <w:tcBorders>
              <w:top w:val="single" w:color="0B1220" w:sz="12"/>
              <w:left w:val="none"/>
              <w:bottom w:val="single" w:color="0B1220" w:sz="12"/>
              <w:right w:val="none"/>
            </w:tcBorders>
          </w:tcPr>
          <w:p>
            <w:pPr>
              <w:jc w:val="center"/>
            </w:pPr>
            <w:r>
              <w:rPr>
                <w:sz w:val="22"/>
                <w:szCs w:val="22"/>
              </w:rPr>
              <w:t xml:space="preserve">30 MB</w:t>
            </w:r>
          </w:p>
        </w:tc>
        <w:tc>
          <w:tcPr>
            <w:tcBorders>
              <w:top w:val="single" w:color="0B1220" w:sz="12"/>
              <w:left w:val="none"/>
              <w:bottom w:val="single" w:color="0B1220" w:sz="12"/>
              <w:right w:val="none"/>
            </w:tcBorders>
          </w:tcPr>
          <w:p>
            <w:pPr>
              <w:jc w:val="center"/>
            </w:pPr>
            <w:r>
              <w:rPr>
                <w:sz w:val="22"/>
                <w:szCs w:val="22"/>
              </w:rPr>
              <w:t xml:space="preserve">TT$8,400</w:t>
            </w:r>
          </w:p>
        </w:tc>
      </w:tr>
      <w:tr>
        <w:tc>
          <w:tcPr>
            <w:tcBorders>
              <w:top w:val="single" w:color="0B1220" w:sz="12"/>
              <w:left w:val="none"/>
              <w:bottom w:val="single" w:color="0B1220" w:sz="12"/>
              <w:right w:val="none"/>
            </w:tcBorders>
          </w:tcPr>
          <w:p>
            <w:r>
              <w:rPr>
                <w:sz w:val="22"/>
                <w:szCs w:val="22"/>
              </w:rPr>
              <w:t xml:space="preserve">Farmacias</w:t>
            </w:r>
          </w:p>
        </w:tc>
        <w:tc>
          <w:tcPr>
            <w:tcBorders>
              <w:top w:val="single" w:color="0B1220" w:sz="12"/>
              <w:left w:val="none"/>
              <w:bottom w:val="single" w:color="0B1220" w:sz="12"/>
              <w:right w:val="none"/>
            </w:tcBorders>
          </w:tcPr>
          <w:p>
            <w:pPr>
              <w:jc w:val="center"/>
            </w:pPr>
            <w:r>
              <w:rPr>
                <w:sz w:val="22"/>
                <w:szCs w:val="22"/>
              </w:rPr>
              <w:t xml:space="preserve">2</w:t>
            </w:r>
          </w:p>
        </w:tc>
        <w:tc>
          <w:tcPr>
            <w:tcBorders>
              <w:top w:val="single" w:color="0B1220" w:sz="12"/>
              <w:left w:val="none"/>
              <w:bottom w:val="single" w:color="0B1220" w:sz="12"/>
              <w:right w:val="none"/>
            </w:tcBorders>
          </w:tcPr>
          <w:p>
            <w:pPr>
              <w:jc w:val="center"/>
            </w:pPr>
            <w:r>
              <w:rPr>
                <w:sz w:val="22"/>
                <w:szCs w:val="22"/>
              </w:rPr>
              <w:t xml:space="preserve">40 MB</w:t>
            </w:r>
          </w:p>
        </w:tc>
        <w:tc>
          <w:tcPr>
            <w:tcBorders>
              <w:top w:val="single" w:color="0B1220" w:sz="12"/>
              <w:left w:val="none"/>
              <w:bottom w:val="single" w:color="0B1220" w:sz="12"/>
              <w:right w:val="none"/>
            </w:tcBorders>
          </w:tcPr>
          <w:p>
            <w:pPr>
              <w:jc w:val="center"/>
            </w:pPr>
            <w:r>
              <w:rPr>
                <w:sz w:val="22"/>
                <w:szCs w:val="22"/>
              </w:rPr>
              <w:t xml:space="preserve">TT$6,400</w:t>
            </w:r>
          </w:p>
        </w:tc>
      </w:tr>
      <w:tr>
        <w:tc>
          <w:tcPr>
            <w:tcBorders>
              <w:top w:val="single" w:color="0B1220" w:sz="12"/>
              <w:left w:val="none"/>
              <w:bottom w:val="single" w:color="0B1220" w:sz="12"/>
              <w:right w:val="none"/>
            </w:tcBorders>
            <w:shd w:fill="FDF6E1" w:val="clear"/>
          </w:tcPr>
          <w:p>
            <w:r>
              <w:rPr>
                <w:b/>
                <w:bCs/>
                <w:sz w:val="22"/>
                <w:szCs w:val="22"/>
              </w:rPr>
              <w:t xml:space="preserve">TOTAL</w:t>
            </w:r>
          </w:p>
        </w:tc>
        <w:tc>
          <w:tcPr>
            <w:tcBorders>
              <w:top w:val="single" w:color="0B1220" w:sz="12"/>
              <w:left w:val="none"/>
              <w:bottom w:val="single" w:color="0B1220" w:sz="12"/>
              <w:right w:val="none"/>
            </w:tcBorders>
            <w:shd w:fill="FDF6E1" w:val="clear"/>
          </w:tcPr>
          <w:p>
            <w:pPr>
              <w:jc w:val="center"/>
            </w:pPr>
            <w:r>
              <w:rPr>
                <w:b/>
                <w:bCs/>
                <w:sz w:val="22"/>
                <w:szCs w:val="22"/>
              </w:rPr>
              <w:t xml:space="preserve">25 empresas</w:t>
            </w:r>
          </w:p>
        </w:tc>
        <w:tc>
          <w:tcPr>
            <w:tcBorders>
              <w:top w:val="single" w:color="0B1220" w:sz="12"/>
              <w:left w:val="none"/>
              <w:bottom w:val="single" w:color="0B1220" w:sz="12"/>
              <w:right w:val="none"/>
            </w:tcBorders>
            <w:shd w:fill="FDF6E1" w:val="clear"/>
          </w:tcPr>
          <w:p>
            <w:pPr>
              <w:jc w:val="center"/>
            </w:pPr>
            <w:r>
              <w:rPr>
                <w:b/>
                <w:bCs/>
                <w:sz w:val="22"/>
                <w:szCs w:val="22"/>
              </w:rPr>
              <w:t xml:space="preserve">263 MB</w:t>
            </w:r>
          </w:p>
        </w:tc>
        <w:tc>
          <w:tcPr>
            <w:tcBorders>
              <w:top w:val="single" w:color="0B1220" w:sz="12"/>
              <w:left w:val="none"/>
              <w:bottom w:val="single" w:color="0B1220" w:sz="12"/>
              <w:right w:val="none"/>
            </w:tcBorders>
            <w:shd w:fill="FDF6E1" w:val="clear"/>
          </w:tcPr>
          <w:p>
            <w:pPr>
              <w:jc w:val="center"/>
            </w:pPr>
            <w:r>
              <w:rPr>
                <w:b/>
                <w:bCs/>
                <w:sz w:val="22"/>
                <w:szCs w:val="22"/>
              </w:rPr>
              <w:t xml:space="preserve">TT$39,900</w:t>
            </w:r>
          </w:p>
        </w:tc>
      </w:tr>
    </w:tbl>
    <w:p>
      <w:pPr>
        <w:spacing w:after="400"/>
      </w:pPr>
      <w:r>
        <w:rPr>
          <w:i/>
          <w:iCs/>
          <w:color w:val="2B2B2B"/>
          <w:sz w:val="18"/>
          <w:szCs w:val="18"/>
        </w:rPr>
        <w:t xml:space="preserve">Tabla: Distribución óptima para maximizar ingresos en tier gratuito</w:t>
      </w:r>
    </w:p>
    <w:p>
      <w:pPr>
        <w:pStyle w:val="Heading1"/>
      </w:pPr>
      <w:r>
        <w:t xml:space="preserve">5. Recomendaciones Estratégicas</w:t>
      </w:r>
    </w:p>
    <w:p>
      <w:pPr>
        <w:pStyle w:val="Heading2"/>
      </w:pPr>
      <w:r>
        <w:t xml:space="preserve">5.1 Fase de Validación (0-6 meses)</w:t>
      </w:r>
    </w:p>
    <w:p>
      <w:pPr>
        <w:pStyle w:val="ListParagraph"/>
        <w:numPr>
          <w:ilvl w:val="0"/>
          <w:numId w:val="2"/>
        </w:numPr>
      </w:pPr>
      <w:r>
        <w:rPr>
          <w:sz w:val="24"/>
          <w:szCs w:val="24"/>
        </w:rPr>
        <w:t xml:space="preserve">Usar EXCLUSIVAMENTE el tier gratuito para validar el modelo de negocio</w:t>
      </w:r>
    </w:p>
    <w:p>
      <w:pPr>
        <w:pStyle w:val="ListParagraph"/>
        <w:numPr>
          <w:ilvl w:val="0"/>
          <w:numId w:val="2"/>
        </w:numPr>
      </w:pPr>
      <w:r>
        <w:rPr>
          <w:sz w:val="24"/>
          <w:szCs w:val="24"/>
        </w:rPr>
        <w:t xml:space="preserve">Objetivo: Conseguir 10-15 clientes pagados antes de considerar upgrade</w:t>
      </w:r>
    </w:p>
    <w:p>
      <w:pPr>
        <w:pStyle w:val="ListParagraph"/>
        <w:numPr>
          <w:ilvl w:val="0"/>
          <w:numId w:val="2"/>
        </w:numPr>
      </w:pPr>
      <w:r>
        <w:rPr>
          <w:sz w:val="24"/>
          <w:szCs w:val="24"/>
        </w:rPr>
        <w:t xml:space="preserve">Implementar monitoreo proactivo de uso de almacenamiento (alertas al 70%)</w:t>
      </w:r>
    </w:p>
    <w:p>
      <w:pPr>
        <w:pStyle w:val="ListParagraph"/>
        <w:numPr>
          <w:ilvl w:val="0"/>
          <w:numId w:val="2"/>
        </w:numPr>
      </w:pPr>
      <w:r>
        <w:rPr>
          <w:sz w:val="24"/>
          <w:szCs w:val="24"/>
        </w:rPr>
        <w:t xml:space="preserve">Migrar a PostgreSQL con Supabase desde el inicio (ya decidido)</w:t>
      </w:r>
    </w:p>
    <w:p>
      <w:pPr>
        <w:pStyle w:val="Heading2"/>
      </w:pPr>
      <w:r>
        <w:t xml:space="preserve">5.2 Fase de Escalamiento (6-18 meses)</w:t>
      </w:r>
    </w:p>
    <w:p>
      <w:pPr>
        <w:pStyle w:val="ListParagraph"/>
        <w:numPr>
          <w:ilvl w:val="0"/>
          <w:numId w:val="2"/>
        </w:numPr>
      </w:pPr>
      <w:r>
        <w:rPr>
          <w:sz w:val="24"/>
          <w:szCs w:val="24"/>
        </w:rPr>
        <w:t xml:space="preserve">Upgrade a Supabase Pro ($25/mes): 8GB DB, 100GB transfer, backup diario</w:t>
      </w:r>
    </w:p>
    <w:p>
      <w:pPr>
        <w:pStyle w:val="ListParagraph"/>
        <w:numPr>
          <w:ilvl w:val="0"/>
          <w:numId w:val="2"/>
        </w:numPr>
      </w:pPr>
      <w:r>
        <w:rPr>
          <w:sz w:val="24"/>
          <w:szCs w:val="24"/>
        </w:rPr>
        <w:t xml:space="preserve">Capacidad estimada: 150-200 empresas con plan Pro</w:t>
      </w:r>
    </w:p>
    <w:p>
      <w:pPr>
        <w:pStyle w:val="ListParagraph"/>
        <w:numPr>
          <w:ilvl w:val="0"/>
          <w:numId w:val="2"/>
        </w:numPr>
      </w:pPr>
      <w:r>
        <w:rPr>
          <w:sz w:val="24"/>
          <w:szCs w:val="24"/>
        </w:rPr>
        <w:t xml:space="preserve">Vercel Pro ($20/mes): Solo necesario si se excede ancho de banda</w:t>
      </w:r>
    </w:p>
    <w:p>
      <w:pPr>
        <w:pStyle w:val="Heading2"/>
      </w:pPr>
      <w:r>
        <w:t xml:space="preserve">5.3 Por qué PostgreSQL/Supabase es la decisión correcta</w:t>
      </w:r>
    </w:p>
    <w:p>
      <w:pPr>
        <w:spacing w:after="200"/>
      </w:pPr>
      <w:r>
        <w:rPr>
          <w:sz w:val="24"/>
          <w:szCs w:val="24"/>
        </w:rPr>
        <w:t xml:space="preserve">A diferencia de SQLite, PostgreSQL ofrece: integridad referencial completa con CASCADE, concurrencia real para múltiples usuarios, escalabilidad sin límites técnicos, y la posibilidad de usar características avanzadas como full-text search y JSON nativo. Supabase específicamente añade autenticación integrada, realtime subscriptions para telemedicina, y un generoso tier gratuito de 500MB que permite validar el negocio antes de invertir.</w:t>
      </w:r>
    </w:p>
    <w:p>
      <w:pPr>
        <w:pStyle w:val="Heading1"/>
      </w:pPr>
      <w:r>
        <w:t xml:space="preserve">6. Conclusión</w:t>
      </w:r>
    </w:p>
    <w:p>
      <w:pPr>
        <w:spacing w:after="200"/>
      </w:pPr>
      <w:r>
        <w:rPr>
          <w:sz w:val="24"/>
          <w:szCs w:val="24"/>
        </w:rPr>
        <w:t xml:space="preserve">El stack Vercel Free + Supabase Free + GitHub Free es PERFECTAMENTE VIABLE para iniciar AETHEL OS como negocio real. Con capacidad para 25-30 empresas activas generando aproximadamente TT$35,000-45,000 mensuales en ingresos recurrentes, el tier gratuito proporciona suficiente margen para validar el modelo de negocio y generar flujo de caja positivo antes de cualquier inversión en infraestructura.</w:t>
      </w:r>
    </w:p>
    <w:p>
      <w:r>
        <w:rPr>
          <w:sz w:val="24"/>
          <w:szCs w:val="24"/>
        </w:rPr>
        <w:t xml:space="preserve">La decisión de usar PostgreSQL desde el inicio es estratégicamente correcta para un proyecto con ambiciones de escala, ya que elimina la fricción de migración posterior y permite usar todas las características avanzadas que SQLite no soporta.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2B2B2B"/>
        <w:sz w:val="20"/>
        <w:szCs w:val="20"/>
      </w:rPr>
      <w:t xml:space="preserve">AETHEL OS - Análisis de Capacidad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2026-04-05T14:08:33.748Z</dcterms:created>
  <dcterms:modified xsi:type="dcterms:W3CDTF">2026-04-05T14:08:33.748Z</dcterms:modified>
</cp:coreProperties>
</file>

<file path=docProps/custom.xml><?xml version="1.0" encoding="utf-8"?>
<Properties xmlns="http://schemas.openxmlformats.org/officeDocument/2006/custom-properties" xmlns:vt="http://schemas.openxmlformats.org/officeDocument/2006/docPropsVTypes"/>
</file>