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30550" w14:textId="78BF43B6" w:rsidR="006116C2" w:rsidRDefault="006116C2" w:rsidP="006116C2">
      <w:pPr>
        <w:spacing w:before="100" w:beforeAutospacing="1" w:after="100" w:afterAutospacing="1" w:line="480" w:lineRule="auto"/>
        <w:jc w:val="center"/>
        <w:outlineLvl w:val="0"/>
        <w:rPr>
          <w:rFonts w:ascii="Times New Roman" w:eastAsia="Times New Roman" w:hAnsi="Times New Roman" w:cs="Times New Roman"/>
          <w:b/>
          <w:bCs/>
          <w:color w:val="000000"/>
          <w:kern w:val="36"/>
          <w14:ligatures w14:val="none"/>
        </w:rPr>
      </w:pPr>
      <w:r w:rsidRPr="006116C2">
        <w:rPr>
          <w:rFonts w:ascii="Times New Roman" w:eastAsia="Times New Roman" w:hAnsi="Times New Roman" w:cs="Times New Roman"/>
          <w:b/>
          <w:bCs/>
          <w:color w:val="000000"/>
          <w:kern w:val="36"/>
          <w14:ligatures w14:val="none"/>
        </w:rPr>
        <w:t>OAuth, Authorization, and Password Risk</w:t>
      </w:r>
    </w:p>
    <w:p w14:paraId="723FCA47" w14:textId="77777777" w:rsidR="006116C2" w:rsidRPr="006116C2" w:rsidRDefault="006116C2" w:rsidP="006116C2">
      <w:pPr>
        <w:spacing w:before="100" w:beforeAutospacing="1" w:after="100" w:afterAutospacing="1" w:line="480" w:lineRule="auto"/>
        <w:jc w:val="center"/>
        <w:outlineLvl w:val="0"/>
        <w:rPr>
          <w:rFonts w:ascii="Times New Roman" w:eastAsia="Times New Roman" w:hAnsi="Times New Roman" w:cs="Times New Roman"/>
          <w:b/>
          <w:bCs/>
          <w:color w:val="000000"/>
          <w:kern w:val="36"/>
          <w14:ligatures w14:val="none"/>
        </w:rPr>
      </w:pPr>
    </w:p>
    <w:p w14:paraId="0C6F9BEB" w14:textId="3B15D6B0" w:rsidR="006116C2" w:rsidRPr="006116C2" w:rsidRDefault="006116C2" w:rsidP="006116C2">
      <w:pPr>
        <w:spacing w:before="100" w:beforeAutospacing="1" w:after="100" w:afterAutospacing="1" w:line="480" w:lineRule="auto"/>
        <w:jc w:val="center"/>
        <w:rPr>
          <w:rFonts w:ascii="Times New Roman" w:eastAsia="Times New Roman" w:hAnsi="Times New Roman" w:cs="Times New Roman"/>
          <w:color w:val="000000"/>
          <w:kern w:val="0"/>
          <w14:ligatures w14:val="none"/>
        </w:rPr>
      </w:pPr>
      <w:r w:rsidRPr="006116C2">
        <w:rPr>
          <w:rFonts w:ascii="Times New Roman" w:eastAsia="Times New Roman" w:hAnsi="Times New Roman" w:cs="Times New Roman"/>
          <w:color w:val="000000"/>
          <w:kern w:val="0"/>
          <w14:ligatures w14:val="none"/>
        </w:rPr>
        <w:t xml:space="preserve">Joshua </w:t>
      </w:r>
      <w:r w:rsidRPr="006116C2">
        <w:rPr>
          <w:rFonts w:ascii="Times New Roman" w:eastAsia="Times New Roman" w:hAnsi="Times New Roman" w:cs="Times New Roman"/>
          <w:color w:val="000000"/>
          <w:kern w:val="0"/>
          <w14:ligatures w14:val="none"/>
        </w:rPr>
        <w:t>Coman</w:t>
      </w:r>
      <w:r w:rsidRPr="006116C2">
        <w:rPr>
          <w:rFonts w:ascii="Times New Roman" w:eastAsia="Times New Roman" w:hAnsi="Times New Roman" w:cs="Times New Roman"/>
          <w:color w:val="000000"/>
          <w:kern w:val="0"/>
          <w14:ligatures w14:val="none"/>
        </w:rPr>
        <w:br/>
        <w:t>The University of Arizona Global Campus</w:t>
      </w:r>
      <w:r w:rsidRPr="006116C2">
        <w:rPr>
          <w:rFonts w:ascii="Times New Roman" w:eastAsia="Times New Roman" w:hAnsi="Times New Roman" w:cs="Times New Roman"/>
          <w:color w:val="000000"/>
          <w:kern w:val="0"/>
          <w14:ligatures w14:val="none"/>
        </w:rPr>
        <w:br/>
        <w:t>INT-499 Capstone in Information Technology</w:t>
      </w:r>
      <w:r w:rsidRPr="006116C2">
        <w:rPr>
          <w:rFonts w:ascii="Times New Roman" w:eastAsia="Times New Roman" w:hAnsi="Times New Roman" w:cs="Times New Roman"/>
          <w:color w:val="000000"/>
          <w:kern w:val="0"/>
          <w14:ligatures w14:val="none"/>
        </w:rPr>
        <w:br/>
        <w:t xml:space="preserve">Instructor: </w:t>
      </w:r>
      <w:r w:rsidRPr="006116C2">
        <w:rPr>
          <w:rFonts w:ascii="Times New Roman" w:eastAsia="Times New Roman" w:hAnsi="Times New Roman" w:cs="Times New Roman"/>
          <w:color w:val="000000"/>
          <w:kern w:val="0"/>
          <w14:ligatures w14:val="none"/>
        </w:rPr>
        <w:t>John Russel</w:t>
      </w:r>
      <w:r w:rsidRPr="006116C2">
        <w:rPr>
          <w:rFonts w:ascii="Times New Roman" w:eastAsia="Times New Roman" w:hAnsi="Times New Roman" w:cs="Times New Roman"/>
          <w:color w:val="000000"/>
          <w:kern w:val="0"/>
          <w14:ligatures w14:val="none"/>
        </w:rPr>
        <w:br/>
        <w:t xml:space="preserve">September </w:t>
      </w:r>
      <w:r w:rsidR="00AA0233">
        <w:rPr>
          <w:rFonts w:ascii="Times New Roman" w:eastAsia="Times New Roman" w:hAnsi="Times New Roman" w:cs="Times New Roman"/>
          <w:color w:val="000000"/>
          <w:kern w:val="0"/>
          <w14:ligatures w14:val="none"/>
        </w:rPr>
        <w:t>2</w:t>
      </w:r>
      <w:r w:rsidRPr="006116C2">
        <w:rPr>
          <w:rFonts w:ascii="Times New Roman" w:eastAsia="Times New Roman" w:hAnsi="Times New Roman" w:cs="Times New Roman"/>
          <w:color w:val="000000"/>
          <w:kern w:val="0"/>
          <w14:ligatures w14:val="none"/>
        </w:rPr>
        <w:t>, 2025</w:t>
      </w:r>
    </w:p>
    <w:p w14:paraId="58F36D66" w14:textId="6974CA40" w:rsidR="006116C2" w:rsidRPr="006116C2" w:rsidRDefault="006116C2" w:rsidP="006116C2">
      <w:pPr>
        <w:spacing w:line="480" w:lineRule="auto"/>
        <w:rPr>
          <w:rFonts w:ascii="Times New Roman" w:eastAsia="Times New Roman" w:hAnsi="Times New Roman" w:cs="Times New Roman"/>
          <w:color w:val="000000"/>
          <w:kern w:val="0"/>
          <w14:ligatures w14:val="none"/>
        </w:rPr>
      </w:pPr>
    </w:p>
    <w:p w14:paraId="02AE3623" w14:textId="2B400F64" w:rsidR="006116C2" w:rsidRDefault="009E2D77" w:rsidP="009E2D77">
      <w:pPr>
        <w:spacing w:before="100" w:beforeAutospacing="1" w:after="100" w:afterAutospacing="1" w:line="48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GitHub: </w:t>
      </w:r>
    </w:p>
    <w:p w14:paraId="0555FF30" w14:textId="4F2B87FD" w:rsidR="009E2D77" w:rsidRDefault="009E2D77">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0DB3CB41"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lastRenderedPageBreak/>
        <w:t>Introduction</w:t>
      </w:r>
    </w:p>
    <w:p w14:paraId="45893E07"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OAuth reduces password exposure by replacing shared credentials with scoped access tokens. It enables third-party access with user consent without giving the client the user’s password. This paper explains the aim of OAuth, the problem it solves, real-world use, risks from misuse as an authentication method, how OAuth 2.0 differs from OAuth 1.0, the roles in OAuth 2.0, and how OpenID Connect (OIDC) adds a standards-based login layer. Thesis: OAuth is a delegation framework that protects passwords through token-based access, and OIDC adds the missing identity layer for login.</w:t>
      </w:r>
    </w:p>
    <w:p w14:paraId="3D1D5BF9"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Purpose of OAuth and the password problem it solves</w:t>
      </w:r>
    </w:p>
    <w:p w14:paraId="2A5E3999"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OAuth enables delegated access to protected APIs with time-bound, scope-bound tokens instead of shared passwords. A user can grant an app access to a subset of data or actions, then revoke that grant without changing a password. </w:t>
      </w:r>
      <w:proofErr w:type="gramStart"/>
      <w:r w:rsidRPr="009E2D77">
        <w:rPr>
          <w:rFonts w:ascii="Times New Roman" w:hAnsi="Times New Roman" w:cs="Times New Roman"/>
        </w:rPr>
        <w:t>This model limits blast radius,</w:t>
      </w:r>
      <w:proofErr w:type="gramEnd"/>
      <w:r w:rsidRPr="009E2D77">
        <w:rPr>
          <w:rFonts w:ascii="Times New Roman" w:hAnsi="Times New Roman" w:cs="Times New Roman"/>
        </w:rPr>
        <w:t xml:space="preserve"> supports least-privilege access, and removes password storage from downstream apps (Hardt, 2012; Jones &amp; Hardt, 2012).</w:t>
      </w:r>
    </w:p>
    <w:p w14:paraId="7BD469C3"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Real-world use</w:t>
      </w:r>
    </w:p>
    <w:p w14:paraId="1EEA4D1C"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Common patterns include: a photo print app that pulls albums from a cloud photo service; a CI job that reads a private </w:t>
      </w:r>
      <w:proofErr w:type="spellStart"/>
      <w:r w:rsidRPr="009E2D77">
        <w:rPr>
          <w:rFonts w:ascii="Times New Roman" w:hAnsi="Times New Roman" w:cs="Times New Roman"/>
        </w:rPr>
        <w:t>Git</w:t>
      </w:r>
      <w:proofErr w:type="spellEnd"/>
      <w:r w:rsidRPr="009E2D77">
        <w:rPr>
          <w:rFonts w:ascii="Times New Roman" w:hAnsi="Times New Roman" w:cs="Times New Roman"/>
        </w:rPr>
        <w:t xml:space="preserve"> repo with a short-lived token; a fitness app that posts new runs to a training platform after the user grants a scope such as </w:t>
      </w:r>
      <w:proofErr w:type="gramStart"/>
      <w:r w:rsidRPr="009E2D77">
        <w:rPr>
          <w:rFonts w:ascii="Times New Roman" w:hAnsi="Times New Roman" w:cs="Times New Roman"/>
        </w:rPr>
        <w:t>write:</w:t>
      </w:r>
      <w:proofErr w:type="gramEnd"/>
      <w:r w:rsidRPr="009E2D77">
        <w:rPr>
          <w:rFonts w:ascii="Times New Roman" w:hAnsi="Times New Roman" w:cs="Times New Roman"/>
        </w:rPr>
        <w:t xml:space="preserve"> workouts. Each case uses bearer tokens over TLS with server checks for scope and token life (Jones &amp; Hardt, 2012; Hardt, 2012).</w:t>
      </w:r>
    </w:p>
    <w:p w14:paraId="0405846C" w14:textId="77777777" w:rsidR="009E2D77" w:rsidRDefault="009E2D77" w:rsidP="009E2D77">
      <w:pPr>
        <w:spacing w:line="480" w:lineRule="auto"/>
        <w:rPr>
          <w:rFonts w:ascii="Times New Roman" w:hAnsi="Times New Roman" w:cs="Times New Roman"/>
        </w:rPr>
      </w:pPr>
    </w:p>
    <w:p w14:paraId="1D9CFAF9" w14:textId="339F5ED3"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Risks from using OAuth for “login” without OIDC</w:t>
      </w:r>
    </w:p>
    <w:p w14:paraId="2A54E718" w14:textId="77777777" w:rsidR="009E2D77" w:rsidRDefault="009E2D77" w:rsidP="009E2D77">
      <w:pPr>
        <w:spacing w:line="480" w:lineRule="auto"/>
        <w:rPr>
          <w:rFonts w:ascii="Times New Roman" w:hAnsi="Times New Roman" w:cs="Times New Roman"/>
        </w:rPr>
      </w:pPr>
      <w:r w:rsidRPr="009E2D77">
        <w:rPr>
          <w:rFonts w:ascii="Times New Roman" w:hAnsi="Times New Roman" w:cs="Times New Roman"/>
        </w:rPr>
        <w:lastRenderedPageBreak/>
        <w:t>OAuth covers authorization, not identity. If a site treats an access token as proof of identity, it can open paths to token substitution, mix-up, or a confused-deputy outcome. The safer pattern uses OIDC’s ID Token for identity and keeps the OAuth access token for API access. Current guidance favors the authorization code flow with PKCE and strict redirect URI enforcement to cut code interception and mix-up risk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 </w:t>
      </w:r>
      <w:proofErr w:type="spellStart"/>
      <w:r w:rsidRPr="009E2D77">
        <w:rPr>
          <w:rFonts w:ascii="Times New Roman" w:hAnsi="Times New Roman" w:cs="Times New Roman"/>
        </w:rPr>
        <w:t>Sakimura</w:t>
      </w:r>
      <w:proofErr w:type="spellEnd"/>
      <w:r w:rsidRPr="009E2D77">
        <w:rPr>
          <w:rFonts w:ascii="Times New Roman" w:hAnsi="Times New Roman" w:cs="Times New Roman"/>
        </w:rPr>
        <w:t xml:space="preserve"> et al., 2023; Jones, Hardt, &amp; </w:t>
      </w:r>
      <w:proofErr w:type="spellStart"/>
      <w:r w:rsidRPr="009E2D77">
        <w:rPr>
          <w:rFonts w:ascii="Times New Roman" w:hAnsi="Times New Roman" w:cs="Times New Roman"/>
        </w:rPr>
        <w:t>Sakimura</w:t>
      </w:r>
      <w:proofErr w:type="spellEnd"/>
      <w:r w:rsidRPr="009E2D77">
        <w:rPr>
          <w:rFonts w:ascii="Times New Roman" w:hAnsi="Times New Roman" w:cs="Times New Roman"/>
        </w:rPr>
        <w:t>, 2015).</w:t>
      </w:r>
    </w:p>
    <w:p w14:paraId="728B11DA" w14:textId="77777777" w:rsidR="009E2D77" w:rsidRPr="009E2D77" w:rsidRDefault="009E2D77" w:rsidP="009E2D77">
      <w:pPr>
        <w:spacing w:line="480" w:lineRule="auto"/>
        <w:rPr>
          <w:rFonts w:ascii="Times New Roman" w:hAnsi="Times New Roman" w:cs="Times New Roman"/>
        </w:rPr>
      </w:pPr>
    </w:p>
    <w:p w14:paraId="163245E2"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OAuth 2.0 vs. OAuth 1.0</w:t>
      </w:r>
    </w:p>
    <w:p w14:paraId="21AFB17D" w14:textId="75E2149C"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Function and crypto</w:t>
      </w:r>
      <w:r>
        <w:rPr>
          <w:rFonts w:ascii="Times New Roman" w:hAnsi="Times New Roman" w:cs="Times New Roman"/>
        </w:rPr>
        <w:t>:</w:t>
      </w:r>
      <w:r w:rsidRPr="009E2D77">
        <w:rPr>
          <w:rFonts w:ascii="Times New Roman" w:hAnsi="Times New Roman" w:cs="Times New Roman"/>
        </w:rPr>
        <w:t> OAuth 1.0 signs each request (HMAC-SHA1, RSA-SHA1, or PLAINTEXT). OAuth 2.0 uses bearer tokens with TLS for channel protection, which reduces client work and fits web, mobile, desktop, and device apps (Hammer-Lahav, 2010; Jones &amp; Hardt, 2012).</w:t>
      </w:r>
    </w:p>
    <w:p w14:paraId="6C38DFB3" w14:textId="4174F0EA"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Terminology and flows</w:t>
      </w:r>
      <w:r>
        <w:rPr>
          <w:rFonts w:ascii="Times New Roman" w:hAnsi="Times New Roman" w:cs="Times New Roman"/>
        </w:rPr>
        <w:t>:</w:t>
      </w:r>
      <w:r w:rsidRPr="009E2D77">
        <w:rPr>
          <w:rFonts w:ascii="Times New Roman" w:hAnsi="Times New Roman" w:cs="Times New Roman"/>
        </w:rPr>
        <w:t xml:space="preserve"> Both define resource owner, client, and resource server patterns, yet OAuth 2.0 formalizes grant types and scope use across web, native, and SPA clients. The code flow with PKCE is the default for public clients; the implicit flow has fallen out of favor (Hardt, 2012; Jones et al., 2015;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w:t>
      </w:r>
    </w:p>
    <w:p w14:paraId="5CEAC751" w14:textId="68B92560" w:rsidR="009E2D77" w:rsidRDefault="009E2D77" w:rsidP="009E2D77">
      <w:pPr>
        <w:spacing w:line="480" w:lineRule="auto"/>
        <w:rPr>
          <w:rFonts w:ascii="Times New Roman" w:hAnsi="Times New Roman" w:cs="Times New Roman"/>
        </w:rPr>
      </w:pPr>
      <w:r w:rsidRPr="009E2D77">
        <w:rPr>
          <w:rFonts w:ascii="Times New Roman" w:hAnsi="Times New Roman" w:cs="Times New Roman"/>
        </w:rPr>
        <w:t>Security posture</w:t>
      </w:r>
      <w:r>
        <w:rPr>
          <w:rFonts w:ascii="Times New Roman" w:hAnsi="Times New Roman" w:cs="Times New Roman"/>
        </w:rPr>
        <w:t xml:space="preserve">: </w:t>
      </w:r>
      <w:r w:rsidRPr="009E2D77">
        <w:rPr>
          <w:rFonts w:ascii="Times New Roman" w:hAnsi="Times New Roman" w:cs="Times New Roman"/>
        </w:rPr>
        <w:t> Best-current-practice guidance deprecates weaker modes and sets guardrails: use code + PKCE, sender-constrained tokens where possible, strict redirect handling, and tight scope design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 Jones et al., 2015).</w:t>
      </w:r>
    </w:p>
    <w:p w14:paraId="07CAA129" w14:textId="77777777" w:rsidR="009E2D77" w:rsidRPr="009E2D77" w:rsidRDefault="009E2D77" w:rsidP="009E2D77">
      <w:pPr>
        <w:spacing w:line="480" w:lineRule="auto"/>
        <w:rPr>
          <w:rFonts w:ascii="Times New Roman" w:hAnsi="Times New Roman" w:cs="Times New Roman"/>
        </w:rPr>
      </w:pPr>
    </w:p>
    <w:p w14:paraId="35ED60D8"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Roles in OAuth 2.0 and their duties</w:t>
      </w:r>
    </w:p>
    <w:p w14:paraId="6EA8FFF4"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lastRenderedPageBreak/>
        <w:t>Resource Owner: the user who grants access.</w:t>
      </w:r>
    </w:p>
    <w:p w14:paraId="64702A66"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Client: the app that requests a token and uses it to call an API.</w:t>
      </w:r>
    </w:p>
    <w:p w14:paraId="3E178783"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Authorization Server: issues tokens after user consent and policy checks.</w:t>
      </w:r>
    </w:p>
    <w:p w14:paraId="27B67B1E"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Resource Server: hosts the API and enforces scope and token checks.</w:t>
      </w:r>
    </w:p>
    <w:p w14:paraId="1E9DEF2A" w14:textId="77777777" w:rsidR="009E2D77" w:rsidRPr="009E2D77" w:rsidRDefault="009E2D77" w:rsidP="009E2D77">
      <w:pPr>
        <w:pStyle w:val="ListParagraph"/>
        <w:numPr>
          <w:ilvl w:val="0"/>
          <w:numId w:val="5"/>
        </w:numPr>
        <w:spacing w:line="480" w:lineRule="auto"/>
        <w:rPr>
          <w:rFonts w:ascii="Times New Roman" w:hAnsi="Times New Roman" w:cs="Times New Roman"/>
        </w:rPr>
      </w:pPr>
      <w:r w:rsidRPr="009E2D77">
        <w:rPr>
          <w:rFonts w:ascii="Times New Roman" w:hAnsi="Times New Roman" w:cs="Times New Roman"/>
        </w:rPr>
        <w:t>This split lets one service handle consent while another enforces data access (Hardt, 2012).</w:t>
      </w:r>
    </w:p>
    <w:p w14:paraId="2BECD9C1"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OAuth 2.0 and OpenID Connect</w:t>
      </w:r>
    </w:p>
    <w:p w14:paraId="386A7D22"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OpenID Connect adds an identity layer to OAuth 2.0. The authorization server issues an ID Token for login and an access token for API access. The client verifies the ID Token’s signature and claims, then uses the access token for resource calls. In short: OAuth grants access; OIDC confirms identity (</w:t>
      </w:r>
      <w:proofErr w:type="spellStart"/>
      <w:r w:rsidRPr="009E2D77">
        <w:rPr>
          <w:rFonts w:ascii="Times New Roman" w:hAnsi="Times New Roman" w:cs="Times New Roman"/>
        </w:rPr>
        <w:t>Sakimura</w:t>
      </w:r>
      <w:proofErr w:type="spellEnd"/>
      <w:r w:rsidRPr="009E2D77">
        <w:rPr>
          <w:rFonts w:ascii="Times New Roman" w:hAnsi="Times New Roman" w:cs="Times New Roman"/>
        </w:rPr>
        <w:t>, Bradley, Jones, de Medeiros, &amp; Mortimore, 2023).</w:t>
      </w:r>
    </w:p>
    <w:p w14:paraId="684F47C8"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t>Conclusion</w:t>
      </w:r>
    </w:p>
    <w:p w14:paraId="4481B9F8" w14:textId="77777777" w:rsid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OAuth replaces password sharing with scoped tokens and moves access control into a standard grant process. This shift reduces password spread, supports least-privilege design, and enables revocation without a password reset. Where login is in scope, OIDC supplies an identity layer that works with OAuth tokens yet avoids the traps that arise when an authorization framework gets pressed into service as a login system (Hardt, 2012; </w:t>
      </w:r>
      <w:proofErr w:type="spellStart"/>
      <w:r w:rsidRPr="009E2D77">
        <w:rPr>
          <w:rFonts w:ascii="Times New Roman" w:hAnsi="Times New Roman" w:cs="Times New Roman"/>
        </w:rPr>
        <w:t>Sakimura</w:t>
      </w:r>
      <w:proofErr w:type="spellEnd"/>
      <w:r w:rsidRPr="009E2D77">
        <w:rPr>
          <w:rFonts w:ascii="Times New Roman" w:hAnsi="Times New Roman" w:cs="Times New Roman"/>
        </w:rPr>
        <w:t xml:space="preserve"> et al., 2023; </w:t>
      </w:r>
      <w:proofErr w:type="spellStart"/>
      <w:r w:rsidRPr="009E2D77">
        <w:rPr>
          <w:rFonts w:ascii="Times New Roman" w:hAnsi="Times New Roman" w:cs="Times New Roman"/>
        </w:rPr>
        <w:t>Lodderstedt</w:t>
      </w:r>
      <w:proofErr w:type="spellEnd"/>
      <w:r w:rsidRPr="009E2D77">
        <w:rPr>
          <w:rFonts w:ascii="Times New Roman" w:hAnsi="Times New Roman" w:cs="Times New Roman"/>
        </w:rPr>
        <w:t xml:space="preserve"> et al., 2025).</w:t>
      </w:r>
    </w:p>
    <w:p w14:paraId="7CE86FD7" w14:textId="7C17732D" w:rsidR="009E2D77" w:rsidRDefault="009E2D77">
      <w:pPr>
        <w:rPr>
          <w:rFonts w:ascii="Times New Roman" w:hAnsi="Times New Roman" w:cs="Times New Roman"/>
        </w:rPr>
      </w:pPr>
      <w:r>
        <w:rPr>
          <w:rFonts w:ascii="Times New Roman" w:hAnsi="Times New Roman" w:cs="Times New Roman"/>
        </w:rPr>
        <w:br w:type="page"/>
      </w:r>
    </w:p>
    <w:p w14:paraId="3FC831AA" w14:textId="77777777" w:rsidR="009E2D77" w:rsidRPr="009E2D77" w:rsidRDefault="009E2D77" w:rsidP="009E2D77">
      <w:pPr>
        <w:spacing w:line="480" w:lineRule="auto"/>
        <w:rPr>
          <w:rFonts w:ascii="Times New Roman" w:hAnsi="Times New Roman" w:cs="Times New Roman"/>
          <w:b/>
          <w:bCs/>
        </w:rPr>
      </w:pPr>
      <w:r w:rsidRPr="009E2D77">
        <w:rPr>
          <w:rFonts w:ascii="Times New Roman" w:hAnsi="Times New Roman" w:cs="Times New Roman"/>
          <w:b/>
          <w:bCs/>
        </w:rPr>
        <w:lastRenderedPageBreak/>
        <w:t>References</w:t>
      </w:r>
    </w:p>
    <w:p w14:paraId="7E26270A"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Hammer-Lahav, E. (2010). The OAuth 1.0 protocol (RFC 5849). Internet Engineering Task Force. https://www.rfc-editor.org/rfc/rfc5849</w:t>
      </w:r>
    </w:p>
    <w:p w14:paraId="18B49422"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Hardt, D. (2012). The OAuth 2.0 authorization framework (RFC 6749). Internet Engineering Task Force. https://www.rfc-editor.org/rfc/rfc6749</w:t>
      </w:r>
    </w:p>
    <w:p w14:paraId="62A3AC99"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Jones, M., &amp; Hardt, D. (2012). OAuth 2.0 bearer token usage (RFC 6750). Internet Engineering Task Force. https://www.rfc-editor.org/rfc/rfc6750</w:t>
      </w:r>
    </w:p>
    <w:p w14:paraId="3C215807" w14:textId="77777777" w:rsidR="009E2D77" w:rsidRPr="009E2D77" w:rsidRDefault="009E2D77" w:rsidP="009E2D77">
      <w:pPr>
        <w:spacing w:line="480" w:lineRule="auto"/>
        <w:rPr>
          <w:rFonts w:ascii="Times New Roman" w:hAnsi="Times New Roman" w:cs="Times New Roman"/>
        </w:rPr>
      </w:pPr>
      <w:r w:rsidRPr="009E2D77">
        <w:rPr>
          <w:rFonts w:ascii="Times New Roman" w:hAnsi="Times New Roman" w:cs="Times New Roman"/>
        </w:rPr>
        <w:t xml:space="preserve">Jones, M., Hardt, D., &amp; </w:t>
      </w:r>
      <w:proofErr w:type="spellStart"/>
      <w:r w:rsidRPr="009E2D77">
        <w:rPr>
          <w:rFonts w:ascii="Times New Roman" w:hAnsi="Times New Roman" w:cs="Times New Roman"/>
        </w:rPr>
        <w:t>Sakimura</w:t>
      </w:r>
      <w:proofErr w:type="spellEnd"/>
      <w:r w:rsidRPr="009E2D77">
        <w:rPr>
          <w:rFonts w:ascii="Times New Roman" w:hAnsi="Times New Roman" w:cs="Times New Roman"/>
        </w:rPr>
        <w:t>, N. (2015). Proof key for code exchange by OAuth public clients (RFC 7636). Internet Engineering Task Force. https://www.rfc-editor.org/rfc/rfc7636</w:t>
      </w:r>
    </w:p>
    <w:p w14:paraId="663AD457" w14:textId="77777777" w:rsidR="009E2D77" w:rsidRPr="009E2D77" w:rsidRDefault="009E2D77" w:rsidP="009E2D77">
      <w:pPr>
        <w:spacing w:line="480" w:lineRule="auto"/>
        <w:rPr>
          <w:rFonts w:ascii="Times New Roman" w:hAnsi="Times New Roman" w:cs="Times New Roman"/>
        </w:rPr>
      </w:pPr>
      <w:proofErr w:type="spellStart"/>
      <w:r w:rsidRPr="009E2D77">
        <w:rPr>
          <w:rFonts w:ascii="Times New Roman" w:hAnsi="Times New Roman" w:cs="Times New Roman"/>
        </w:rPr>
        <w:t>Lodderstedt</w:t>
      </w:r>
      <w:proofErr w:type="spellEnd"/>
      <w:r w:rsidRPr="009E2D77">
        <w:rPr>
          <w:rFonts w:ascii="Times New Roman" w:hAnsi="Times New Roman" w:cs="Times New Roman"/>
        </w:rPr>
        <w:t>, T., Bradley, J., &amp; Fett, D. (2025). Best current practice for OAuth 2.0 security (RFC 9700). Internet Engineering Task Force. https://www.rfc-editor.org/rfc/rfc9700</w:t>
      </w:r>
    </w:p>
    <w:p w14:paraId="79F0F89A" w14:textId="081943D0" w:rsidR="009E2D77" w:rsidRPr="009E2D77" w:rsidRDefault="009E2D77" w:rsidP="009E2D77">
      <w:pPr>
        <w:spacing w:line="480" w:lineRule="auto"/>
        <w:rPr>
          <w:rFonts w:ascii="Times New Roman" w:hAnsi="Times New Roman" w:cs="Times New Roman"/>
        </w:rPr>
      </w:pPr>
      <w:proofErr w:type="spellStart"/>
      <w:r w:rsidRPr="009E2D77">
        <w:rPr>
          <w:rFonts w:ascii="Times New Roman" w:hAnsi="Times New Roman" w:cs="Times New Roman"/>
        </w:rPr>
        <w:t>Sakimura</w:t>
      </w:r>
      <w:proofErr w:type="spellEnd"/>
      <w:r w:rsidRPr="009E2D77">
        <w:rPr>
          <w:rFonts w:ascii="Times New Roman" w:hAnsi="Times New Roman" w:cs="Times New Roman"/>
        </w:rPr>
        <w:t>, N., Bradley, J., Jones, M., de Medeiros, B., &amp; Mortimore, C. (2023, December 15). OpenID Connect core 1.0 (incorporating errata set 2). OpenID</w:t>
      </w:r>
      <w:r>
        <w:rPr>
          <w:rFonts w:ascii="Times New Roman" w:hAnsi="Times New Roman" w:cs="Times New Roman"/>
        </w:rPr>
        <w:t xml:space="preserve"> </w:t>
      </w:r>
      <w:r w:rsidRPr="009E2D77">
        <w:rPr>
          <w:rFonts w:ascii="Times New Roman" w:hAnsi="Times New Roman" w:cs="Times New Roman"/>
        </w:rPr>
        <w:t>Foundation. </w:t>
      </w:r>
      <w:hyperlink r:id="rId5" w:tgtFrame="_blank" w:history="1">
        <w:r w:rsidRPr="009E2D77">
          <w:rPr>
            <w:rStyle w:val="Hyperlink"/>
            <w:rFonts w:ascii="Times New Roman" w:hAnsi="Times New Roman" w:cs="Times New Roman"/>
          </w:rPr>
          <w:t>https://openid.net/specs/openid-connect-core-1_0.html</w:t>
        </w:r>
      </w:hyperlink>
    </w:p>
    <w:p w14:paraId="70442F53" w14:textId="1253C3B5" w:rsidR="006116C2" w:rsidRPr="006116C2" w:rsidRDefault="006116C2" w:rsidP="009E2D77">
      <w:pPr>
        <w:spacing w:line="480" w:lineRule="auto"/>
        <w:rPr>
          <w:rFonts w:ascii="Times New Roman" w:hAnsi="Times New Roman" w:cs="Times New Roman"/>
        </w:rPr>
      </w:pPr>
    </w:p>
    <w:p w14:paraId="1CB80889" w14:textId="77777777" w:rsidR="00271D0F" w:rsidRPr="009E2D77" w:rsidRDefault="00271D0F" w:rsidP="009E2D77">
      <w:pPr>
        <w:spacing w:line="480" w:lineRule="auto"/>
        <w:rPr>
          <w:rFonts w:ascii="Times New Roman" w:hAnsi="Times New Roman" w:cs="Times New Roman"/>
        </w:rPr>
      </w:pPr>
    </w:p>
    <w:sectPr w:rsidR="00271D0F" w:rsidRPr="009E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009C"/>
    <w:multiLevelType w:val="multilevel"/>
    <w:tmpl w:val="405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2CFC"/>
    <w:multiLevelType w:val="multilevel"/>
    <w:tmpl w:val="183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8D4"/>
    <w:multiLevelType w:val="multilevel"/>
    <w:tmpl w:val="ACB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1E97"/>
    <w:multiLevelType w:val="hybridMultilevel"/>
    <w:tmpl w:val="910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B3F0D"/>
    <w:multiLevelType w:val="multilevel"/>
    <w:tmpl w:val="300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416614">
    <w:abstractNumId w:val="1"/>
  </w:num>
  <w:num w:numId="2" w16cid:durableId="512643823">
    <w:abstractNumId w:val="2"/>
  </w:num>
  <w:num w:numId="3" w16cid:durableId="959531918">
    <w:abstractNumId w:val="0"/>
  </w:num>
  <w:num w:numId="4" w16cid:durableId="416094442">
    <w:abstractNumId w:val="4"/>
  </w:num>
  <w:num w:numId="5" w16cid:durableId="2001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C2"/>
    <w:rsid w:val="00271D0F"/>
    <w:rsid w:val="003064E6"/>
    <w:rsid w:val="004C2193"/>
    <w:rsid w:val="006116C2"/>
    <w:rsid w:val="0066390F"/>
    <w:rsid w:val="009E2D77"/>
    <w:rsid w:val="00AA0233"/>
    <w:rsid w:val="00DD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CCA"/>
  <w15:chartTrackingRefBased/>
  <w15:docId w15:val="{0F9C302D-5BBD-3646-BEA2-36489AF4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1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1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C2"/>
    <w:rPr>
      <w:rFonts w:eastAsiaTheme="majorEastAsia" w:cstheme="majorBidi"/>
      <w:color w:val="272727" w:themeColor="text1" w:themeTint="D8"/>
    </w:rPr>
  </w:style>
  <w:style w:type="paragraph" w:styleId="Title">
    <w:name w:val="Title"/>
    <w:basedOn w:val="Normal"/>
    <w:next w:val="Normal"/>
    <w:link w:val="TitleChar"/>
    <w:uiPriority w:val="10"/>
    <w:qFormat/>
    <w:rsid w:val="0061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C2"/>
    <w:pPr>
      <w:spacing w:before="160"/>
      <w:jc w:val="center"/>
    </w:pPr>
    <w:rPr>
      <w:i/>
      <w:iCs/>
      <w:color w:val="404040" w:themeColor="text1" w:themeTint="BF"/>
    </w:rPr>
  </w:style>
  <w:style w:type="character" w:customStyle="1" w:styleId="QuoteChar">
    <w:name w:val="Quote Char"/>
    <w:basedOn w:val="DefaultParagraphFont"/>
    <w:link w:val="Quote"/>
    <w:uiPriority w:val="29"/>
    <w:rsid w:val="006116C2"/>
    <w:rPr>
      <w:i/>
      <w:iCs/>
      <w:color w:val="404040" w:themeColor="text1" w:themeTint="BF"/>
    </w:rPr>
  </w:style>
  <w:style w:type="paragraph" w:styleId="ListParagraph">
    <w:name w:val="List Paragraph"/>
    <w:basedOn w:val="Normal"/>
    <w:uiPriority w:val="34"/>
    <w:qFormat/>
    <w:rsid w:val="006116C2"/>
    <w:pPr>
      <w:ind w:left="720"/>
      <w:contextualSpacing/>
    </w:pPr>
  </w:style>
  <w:style w:type="character" w:styleId="IntenseEmphasis">
    <w:name w:val="Intense Emphasis"/>
    <w:basedOn w:val="DefaultParagraphFont"/>
    <w:uiPriority w:val="21"/>
    <w:qFormat/>
    <w:rsid w:val="006116C2"/>
    <w:rPr>
      <w:i/>
      <w:iCs/>
      <w:color w:val="0F4761" w:themeColor="accent1" w:themeShade="BF"/>
    </w:rPr>
  </w:style>
  <w:style w:type="paragraph" w:styleId="IntenseQuote">
    <w:name w:val="Intense Quote"/>
    <w:basedOn w:val="Normal"/>
    <w:next w:val="Normal"/>
    <w:link w:val="IntenseQuoteChar"/>
    <w:uiPriority w:val="30"/>
    <w:qFormat/>
    <w:rsid w:val="00611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C2"/>
    <w:rPr>
      <w:i/>
      <w:iCs/>
      <w:color w:val="0F4761" w:themeColor="accent1" w:themeShade="BF"/>
    </w:rPr>
  </w:style>
  <w:style w:type="character" w:styleId="IntenseReference">
    <w:name w:val="Intense Reference"/>
    <w:basedOn w:val="DefaultParagraphFont"/>
    <w:uiPriority w:val="32"/>
    <w:qFormat/>
    <w:rsid w:val="006116C2"/>
    <w:rPr>
      <w:b/>
      <w:bCs/>
      <w:smallCaps/>
      <w:color w:val="0F4761" w:themeColor="accent1" w:themeShade="BF"/>
      <w:spacing w:val="5"/>
    </w:rPr>
  </w:style>
  <w:style w:type="paragraph" w:styleId="NormalWeb">
    <w:name w:val="Normal (Web)"/>
    <w:basedOn w:val="Normal"/>
    <w:uiPriority w:val="99"/>
    <w:semiHidden/>
    <w:unhideWhenUsed/>
    <w:rsid w:val="006116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16C2"/>
    <w:rPr>
      <w:b/>
      <w:bCs/>
    </w:rPr>
  </w:style>
  <w:style w:type="character" w:styleId="Hyperlink">
    <w:name w:val="Hyperlink"/>
    <w:basedOn w:val="DefaultParagraphFont"/>
    <w:uiPriority w:val="99"/>
    <w:unhideWhenUsed/>
    <w:rsid w:val="006116C2"/>
    <w:rPr>
      <w:color w:val="0000FF"/>
      <w:u w:val="single"/>
    </w:rPr>
  </w:style>
  <w:style w:type="character" w:customStyle="1" w:styleId="apple-converted-space">
    <w:name w:val="apple-converted-space"/>
    <w:basedOn w:val="DefaultParagraphFont"/>
    <w:rsid w:val="006116C2"/>
  </w:style>
  <w:style w:type="character" w:styleId="HTMLCode">
    <w:name w:val="HTML Code"/>
    <w:basedOn w:val="DefaultParagraphFont"/>
    <w:uiPriority w:val="99"/>
    <w:semiHidden/>
    <w:unhideWhenUsed/>
    <w:rsid w:val="006116C2"/>
    <w:rPr>
      <w:rFonts w:ascii="Courier New" w:eastAsia="Times New Roman" w:hAnsi="Courier New" w:cs="Courier New"/>
      <w:sz w:val="20"/>
      <w:szCs w:val="20"/>
    </w:rPr>
  </w:style>
  <w:style w:type="character" w:styleId="Emphasis">
    <w:name w:val="Emphasis"/>
    <w:basedOn w:val="DefaultParagraphFont"/>
    <w:uiPriority w:val="20"/>
    <w:qFormat/>
    <w:rsid w:val="006116C2"/>
    <w:rPr>
      <w:i/>
      <w:iCs/>
    </w:rPr>
  </w:style>
  <w:style w:type="paragraph" w:styleId="HTMLPreformatted">
    <w:name w:val="HTML Preformatted"/>
    <w:basedOn w:val="Normal"/>
    <w:link w:val="HTMLPreformattedChar"/>
    <w:uiPriority w:val="99"/>
    <w:semiHidden/>
    <w:unhideWhenUsed/>
    <w:rsid w:val="0061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16C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id.net/specs/openid-connect-core-1_0.html?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797</Words>
  <Characters>4514</Characters>
  <Application>Microsoft Office Word</Application>
  <DocSecurity>0</DocSecurity>
  <Lines>86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Coman</dc:creator>
  <cp:keywords/>
  <dc:description/>
  <cp:lastModifiedBy>Joshua Coman</cp:lastModifiedBy>
  <cp:revision>1</cp:revision>
  <dcterms:created xsi:type="dcterms:W3CDTF">2025-09-05T22:35:00Z</dcterms:created>
  <dcterms:modified xsi:type="dcterms:W3CDTF">2025-09-05T23:28:00Z</dcterms:modified>
  <cp:category/>
</cp:coreProperties>
</file>