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3A"/>
          <w:sz w:val="60"/>
        </w:rPr>
        <w:t>Licensing System</w:t>
      </w:r>
    </w:p>
    <w:p>
      <w:pPr>
        <w:jc w:val="center"/>
      </w:pPr>
      <w:r>
        <w:rPr>
          <w:color w:val="6366F1"/>
          <w:sz w:val="32"/>
        </w:rPr>
        <w:t>Documento de Cierre de Proyecto (estilo PMI/PMBOK)</w:t>
      </w:r>
    </w:p>
    <w:p>
      <w:pPr>
        <w:jc w:val="center"/>
      </w:pPr>
      <w:r>
        <w:rPr>
          <w:color w:val="555555"/>
          <w:sz w:val="20"/>
        </w:rPr>
        <w:t>Cubre desde el blueprint original (2026-09-02) hasta el cierre del proyecto y lanzamiento público (2026-09-13)</w:t>
        <w:br/>
        <w:t>Generado: 2026-09-13  ·  Repositorio: github.com/comarcat/licensing-system  ·  Producción: licensing.miautrix.tech / licensing-api.miautrix.tech</w:t>
      </w:r>
    </w:p>
    <w:p>
      <w:r>
        <w:br w:type="page"/>
      </w:r>
    </w:p>
    <w:p>
      <w:pPr>
        <w:pStyle w:val="Heading1"/>
      </w:pPr>
      <w:r>
        <w:rPr>
          <w:color w:val="1A233A"/>
        </w:rPr>
        <w:t>1. Project Charter — Resumen Ejecutivo</w:t>
      </w:r>
    </w:p>
    <w:p>
      <w:r>
        <w:t>Licensing System es un sistema de licenciamiento de software para un vendor: una API de activación (LicensingApi) que las herramientas cliente consumen para activar y validar licencias por huella de hardware; un panel de administración Blazor Server (LicensingAdmin) para emitir licencias, revisar activaciones y gestionar administradores; y una biblioteca compartida (LicensingCore) con las entidades y el acceso a datos. Corre sobre PostgreSQL.</w:t>
      </w:r>
    </w:p>
    <w:p>
      <w:r>
        <w:t>El proyecto arrancó como un cambio brownfield sobre una solución .NET 8 ya existente pero sin autenticación real, con una credencial de base de datos en texto plano en el repositorio, y sin forma de emitir licencias desde la interfaz. El Arquitecto (rol IA, plugin "The Architect") diseñó un blueprint formal el 2026-09-02 (docs/blueprint/blueprint.md) que este documento trata como el Statement of Work (SoW) original — ver §2.</w:t>
      </w:r>
    </w:p>
    <w:p>
      <w:r>
        <w:t>Desde el cierre del slice 1 (2026-09-03) hasta el cierre formal de este proyecto (2026-09-13), el sistema recorrió todo el camino de brownfield interno a producto público: migró a GitHub, adoptó el tema visual "Lustro", se desplegó por primera vez en infraestructura real (LXC Debian 13), recibió dos paquetes de mejoras pedidos directamente por el sponsor (E3: 7 ítems de usabilidad; E4: CRUD de productos + revocar/archivar licencias), sobrevivió su primera invocación real de /api/activate (que reveló y corrigió un bug crítico de producción — ver D-10), recibió una auditoría completa de /api/checkin que encontró y corrigió tres defectos más (D-11 a D-13), y finalmente se publicó a internet vía Cloudflare Tunnel con TLS de punta a punta (licensing.miautrix.tech / licensing-api.miautrix.tech). Cada hito se documenta como Change Request en §4.</w:t>
      </w:r>
    </w:p>
    <w:p>
      <w:pPr>
        <w:pStyle w:val="Heading2"/>
      </w:pPr>
      <w:r>
        <w:rPr>
          <w:color w:val="1A233A"/>
        </w:rPr>
        <w:t>1.1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a233a"/>
          </w:tcPr>
          <w:p>
            <w:r>
              <w:rPr>
                <w:b/>
                <w:color w:val="FFFFFF"/>
                <w:sz w:val="19"/>
              </w:rPr>
              <w:t>Rol</w:t>
            </w:r>
          </w:p>
        </w:tc>
        <w:tc>
          <w:tcPr>
            <w:tcW w:type="dxa" w:w="2880"/>
            <w:shd w:fill="1a233a"/>
          </w:tcPr>
          <w:p>
            <w:r>
              <w:rPr>
                <w:b/>
                <w:color w:val="FFFFFF"/>
                <w:sz w:val="19"/>
              </w:rPr>
              <w:t>Quién / qué</w:t>
            </w:r>
          </w:p>
        </w:tc>
        <w:tc>
          <w:tcPr>
            <w:tcW w:type="dxa" w:w="4752"/>
            <w:shd w:fill="1a233a"/>
          </w:tcPr>
          <w:p>
            <w:r>
              <w:rPr>
                <w:b/>
                <w:color w:val="FFFFFF"/>
                <w:sz w:val="19"/>
              </w:rPr>
              <w:t>Responsabilidad</w:t>
            </w:r>
          </w:p>
        </w:tc>
      </w:tr>
      <w:tr>
        <w:tc>
          <w:tcPr>
            <w:tcW w:type="dxa" w:w="2448"/>
          </w:tcPr>
          <w:p>
            <w:pPr>
              <w:spacing w:after="40"/>
            </w:pPr>
            <w:r>
              <w:rPr>
                <w:sz w:val="19"/>
              </w:rPr>
              <w:t>Sponsor / Product Owner</w:t>
            </w:r>
          </w:p>
        </w:tc>
        <w:tc>
          <w:tcPr>
            <w:tcW w:type="dxa" w:w="2880"/>
          </w:tcPr>
          <w:p>
            <w:pPr>
              <w:spacing w:after="40"/>
            </w:pPr>
            <w:r>
              <w:rPr>
                <w:sz w:val="19"/>
              </w:rPr>
              <w:t>Usuario (comarcat)</w:t>
            </w:r>
          </w:p>
        </w:tc>
        <w:tc>
          <w:tcPr>
            <w:tcW w:type="dxa" w:w="4752"/>
          </w:tcPr>
          <w:p>
            <w:pPr>
              <w:spacing w:after="40"/>
            </w:pPr>
            <w:r>
              <w:rPr>
                <w:sz w:val="19"/>
              </w:rPr>
              <w:t>Define alcance, prioriza, aprueba cambios, opera el sistema en producción</w:t>
            </w:r>
          </w:p>
        </w:tc>
      </w:tr>
      <w:tr>
        <w:tc>
          <w:tcPr>
            <w:tcW w:type="dxa" w:w="2448"/>
          </w:tcPr>
          <w:p>
            <w:pPr>
              <w:spacing w:after="40"/>
            </w:pPr>
            <w:r>
              <w:rPr>
                <w:sz w:val="19"/>
              </w:rPr>
              <w:t>Arquitecto</w:t>
            </w:r>
          </w:p>
        </w:tc>
        <w:tc>
          <w:tcPr>
            <w:tcW w:type="dxa" w:w="2880"/>
          </w:tcPr>
          <w:p>
            <w:pPr>
              <w:spacing w:after="40"/>
            </w:pPr>
            <w:r>
              <w:rPr>
                <w:sz w:val="19"/>
              </w:rPr>
              <w:t>Sesión IA en nodo `arq` (skill the-architect)</w:t>
            </w:r>
          </w:p>
        </w:tc>
        <w:tc>
          <w:tcPr>
            <w:tcW w:type="dxa" w:w="4752"/>
          </w:tcPr>
          <w:p>
            <w:pPr>
              <w:spacing w:after="40"/>
            </w:pPr>
            <w:r>
              <w:rPr>
                <w:sz w:val="19"/>
              </w:rPr>
              <w:t>Diseña el blueprint, epics, tasks.json; revisa cada tarea (`review/*.md`)</w:t>
            </w:r>
          </w:p>
        </w:tc>
      </w:tr>
      <w:tr>
        <w:tc>
          <w:tcPr>
            <w:tcW w:type="dxa" w:w="2448"/>
          </w:tcPr>
          <w:p>
            <w:pPr>
              <w:spacing w:after="40"/>
            </w:pPr>
            <w:r>
              <w:rPr>
                <w:sz w:val="19"/>
              </w:rPr>
              <w:t>Builder / Lead de integración</w:t>
            </w:r>
          </w:p>
        </w:tc>
        <w:tc>
          <w:tcPr>
            <w:tcW w:type="dxa" w:w="2880"/>
          </w:tcPr>
          <w:p>
            <w:pPr>
              <w:spacing w:after="40"/>
            </w:pPr>
            <w:r>
              <w:rPr>
                <w:sz w:val="19"/>
              </w:rPr>
              <w:t>Sesión IA en nodo `dev` (este documento)</w:t>
            </w:r>
          </w:p>
        </w:tc>
        <w:tc>
          <w:tcPr>
            <w:tcW w:type="dxa" w:w="4752"/>
          </w:tcPr>
          <w:p>
            <w:pPr>
              <w:spacing w:after="40"/>
            </w:pPr>
            <w:r>
              <w:rPr>
                <w:sz w:val="19"/>
              </w:rPr>
              <w:t>Implementa, corre security-auditor + tester, mergea, despliega</w:t>
            </w:r>
          </w:p>
        </w:tc>
      </w:tr>
      <w:tr>
        <w:tc>
          <w:tcPr>
            <w:tcW w:type="dxa" w:w="2448"/>
          </w:tcPr>
          <w:p>
            <w:pPr>
              <w:spacing w:after="40"/>
            </w:pPr>
            <w:r>
              <w:rPr>
                <w:sz w:val="19"/>
              </w:rPr>
              <w:t>Subagentes</w:t>
            </w:r>
          </w:p>
        </w:tc>
        <w:tc>
          <w:tcPr>
            <w:tcW w:type="dxa" w:w="2880"/>
          </w:tcPr>
          <w:p>
            <w:pPr>
              <w:spacing w:after="40"/>
            </w:pPr>
            <w:r>
              <w:rPr>
                <w:sz w:val="19"/>
              </w:rPr>
              <w:t>security-auditor, tester</w:t>
            </w:r>
          </w:p>
        </w:tc>
        <w:tc>
          <w:tcPr>
            <w:tcW w:type="dxa" w:w="4752"/>
          </w:tcPr>
          <w:p>
            <w:pPr>
              <w:spacing w:after="40"/>
            </w:pPr>
            <w:r>
              <w:rPr>
                <w:sz w:val="19"/>
              </w:rPr>
              <w:t>Auditoría de seguridad y estrategia de pruebas por tarea</w:t>
            </w:r>
          </w:p>
        </w:tc>
      </w:tr>
    </w:tbl>
    <w:p/>
    <w:p>
      <w:pPr>
        <w:pStyle w:val="Heading2"/>
      </w:pPr>
      <w:r>
        <w:rPr>
          <w:color w:val="1A233A"/>
        </w:rPr>
        <w:t>1.2 Estado final al cierre</w:t>
      </w:r>
    </w:p>
    <w:tbl>
      <w:tblPr>
        <w:tblStyle w:val="LightGrid-Accent1"/>
        <w:tblW w:type="auto" w:w="0"/>
        <w:jc w:val="center"/>
        <w:tblLook w:firstColumn="1" w:firstRow="1" w:lastColumn="0" w:lastRow="0" w:noHBand="0" w:noVBand="1" w:val="04A0"/>
      </w:tblPr>
      <w:tblGrid>
        <w:gridCol w:w="4320"/>
        <w:gridCol w:w="4320"/>
      </w:tblGrid>
      <w:tr>
        <w:tc>
          <w:tcPr>
            <w:tcW w:type="dxa" w:w="5040"/>
            <w:shd w:fill="1a233a"/>
          </w:tcPr>
          <w:p>
            <w:r>
              <w:rPr>
                <w:b/>
                <w:color w:val="FFFFFF"/>
                <w:sz w:val="19"/>
              </w:rPr>
              <w:t>Indicador</w:t>
            </w:r>
          </w:p>
        </w:tc>
        <w:tc>
          <w:tcPr>
            <w:tcW w:type="dxa" w:w="5040"/>
            <w:shd w:fill="1a233a"/>
          </w:tcPr>
          <w:p>
            <w:r>
              <w:rPr>
                <w:b/>
                <w:color w:val="FFFFFF"/>
                <w:sz w:val="19"/>
              </w:rPr>
              <w:t>Valor</w:t>
            </w:r>
          </w:p>
        </w:tc>
      </w:tr>
      <w:tr>
        <w:tc>
          <w:tcPr>
            <w:tcW w:type="dxa" w:w="5040"/>
          </w:tcPr>
          <w:p>
            <w:pPr>
              <w:spacing w:after="40"/>
            </w:pPr>
            <w:r>
              <w:rPr>
                <w:sz w:val="19"/>
              </w:rPr>
              <w:t>Tareas del blueprint original (Epics 01-02)</w:t>
            </w:r>
          </w:p>
        </w:tc>
        <w:tc>
          <w:tcPr>
            <w:tcW w:type="dxa" w:w="5040"/>
          </w:tcPr>
          <w:p>
            <w:pPr>
              <w:spacing w:after="40"/>
            </w:pPr>
            <w:r>
              <w:rPr>
                <w:sz w:val="19"/>
              </w:rPr>
              <w:t>16/16 done, mergeadas a main</w:t>
            </w:r>
          </w:p>
        </w:tc>
      </w:tr>
      <w:tr>
        <w:tc>
          <w:tcPr>
            <w:tcW w:type="dxa" w:w="5040"/>
          </w:tcPr>
          <w:p>
            <w:pPr>
              <w:spacing w:after="40"/>
            </w:pPr>
            <w:r>
              <w:rPr>
                <w:sz w:val="19"/>
              </w:rPr>
              <w:t>Tests automatizados</w:t>
            </w:r>
          </w:p>
        </w:tc>
        <w:tc>
          <w:tcPr>
            <w:tcW w:type="dxa" w:w="5040"/>
          </w:tcPr>
          <w:p>
            <w:pPr>
              <w:spacing w:after="40"/>
            </w:pPr>
            <w:r>
              <w:rPr>
                <w:sz w:val="19"/>
              </w:rPr>
              <w:t>426/426 pasando (0 skipped)</w:t>
            </w:r>
          </w:p>
        </w:tc>
      </w:tr>
      <w:tr>
        <w:tc>
          <w:tcPr>
            <w:tcW w:type="dxa" w:w="5040"/>
          </w:tcPr>
          <w:p>
            <w:pPr>
              <w:spacing w:after="40"/>
            </w:pPr>
            <w:r>
              <w:rPr>
                <w:sz w:val="19"/>
              </w:rPr>
              <w:t>Build</w:t>
            </w:r>
          </w:p>
        </w:tc>
        <w:tc>
          <w:tcPr>
            <w:tcW w:type="dxa" w:w="5040"/>
          </w:tcPr>
          <w:p>
            <w:pPr>
              <w:spacing w:after="40"/>
            </w:pPr>
            <w:r>
              <w:rPr>
                <w:sz w:val="19"/>
              </w:rPr>
              <w:t>`dotnet build -warnaserror` — 0 warnings</w:t>
            </w:r>
          </w:p>
        </w:tc>
      </w:tr>
      <w:tr>
        <w:tc>
          <w:tcPr>
            <w:tcW w:type="dxa" w:w="5040"/>
          </w:tcPr>
          <w:p>
            <w:pPr>
              <w:spacing w:after="40"/>
            </w:pPr>
            <w:r>
              <w:rPr>
                <w:sz w:val="19"/>
              </w:rPr>
              <w:t>Despliegue</w:t>
            </w:r>
          </w:p>
        </w:tc>
        <w:tc>
          <w:tcPr>
            <w:tcW w:type="dxa" w:w="5040"/>
          </w:tcPr>
          <w:p>
            <w:pPr>
              <w:spacing w:after="40"/>
            </w:pPr>
            <w:r>
              <w:rPr>
                <w:sz w:val="19"/>
              </w:rPr>
              <w:t>LXC Debian 13 (10.11.1.41) — LicensingAdmin + LicensingApi</w:t>
            </w:r>
          </w:p>
        </w:tc>
      </w:tr>
      <w:tr>
        <w:tc>
          <w:tcPr>
            <w:tcW w:type="dxa" w:w="5040"/>
          </w:tcPr>
          <w:p>
            <w:pPr>
              <w:spacing w:after="40"/>
            </w:pPr>
            <w:r>
              <w:rPr>
                <w:sz w:val="19"/>
              </w:rPr>
              <w:t>Exposición pública</w:t>
            </w:r>
          </w:p>
        </w:tc>
        <w:tc>
          <w:tcPr>
            <w:tcW w:type="dxa" w:w="5040"/>
          </w:tcPr>
          <w:p>
            <w:pPr>
              <w:spacing w:after="40"/>
            </w:pPr>
            <w:r>
              <w:rPr>
                <w:sz w:val="19"/>
              </w:rPr>
              <w:t>https://licensing.miautrix.tech (Admin) y https://licensing-api.miautrix.tech (API), vía Cloudflare Tunnel, TLS de punta a punta</w:t>
            </w:r>
          </w:p>
        </w:tc>
      </w:tr>
      <w:tr>
        <w:tc>
          <w:tcPr>
            <w:tcW w:type="dxa" w:w="5040"/>
          </w:tcPr>
          <w:p>
            <w:pPr>
              <w:spacing w:after="40"/>
            </w:pPr>
            <w:r>
              <w:rPr>
                <w:sz w:val="19"/>
              </w:rPr>
              <w:t>Repositorio</w:t>
            </w:r>
          </w:p>
        </w:tc>
        <w:tc>
          <w:tcPr>
            <w:tcW w:type="dxa" w:w="5040"/>
          </w:tcPr>
          <w:p>
            <w:pPr>
              <w:spacing w:after="40"/>
            </w:pPr>
            <w:r>
              <w:rPr>
                <w:sz w:val="19"/>
              </w:rPr>
              <w:t>GitHub privado (github.com/comarcat/licensing-system), main actualizado 2026-09-13</w:t>
            </w:r>
          </w:p>
        </w:tc>
      </w:tr>
      <w:tr>
        <w:tc>
          <w:tcPr>
            <w:tcW w:type="dxa" w:w="5040"/>
          </w:tcPr>
          <w:p>
            <w:pPr>
              <w:spacing w:after="40"/>
            </w:pPr>
            <w:r>
              <w:rPr>
                <w:sz w:val="19"/>
              </w:rPr>
              <w:t>Change Requests post-cierre de slice 1</w:t>
            </w:r>
          </w:p>
        </w:tc>
        <w:tc>
          <w:tcPr>
            <w:tcW w:type="dxa" w:w="5040"/>
          </w:tcPr>
          <w:p>
            <w:pPr>
              <w:spacing w:after="40"/>
            </w:pPr>
            <w:r>
              <w:rPr>
                <w:sz w:val="19"/>
              </w:rPr>
              <w:t>9 (ver §4)</w:t>
            </w:r>
          </w:p>
        </w:tc>
      </w:tr>
      <w:tr>
        <w:tc>
          <w:tcPr>
            <w:tcW w:type="dxa" w:w="5040"/>
          </w:tcPr>
          <w:p>
            <w:pPr>
              <w:spacing w:after="40"/>
            </w:pPr>
            <w:r>
              <w:rPr>
                <w:sz w:val="19"/>
              </w:rPr>
              <w:t>Defectos reales encontrados y corregidos</w:t>
            </w:r>
          </w:p>
        </w:tc>
        <w:tc>
          <w:tcPr>
            <w:tcW w:type="dxa" w:w="5040"/>
          </w:tcPr>
          <w:p>
            <w:pPr>
              <w:spacing w:after="40"/>
            </w:pPr>
            <w:r>
              <w:rPr>
                <w:sz w:val="19"/>
              </w:rPr>
              <w:t>14 (ver §5)</w:t>
            </w:r>
          </w:p>
        </w:tc>
      </w:tr>
      <w:tr>
        <w:tc>
          <w:tcPr>
            <w:tcW w:type="dxa" w:w="5040"/>
          </w:tcPr>
          <w:p>
            <w:pPr>
              <w:spacing w:after="40"/>
            </w:pPr>
            <w:r>
              <w:rPr>
                <w:sz w:val="19"/>
              </w:rPr>
              <w:t>Herramienta de prueba end-to-end</w:t>
            </w:r>
          </w:p>
        </w:tc>
        <w:tc>
          <w:tcPr>
            <w:tcW w:type="dxa" w:w="5040"/>
          </w:tcPr>
          <w:p>
            <w:pPr>
              <w:spacing w:after="40"/>
            </w:pPr>
            <w:r>
              <w:rPr>
                <w:sz w:val="19"/>
              </w:rPr>
              <w:t>ActivationHelloWorld (consola .NET Windows) — ver §7</w:t>
            </w:r>
          </w:p>
        </w:tc>
      </w:tr>
    </w:tbl>
    <w:p/>
    <w:p>
      <w:r>
        <w:br w:type="page"/>
      </w:r>
    </w:p>
    <w:p>
      <w:pPr>
        <w:pStyle w:val="Heading1"/>
      </w:pPr>
      <w:r>
        <w:rPr>
          <w:color w:val="1A233A"/>
        </w:rPr>
        <w:t>2. Scope Statement — SoW Original (Slice 1)</w:t>
      </w:r>
    </w:p>
    <w:p>
      <w:r>
        <w:t>Extraído literalmente de docs/blueprint/blueprint.md (generado por el Arquitecto, 2026-09-02). Este es el contrato de alcance contra el que se juzga el slice 1.</w:t>
      </w:r>
    </w:p>
    <w:p>
      <w:pPr>
        <w:pStyle w:val="Heading2"/>
      </w:pPr>
      <w:r>
        <w:rPr>
          <w:color w:val="1A233A"/>
        </w:rPr>
        <w:t>2.1 Alcance declarado</w:t>
      </w:r>
    </w:p>
    <w:p>
      <w:pPr>
        <w:pStyle w:val="ListBullet"/>
      </w:pPr>
      <w:r>
        <w:t>Sacar la credencial de base de datos en texto plano de ambos appsettings.json y de los README.</w:t>
      </w:r>
    </w:p>
    <w:p>
      <w:pPr>
        <w:pStyle w:val="ListBullet"/>
      </w:pPr>
      <w:r>
        <w:t>Autenticación real de administradores contra la tabla admin_users existente, con autorización server-side en cada pantalla y cada acción que muta datos.</w:t>
      </w:r>
    </w:p>
    <w:p>
      <w:pPr>
        <w:pStyle w:val="ListBullet"/>
      </w:pPr>
      <w:r>
        <w:t>Una pantalla "Generar nueva licencia" que emite una clave firmada (RSA-SHA256) verificable sin conexión.</w:t>
      </w:r>
    </w:p>
    <w:p>
      <w:pPr>
        <w:pStyle w:val="ListBullet"/>
      </w:pPr>
      <w:r>
        <w:t>Seed de arranque del primer administrador + pantalla de gestión de administradores restringida a SuperAdmin.</w:t>
      </w:r>
    </w:p>
    <w:p>
      <w:r>
        <w:t>El blueprint es explícito: "El slice es aditivo: no cambia el esquema de base de datos ni ningún contrato de cara al DLL de activación."</w:t>
      </w:r>
    </w:p>
    <w:p>
      <w:pPr>
        <w:pStyle w:val="Heading2"/>
      </w:pPr>
      <w:r>
        <w:rPr>
          <w:color w:val="1A233A"/>
        </w:rPr>
        <w:t>2.2 Non-Goals explícitos del slice 1 — estado final</w:t>
      </w:r>
    </w:p>
    <w:p>
      <w:r>
        <w:t>Estos ítems fueron deliberadamente excluidos del alcance original. Al cierre del proyecto, la mayoría se revirtió: el sponsor los pidió en E3/E4 tras ver el sistema funcionando en vivo, o quedaron obligatorios al exponer la API a internet.</w:t>
      </w:r>
    </w:p>
    <w:tbl>
      <w:tblPr>
        <w:tblStyle w:val="LightGrid-Accent1"/>
        <w:tblW w:type="auto" w:w="0"/>
        <w:jc w:val="center"/>
        <w:tblLook w:firstColumn="1" w:firstRow="1" w:lastColumn="0" w:lastRow="0" w:noHBand="0" w:noVBand="1" w:val="04A0"/>
      </w:tblPr>
      <w:tblGrid>
        <w:gridCol w:w="4320"/>
        <w:gridCol w:w="4320"/>
      </w:tblGrid>
      <w:tr>
        <w:tc>
          <w:tcPr>
            <w:tcW w:type="dxa" w:w="5184"/>
            <w:shd w:fill="1a233a"/>
          </w:tcPr>
          <w:p>
            <w:r>
              <w:rPr>
                <w:b/>
                <w:color w:val="FFFFFF"/>
                <w:sz w:val="19"/>
              </w:rPr>
              <w:t>No se construía originalmente</w:t>
            </w:r>
          </w:p>
        </w:tc>
        <w:tc>
          <w:tcPr>
            <w:tcW w:type="dxa" w:w="4896"/>
            <w:shd w:fill="1a233a"/>
          </w:tcPr>
          <w:p>
            <w:r>
              <w:rPr>
                <w:b/>
                <w:color w:val="FFFFFF"/>
                <w:sz w:val="19"/>
              </w:rPr>
              <w:t>Estado al cierre</w:t>
            </w:r>
          </w:p>
        </w:tc>
      </w:tr>
      <w:tr>
        <w:tc>
          <w:tcPr>
            <w:tcW w:type="dxa" w:w="5184"/>
          </w:tcPr>
          <w:p>
            <w:pPr>
              <w:spacing w:after="40"/>
            </w:pPr>
            <w:r>
              <w:rPr>
                <w:sz w:val="19"/>
              </w:rPr>
              <w:t>Pantalla de Reportes / exportación PDF·XLS</w:t>
            </w:r>
          </w:p>
        </w:tc>
        <w:tc>
          <w:tcPr>
            <w:tcW w:type="dxa" w:w="4896"/>
          </w:tcPr>
          <w:p>
            <w:pPr>
              <w:spacing w:after="40"/>
            </w:pPr>
            <w:r>
              <w:rPr>
                <w:sz w:val="19"/>
              </w:rPr>
              <w:t>Construido en E3 (export a Excel desde el Dashboard)</w:t>
            </w:r>
          </w:p>
        </w:tc>
      </w:tr>
      <w:tr>
        <w:tc>
          <w:tcPr>
            <w:tcW w:type="dxa" w:w="5184"/>
          </w:tcPr>
          <w:p>
            <w:pPr>
              <w:spacing w:after="40"/>
            </w:pPr>
            <w:r>
              <w:rPr>
                <w:sz w:val="19"/>
              </w:rPr>
              <w:t>Pantalla de Notification Settings (SMTP)</w:t>
            </w:r>
          </w:p>
        </w:tc>
        <w:tc>
          <w:tcPr>
            <w:tcW w:type="dxa" w:w="4896"/>
          </w:tcPr>
          <w:p>
            <w:pPr>
              <w:spacing w:after="40"/>
            </w:pPr>
            <w:r>
              <w:rPr>
                <w:sz w:val="19"/>
              </w:rPr>
              <w:t>Construido en E3 (/admin/notifications)</w:t>
            </w:r>
          </w:p>
        </w:tc>
      </w:tr>
      <w:tr>
        <w:tc>
          <w:tcPr>
            <w:tcW w:type="dxa" w:w="5184"/>
          </w:tcPr>
          <w:p>
            <w:pPr>
              <w:spacing w:after="40"/>
            </w:pPr>
            <w:r>
              <w:rPr>
                <w:sz w:val="19"/>
              </w:rPr>
              <w:t>Rate limiting en /api/activate y /api/checkin</w:t>
            </w:r>
          </w:p>
        </w:tc>
        <w:tc>
          <w:tcPr>
            <w:tcW w:type="dxa" w:w="4896"/>
          </w:tcPr>
          <w:p>
            <w:pPr>
              <w:spacing w:after="40"/>
            </w:pPr>
            <w:r>
              <w:rPr>
                <w:sz w:val="19"/>
              </w:rPr>
              <w:t>Construido — ventana fija de 30 req/min por IP, verificado en vivo (§6)</w:t>
            </w:r>
          </w:p>
        </w:tc>
      </w:tr>
      <w:tr>
        <w:tc>
          <w:tcPr>
            <w:tcW w:type="dxa" w:w="5184"/>
          </w:tcPr>
          <w:p>
            <w:pPr>
              <w:spacing w:after="40"/>
            </w:pPr>
            <w:r>
              <w:rPr>
                <w:sz w:val="19"/>
              </w:rPr>
              <w:t>Enforcement duro de MaxActivations</w:t>
            </w:r>
          </w:p>
        </w:tc>
        <w:tc>
          <w:tcPr>
            <w:tcW w:type="dxa" w:w="4896"/>
          </w:tcPr>
          <w:p>
            <w:pPr>
              <w:spacing w:after="40"/>
            </w:pPr>
            <w:r>
              <w:rPr>
                <w:sz w:val="19"/>
              </w:rPr>
              <w:t>Construido — 409 MaxActivationsReached, verificado en vivo (§6)</w:t>
            </w:r>
          </w:p>
        </w:tc>
      </w:tr>
      <w:tr>
        <w:tc>
          <w:tcPr>
            <w:tcW w:type="dxa" w:w="5184"/>
          </w:tcPr>
          <w:p>
            <w:pPr>
              <w:spacing w:after="40"/>
            </w:pPr>
            <w:r>
              <w:rPr>
                <w:sz w:val="19"/>
              </w:rPr>
              <w:t>Admin llamando a endpoints de la API en vez de la BD directo</w:t>
            </w:r>
          </w:p>
        </w:tc>
        <w:tc>
          <w:tcPr>
            <w:tcW w:type="dxa" w:w="4896"/>
          </w:tcPr>
          <w:p>
            <w:pPr>
              <w:spacing w:after="40"/>
            </w:pPr>
            <w:r>
              <w:rPr>
                <w:sz w:val="19"/>
              </w:rPr>
              <w:t>Sigue abierto — riesgo de arquitectura aceptado, ver §8 R-7</w:t>
            </w:r>
          </w:p>
        </w:tc>
      </w:tr>
      <w:tr>
        <w:tc>
          <w:tcPr>
            <w:tcW w:type="dxa" w:w="5184"/>
          </w:tcPr>
          <w:p>
            <w:pPr>
              <w:spacing w:after="40"/>
            </w:pPr>
            <w:r>
              <w:rPr>
                <w:sz w:val="19"/>
              </w:rPr>
              <w:t>Migraciones EF Core reales (vs. SQL a mano)</w:t>
            </w:r>
          </w:p>
        </w:tc>
        <w:tc>
          <w:tcPr>
            <w:tcW w:type="dxa" w:w="4896"/>
          </w:tcPr>
          <w:p>
            <w:pPr>
              <w:spacing w:after="40"/>
            </w:pPr>
            <w:r>
              <w:rPr>
                <w:sz w:val="19"/>
              </w:rPr>
              <w:t>Sigue abierto — sin necesidad de cambio de esquema que lo forzara</w:t>
            </w:r>
          </w:p>
        </w:tc>
      </w:tr>
      <w:tr>
        <w:tc>
          <w:tcPr>
            <w:tcW w:type="dxa" w:w="5184"/>
          </w:tcPr>
          <w:p>
            <w:pPr>
              <w:spacing w:after="40"/>
            </w:pPr>
            <w:r>
              <w:rPr>
                <w:sz w:val="19"/>
              </w:rPr>
              <w:t>Cambios al contrato /activate, /checkin, ResultCode, license file, regex de clave</w:t>
            </w:r>
          </w:p>
        </w:tc>
        <w:tc>
          <w:tcPr>
            <w:tcW w:type="dxa" w:w="4896"/>
          </w:tcPr>
          <w:p>
            <w:pPr>
              <w:spacing w:after="40"/>
            </w:pPr>
            <w:r>
              <w:rPr>
                <w:sz w:val="19"/>
              </w:rPr>
              <w:t>Contrato de cable se mantuvo estable — sólo se corrigieron bugs de implementación (D-10 a D-13), nunca el contrato en sí</w:t>
            </w:r>
          </w:p>
        </w:tc>
      </w:tr>
      <w:tr>
        <w:tc>
          <w:tcPr>
            <w:tcW w:type="dxa" w:w="5184"/>
          </w:tcPr>
          <w:p>
            <w:pPr>
              <w:spacing w:after="40"/>
            </w:pPr>
            <w:r>
              <w:rPr>
                <w:sz w:val="19"/>
              </w:rPr>
              <w:t>Suite automatizada de accesibilidad</w:t>
            </w:r>
          </w:p>
        </w:tc>
        <w:tc>
          <w:tcPr>
            <w:tcW w:type="dxa" w:w="4896"/>
          </w:tcPr>
          <w:p>
            <w:pPr>
              <w:spacing w:after="40"/>
            </w:pPr>
            <w:r>
              <w:rPr>
                <w:sz w:val="19"/>
              </w:rPr>
              <w:t>Sigue fuera de alcance</w:t>
            </w:r>
          </w:p>
        </w:tc>
      </w:tr>
      <w:tr>
        <w:tc>
          <w:tcPr>
            <w:tcW w:type="dxa" w:w="5184"/>
          </w:tcPr>
          <w:p>
            <w:pPr>
              <w:spacing w:after="40"/>
            </w:pPr>
            <w:r>
              <w:rPr>
                <w:sz w:val="19"/>
              </w:rPr>
              <w:t>Tests de integración contra Postgres real</w:t>
            </w:r>
          </w:p>
        </w:tc>
        <w:tc>
          <w:tcPr>
            <w:tcW w:type="dxa" w:w="4896"/>
          </w:tcPr>
          <w:p>
            <w:pPr>
              <w:spacing w:after="40"/>
            </w:pPr>
            <w:r>
              <w:rPr>
                <w:sz w:val="19"/>
              </w:rPr>
              <w:t>Sigue con tests unitarios + EF Core Sqlite in-memory (ver §7) en vez de Postgres real</w:t>
            </w:r>
          </w:p>
        </w:tc>
      </w:tr>
      <w:tr>
        <w:tc>
          <w:tcPr>
            <w:tcW w:type="dxa" w:w="5184"/>
          </w:tcPr>
          <w:p>
            <w:pPr>
              <w:spacing w:after="40"/>
            </w:pPr>
            <w:r>
              <w:rPr>
                <w:sz w:val="19"/>
              </w:rPr>
              <w:t>TLS real / dominio público</w:t>
            </w:r>
          </w:p>
        </w:tc>
        <w:tc>
          <w:tcPr>
            <w:tcW w:type="dxa" w:w="4896"/>
          </w:tcPr>
          <w:p>
            <w:pPr>
              <w:spacing w:after="40"/>
            </w:pPr>
            <w:r>
              <w:rPr>
                <w:sz w:val="19"/>
              </w:rPr>
              <w:t>Construido — Cloudflare Tunnel + Origin CA cert, ver CR-08/CR-09</w:t>
            </w:r>
          </w:p>
        </w:tc>
      </w:tr>
    </w:tbl>
    <w:p/>
    <w:p>
      <w:pPr>
        <w:pStyle w:val="Heading2"/>
      </w:pPr>
      <w:r>
        <w:rPr>
          <w:color w:val="1A233A"/>
        </w:rPr>
        <w:t>2.3 Métricas de éxito declaradas</w:t>
      </w:r>
    </w:p>
    <w:tbl>
      <w:tblPr>
        <w:tblStyle w:val="LightGrid-Accent1"/>
        <w:tblW w:type="auto" w:w="0"/>
        <w:jc w:val="center"/>
        <w:tblLook w:firstColumn="1" w:firstRow="1" w:lastColumn="0" w:lastRow="0" w:noHBand="0" w:noVBand="1" w:val="04A0"/>
      </w:tblPr>
      <w:tblGrid>
        <w:gridCol w:w="2880"/>
        <w:gridCol w:w="2880"/>
        <w:gridCol w:w="2880"/>
      </w:tblGrid>
      <w:tr>
        <w:tc>
          <w:tcPr>
            <w:tcW w:type="dxa" w:w="4608"/>
            <w:shd w:fill="1a233a"/>
          </w:tcPr>
          <w:p>
            <w:r>
              <w:rPr>
                <w:b/>
                <w:color w:val="FFFFFF"/>
                <w:sz w:val="19"/>
              </w:rPr>
              <w:t>Métrica</w:t>
            </w:r>
          </w:p>
        </w:tc>
        <w:tc>
          <w:tcPr>
            <w:tcW w:type="dxa" w:w="1872"/>
            <w:shd w:fill="1a233a"/>
          </w:tcPr>
          <w:p>
            <w:r>
              <w:rPr>
                <w:b/>
                <w:color w:val="FFFFFF"/>
                <w:sz w:val="19"/>
              </w:rPr>
              <w:t>Objetivo</w:t>
            </w:r>
          </w:p>
        </w:tc>
        <w:tc>
          <w:tcPr>
            <w:tcW w:type="dxa" w:w="3600"/>
            <w:shd w:fill="1a233a"/>
          </w:tcPr>
          <w:p>
            <w:r>
              <w:rPr>
                <w:b/>
                <w:color w:val="FFFFFF"/>
                <w:sz w:val="19"/>
              </w:rPr>
              <w:t>Resultado real al cierre</w:t>
            </w:r>
          </w:p>
        </w:tc>
      </w:tr>
      <w:tr>
        <w:tc>
          <w:tcPr>
            <w:tcW w:type="dxa" w:w="4608"/>
          </w:tcPr>
          <w:p>
            <w:pPr>
              <w:spacing w:after="40"/>
            </w:pPr>
            <w:r>
              <w:rPr>
                <w:sz w:val="19"/>
              </w:rPr>
              <w:t>Credenciales en texto plano en archivos rastreados</w:t>
            </w:r>
          </w:p>
        </w:tc>
        <w:tc>
          <w:tcPr>
            <w:tcW w:type="dxa" w:w="1872"/>
          </w:tcPr>
          <w:p>
            <w:pPr>
              <w:spacing w:after="40"/>
            </w:pPr>
            <w:r>
              <w:rPr>
                <w:sz w:val="19"/>
              </w:rPr>
              <w:t>0</w:t>
            </w:r>
          </w:p>
        </w:tc>
        <w:tc>
          <w:tcPr>
            <w:tcW w:type="dxa" w:w="3600"/>
          </w:tcPr>
          <w:p>
            <w:pPr>
              <w:spacing w:after="40"/>
            </w:pPr>
            <w:r>
              <w:rPr>
                <w:sz w:val="19"/>
              </w:rPr>
              <w:t>0 — `git grep` exit 1</w:t>
            </w:r>
          </w:p>
        </w:tc>
      </w:tr>
      <w:tr>
        <w:tc>
          <w:tcPr>
            <w:tcW w:type="dxa" w:w="4608"/>
          </w:tcPr>
          <w:p>
            <w:pPr>
              <w:spacing w:after="40"/>
            </w:pPr>
            <w:r>
              <w:rPr>
                <w:sz w:val="19"/>
              </w:rPr>
              <w:t>Acciones admin que mutan datos sin AuditLogEntry</w:t>
            </w:r>
          </w:p>
        </w:tc>
        <w:tc>
          <w:tcPr>
            <w:tcW w:type="dxa" w:w="1872"/>
          </w:tcPr>
          <w:p>
            <w:pPr>
              <w:spacing w:after="40"/>
            </w:pPr>
            <w:r>
              <w:rPr>
                <w:sz w:val="19"/>
              </w:rPr>
              <w:t>0</w:t>
            </w:r>
          </w:p>
        </w:tc>
        <w:tc>
          <w:tcPr>
            <w:tcW w:type="dxa" w:w="3600"/>
          </w:tcPr>
          <w:p>
            <w:pPr>
              <w:spacing w:after="40"/>
            </w:pPr>
            <w:r>
              <w:rPr>
                <w:sz w:val="19"/>
              </w:rPr>
              <w:t>0 — verificado por revisión + tests</w:t>
            </w:r>
          </w:p>
        </w:tc>
      </w:tr>
      <w:tr>
        <w:tc>
          <w:tcPr>
            <w:tcW w:type="dxa" w:w="4608"/>
          </w:tcPr>
          <w:p>
            <w:pPr>
              <w:spacing w:after="40"/>
            </w:pPr>
            <w:r>
              <w:rPr>
                <w:sz w:val="19"/>
              </w:rPr>
              <w:t>Aprobaciones con revisor literal "support-staff@vendor.com"</w:t>
            </w:r>
          </w:p>
        </w:tc>
        <w:tc>
          <w:tcPr>
            <w:tcW w:type="dxa" w:w="1872"/>
          </w:tcPr>
          <w:p>
            <w:pPr>
              <w:spacing w:after="40"/>
            </w:pPr>
            <w:r>
              <w:rPr>
                <w:sz w:val="19"/>
              </w:rPr>
              <w:t>0</w:t>
            </w:r>
          </w:p>
        </w:tc>
        <w:tc>
          <w:tcPr>
            <w:tcW w:type="dxa" w:w="3600"/>
          </w:tcPr>
          <w:p>
            <w:pPr>
              <w:spacing w:after="40"/>
            </w:pPr>
            <w:r>
              <w:rPr>
                <w:sz w:val="19"/>
              </w:rPr>
              <w:t>0 — reemplazado por email real del admin autenticado</w:t>
            </w:r>
          </w:p>
        </w:tc>
      </w:tr>
      <w:tr>
        <w:tc>
          <w:tcPr>
            <w:tcW w:type="dxa" w:w="4608"/>
          </w:tcPr>
          <w:p>
            <w:pPr>
              <w:spacing w:after="40"/>
            </w:pPr>
            <w:r>
              <w:rPr>
                <w:sz w:val="19"/>
              </w:rPr>
              <w:t>Rutas protegidas que sirven contenido anónimo</w:t>
            </w:r>
          </w:p>
        </w:tc>
        <w:tc>
          <w:tcPr>
            <w:tcW w:type="dxa" w:w="1872"/>
          </w:tcPr>
          <w:p>
            <w:pPr>
              <w:spacing w:after="40"/>
            </w:pPr>
            <w:r>
              <w:rPr>
                <w:sz w:val="19"/>
              </w:rPr>
              <w:t>0</w:t>
            </w:r>
          </w:p>
        </w:tc>
        <w:tc>
          <w:tcPr>
            <w:tcW w:type="dxa" w:w="3600"/>
          </w:tcPr>
          <w:p>
            <w:pPr>
              <w:spacing w:after="40"/>
            </w:pPr>
            <w:r>
              <w:rPr>
                <w:sz w:val="19"/>
              </w:rPr>
              <w:t>0 — AuthorizationPipelineTests</w:t>
            </w:r>
          </w:p>
        </w:tc>
      </w:tr>
      <w:tr>
        <w:tc>
          <w:tcPr>
            <w:tcW w:type="dxa" w:w="4608"/>
          </w:tcPr>
          <w:p>
            <w:pPr>
              <w:spacing w:after="40"/>
            </w:pPr>
            <w:r>
              <w:rPr>
                <w:sz w:val="19"/>
              </w:rPr>
              <w:t>Activaciones reales que crashean el servidor</w:t>
            </w:r>
          </w:p>
        </w:tc>
        <w:tc>
          <w:tcPr>
            <w:tcW w:type="dxa" w:w="1872"/>
          </w:tcPr>
          <w:p>
            <w:pPr>
              <w:spacing w:after="40"/>
            </w:pPr>
            <w:r>
              <w:rPr>
                <w:sz w:val="19"/>
              </w:rPr>
              <w:t>0</w:t>
            </w:r>
          </w:p>
        </w:tc>
        <w:tc>
          <w:tcPr>
            <w:tcW w:type="dxa" w:w="3600"/>
          </w:tcPr>
          <w:p>
            <w:pPr>
              <w:spacing w:after="40"/>
            </w:pPr>
            <w:r>
              <w:rPr>
                <w:sz w:val="19"/>
              </w:rPr>
              <w:t>0 al cierre — 1 encontrada y corregida (D-10), luego 1 más por deriva de hardware (D-13), ambas cerradas y con test de regresión</w:t>
            </w:r>
          </w:p>
        </w:tc>
      </w:tr>
    </w:tbl>
    <w:p/>
    <w:p>
      <w:r>
        <w:br w:type="page"/>
      </w:r>
    </w:p>
    <w:p>
      <w:pPr>
        <w:pStyle w:val="Heading1"/>
      </w:pPr>
      <w:r>
        <w:rPr>
          <w:color w:val="1A233A"/>
        </w:rPr>
        <w:t>3. Work Breakdown Structure (WBS)</w:t>
      </w:r>
    </w:p>
    <w:p>
      <w:pPr>
        <w:pStyle w:val="Heading2"/>
      </w:pPr>
      <w:r>
        <w:rPr>
          <w:color w:val="1A233A"/>
        </w:rPr>
        <w:t>3.1 Epic 01 — Fundamentos (8 tareas, todas done)</w:t>
      </w:r>
    </w:p>
    <w:tbl>
      <w:tblPr>
        <w:tblStyle w:val="LightGrid-Accent1"/>
        <w:tblW w:type="auto" w:w="0"/>
        <w:jc w:val="center"/>
        <w:tblLook w:firstColumn="1" w:firstRow="1" w:lastColumn="0" w:lastRow="0" w:noHBand="0" w:noVBand="1" w:val="04A0"/>
      </w:tblPr>
      <w:tblGrid>
        <w:gridCol w:w="4320"/>
        <w:gridCol w:w="4320"/>
      </w:tblGrid>
      <w:tr>
        <w:tc>
          <w:tcPr>
            <w:tcW w:type="dxa" w:w="1440"/>
            <w:shd w:fill="1a233a"/>
          </w:tcPr>
          <w:p>
            <w:r>
              <w:rPr>
                <w:b/>
                <w:color w:val="FFFFFF"/>
                <w:sz w:val="19"/>
              </w:rPr>
              <w:t>ID</w:t>
            </w:r>
          </w:p>
        </w:tc>
        <w:tc>
          <w:tcPr>
            <w:tcW w:type="dxa" w:w="8640"/>
            <w:shd w:fill="1a233a"/>
          </w:tcPr>
          <w:p>
            <w:r>
              <w:rPr>
                <w:b/>
                <w:color w:val="FFFFFF"/>
                <w:sz w:val="19"/>
              </w:rPr>
              <w:t>Tarea</w:t>
            </w:r>
          </w:p>
        </w:tc>
      </w:tr>
      <w:tr>
        <w:tc>
          <w:tcPr>
            <w:tcW w:type="dxa" w:w="1440"/>
          </w:tcPr>
          <w:p>
            <w:pPr>
              <w:spacing w:after="40"/>
            </w:pPr>
            <w:r>
              <w:rPr>
                <w:sz w:val="19"/>
              </w:rPr>
              <w:t>E1-T1</w:t>
            </w:r>
          </w:p>
        </w:tc>
        <w:tc>
          <w:tcPr>
            <w:tcW w:type="dxa" w:w="8640"/>
          </w:tcPr>
          <w:p>
            <w:pPr>
              <w:spacing w:after="40"/>
            </w:pPr>
            <w:r>
              <w:rPr>
                <w:sz w:val="19"/>
              </w:rPr>
              <w:t>Scaffold LicensingSystem.Tests y wiring en la solución</w:t>
            </w:r>
          </w:p>
        </w:tc>
      </w:tr>
      <w:tr>
        <w:tc>
          <w:tcPr>
            <w:tcW w:type="dxa" w:w="1440"/>
          </w:tcPr>
          <w:p>
            <w:pPr>
              <w:spacing w:after="40"/>
            </w:pPr>
            <w:r>
              <w:rPr>
                <w:sz w:val="19"/>
              </w:rPr>
              <w:t>E1-T2</w:t>
            </w:r>
          </w:p>
        </w:tc>
        <w:tc>
          <w:tcPr>
            <w:tcW w:type="dxa" w:w="8640"/>
          </w:tcPr>
          <w:p>
            <w:pPr>
              <w:spacing w:after="40"/>
            </w:pPr>
            <w:r>
              <w:rPr>
                <w:sz w:val="19"/>
              </w:rPr>
              <w:t>Guardián de cadena de conexión (fail-closed al arranque)</w:t>
            </w:r>
          </w:p>
        </w:tc>
      </w:tr>
      <w:tr>
        <w:tc>
          <w:tcPr>
            <w:tcW w:type="dxa" w:w="1440"/>
          </w:tcPr>
          <w:p>
            <w:pPr>
              <w:spacing w:after="40"/>
            </w:pPr>
            <w:r>
              <w:rPr>
                <w:sz w:val="19"/>
              </w:rPr>
              <w:t>E1-T3</w:t>
            </w:r>
          </w:p>
        </w:tc>
        <w:tc>
          <w:tcPr>
            <w:tcW w:type="dxa" w:w="8640"/>
          </w:tcPr>
          <w:p>
            <w:pPr>
              <w:spacing w:after="40"/>
            </w:pPr>
            <w:r>
              <w:rPr>
                <w:sz w:val="19"/>
              </w:rPr>
              <w:t>Sacar la credencial en texto plano del repo</w:t>
            </w:r>
          </w:p>
        </w:tc>
      </w:tr>
      <w:tr>
        <w:tc>
          <w:tcPr>
            <w:tcW w:type="dxa" w:w="1440"/>
          </w:tcPr>
          <w:p>
            <w:pPr>
              <w:spacing w:after="40"/>
            </w:pPr>
            <w:r>
              <w:rPr>
                <w:sz w:val="19"/>
              </w:rPr>
              <w:t>E1-T4</w:t>
            </w:r>
          </w:p>
        </w:tc>
        <w:tc>
          <w:tcPr>
            <w:tcW w:type="dxa" w:w="8640"/>
          </w:tcPr>
          <w:p>
            <w:pPr>
              <w:spacing w:after="40"/>
            </w:pPr>
            <w:r>
              <w:rPr>
                <w:sz w:val="19"/>
              </w:rPr>
              <w:t>Generador de clave de licencia (LicensingCore)</w:t>
            </w:r>
          </w:p>
        </w:tc>
      </w:tr>
      <w:tr>
        <w:tc>
          <w:tcPr>
            <w:tcW w:type="dxa" w:w="1440"/>
          </w:tcPr>
          <w:p>
            <w:pPr>
              <w:spacing w:after="40"/>
            </w:pPr>
            <w:r>
              <w:rPr>
                <w:sz w:val="19"/>
              </w:rPr>
              <w:t>E1-T5</w:t>
            </w:r>
          </w:p>
        </w:tc>
        <w:tc>
          <w:tcPr>
            <w:tcW w:type="dxa" w:w="8640"/>
          </w:tcPr>
          <w:p>
            <w:pPr>
              <w:spacing w:after="40"/>
            </w:pPr>
            <w:r>
              <w:rPr>
                <w:sz w:val="19"/>
              </w:rPr>
              <w:t>Firmador de licencia RSA-SHA256 (LicensingCore)</w:t>
            </w:r>
          </w:p>
        </w:tc>
      </w:tr>
      <w:tr>
        <w:tc>
          <w:tcPr>
            <w:tcW w:type="dxa" w:w="1440"/>
          </w:tcPr>
          <w:p>
            <w:pPr>
              <w:spacing w:after="40"/>
            </w:pPr>
            <w:r>
              <w:rPr>
                <w:sz w:val="19"/>
              </w:rPr>
              <w:t>E1-T6</w:t>
            </w:r>
          </w:p>
        </w:tc>
        <w:tc>
          <w:tcPr>
            <w:tcW w:type="dxa" w:w="8640"/>
          </w:tcPr>
          <w:p>
            <w:pPr>
              <w:spacing w:after="40"/>
            </w:pPr>
            <w:r>
              <w:rPr>
                <w:sz w:val="19"/>
              </w:rPr>
              <w:t>Cablear firmador + configuración cripto en LicensingAdmin</w:t>
            </w:r>
          </w:p>
        </w:tc>
      </w:tr>
      <w:tr>
        <w:tc>
          <w:tcPr>
            <w:tcW w:type="dxa" w:w="1440"/>
          </w:tcPr>
          <w:p>
            <w:pPr>
              <w:spacing w:after="40"/>
            </w:pPr>
            <w:r>
              <w:rPr>
                <w:sz w:val="19"/>
              </w:rPr>
              <w:t>E1-T7</w:t>
            </w:r>
          </w:p>
        </w:tc>
        <w:tc>
          <w:tcPr>
            <w:tcW w:type="dxa" w:w="8640"/>
          </w:tcPr>
          <w:p>
            <w:pPr>
              <w:spacing w:after="40"/>
            </w:pPr>
            <w:r>
              <w:rPr>
                <w:sz w:val="19"/>
              </w:rPr>
              <w:t>Servicio de hashing de contraseñas (PBKDF2, 210k iteraciones)</w:t>
            </w:r>
          </w:p>
        </w:tc>
      </w:tr>
      <w:tr>
        <w:tc>
          <w:tcPr>
            <w:tcW w:type="dxa" w:w="1440"/>
          </w:tcPr>
          <w:p>
            <w:pPr>
              <w:spacing w:after="40"/>
            </w:pPr>
            <w:r>
              <w:rPr>
                <w:sz w:val="19"/>
              </w:rPr>
              <w:t>E1-T8</w:t>
            </w:r>
          </w:p>
        </w:tc>
        <w:tc>
          <w:tcPr>
            <w:tcW w:type="dxa" w:w="8640"/>
          </w:tcPr>
          <w:p>
            <w:pPr>
              <w:spacing w:after="40"/>
            </w:pPr>
            <w:r>
              <w:rPr>
                <w:sz w:val="19"/>
              </w:rPr>
              <w:t>Cookie auth + políticas + fallback policy + shell de autenticación</w:t>
            </w:r>
          </w:p>
        </w:tc>
      </w:tr>
    </w:tbl>
    <w:p/>
    <w:p>
      <w:pPr>
        <w:pStyle w:val="Heading2"/>
      </w:pPr>
      <w:r>
        <w:rPr>
          <w:color w:val="1A233A"/>
        </w:rPr>
        <w:t>3.2 Epic 02 — Autenticación y Licencias (8 tareas, todas done)</w:t>
      </w:r>
    </w:p>
    <w:tbl>
      <w:tblPr>
        <w:tblStyle w:val="LightGrid-Accent1"/>
        <w:tblW w:type="auto" w:w="0"/>
        <w:jc w:val="center"/>
        <w:tblLook w:firstColumn="1" w:firstRow="1" w:lastColumn="0" w:lastRow="0" w:noHBand="0" w:noVBand="1" w:val="04A0"/>
      </w:tblPr>
      <w:tblGrid>
        <w:gridCol w:w="4320"/>
        <w:gridCol w:w="4320"/>
      </w:tblGrid>
      <w:tr>
        <w:tc>
          <w:tcPr>
            <w:tcW w:type="dxa" w:w="1440"/>
            <w:shd w:fill="1a233a"/>
          </w:tcPr>
          <w:p>
            <w:r>
              <w:rPr>
                <w:b/>
                <w:color w:val="FFFFFF"/>
                <w:sz w:val="19"/>
              </w:rPr>
              <w:t>ID</w:t>
            </w:r>
          </w:p>
        </w:tc>
        <w:tc>
          <w:tcPr>
            <w:tcW w:type="dxa" w:w="8640"/>
            <w:shd w:fill="1a233a"/>
          </w:tcPr>
          <w:p>
            <w:r>
              <w:rPr>
                <w:b/>
                <w:color w:val="FFFFFF"/>
                <w:sz w:val="19"/>
              </w:rPr>
              <w:t>Tarea</w:t>
            </w:r>
          </w:p>
        </w:tc>
      </w:tr>
      <w:tr>
        <w:tc>
          <w:tcPr>
            <w:tcW w:type="dxa" w:w="1440"/>
          </w:tcPr>
          <w:p>
            <w:pPr>
              <w:spacing w:after="40"/>
            </w:pPr>
            <w:r>
              <w:rPr>
                <w:sz w:val="19"/>
              </w:rPr>
              <w:t>E2-T1</w:t>
            </w:r>
          </w:p>
        </w:tc>
        <w:tc>
          <w:tcPr>
            <w:tcW w:type="dxa" w:w="8640"/>
          </w:tcPr>
          <w:p>
            <w:pPr>
              <w:spacing w:after="40"/>
            </w:pPr>
            <w:r>
              <w:rPr>
                <w:sz w:val="19"/>
              </w:rPr>
              <w:t>Auth-state provider + servicio de credenciales</w:t>
            </w:r>
          </w:p>
        </w:tc>
      </w:tr>
      <w:tr>
        <w:tc>
          <w:tcPr>
            <w:tcW w:type="dxa" w:w="1440"/>
          </w:tcPr>
          <w:p>
            <w:pPr>
              <w:spacing w:after="40"/>
            </w:pPr>
            <w:r>
              <w:rPr>
                <w:sz w:val="19"/>
              </w:rPr>
              <w:t>E2-T2</w:t>
            </w:r>
          </w:p>
        </w:tc>
        <w:tc>
          <w:tcPr>
            <w:tcW w:type="dxa" w:w="8640"/>
          </w:tcPr>
          <w:p>
            <w:pPr>
              <w:spacing w:after="40"/>
            </w:pPr>
            <w:r>
              <w:rPr>
                <w:sz w:val="19"/>
              </w:rPr>
              <w:t>Páginas Razor de login/logout + test de pipeline de autorización</w:t>
            </w:r>
          </w:p>
        </w:tc>
      </w:tr>
      <w:tr>
        <w:tc>
          <w:tcPr>
            <w:tcW w:type="dxa" w:w="1440"/>
          </w:tcPr>
          <w:p>
            <w:pPr>
              <w:spacing w:after="40"/>
            </w:pPr>
            <w:r>
              <w:rPr>
                <w:sz w:val="19"/>
              </w:rPr>
              <w:t>E2-T3</w:t>
            </w:r>
          </w:p>
        </w:tc>
        <w:tc>
          <w:tcPr>
            <w:tcW w:type="dxa" w:w="8640"/>
          </w:tcPr>
          <w:p>
            <w:pPr>
              <w:spacing w:after="40"/>
            </w:pPr>
            <w:r>
              <w:rPr>
                <w:sz w:val="19"/>
              </w:rPr>
              <w:t>Seeder del primer SuperAdmin</w:t>
            </w:r>
          </w:p>
        </w:tc>
      </w:tr>
      <w:tr>
        <w:tc>
          <w:tcPr>
            <w:tcW w:type="dxa" w:w="1440"/>
          </w:tcPr>
          <w:p>
            <w:pPr>
              <w:spacing w:after="40"/>
            </w:pPr>
            <w:r>
              <w:rPr>
                <w:sz w:val="19"/>
              </w:rPr>
              <w:t>E2-T4</w:t>
            </w:r>
          </w:p>
        </w:tc>
        <w:tc>
          <w:tcPr>
            <w:tcW w:type="dxa" w:w="8640"/>
          </w:tcPr>
          <w:p>
            <w:pPr>
              <w:spacing w:after="40"/>
            </w:pPr>
            <w:r>
              <w:rPr>
                <w:sz w:val="19"/>
              </w:rPr>
              <w:t>Proteger pantallas existentes + revisor real (no más literal hardcodeado)</w:t>
            </w:r>
          </w:p>
        </w:tc>
      </w:tr>
      <w:tr>
        <w:tc>
          <w:tcPr>
            <w:tcW w:type="dxa" w:w="1440"/>
          </w:tcPr>
          <w:p>
            <w:pPr>
              <w:spacing w:after="40"/>
            </w:pPr>
            <w:r>
              <w:rPr>
                <w:sz w:val="19"/>
              </w:rPr>
              <w:t>E2-T5</w:t>
            </w:r>
          </w:p>
        </w:tc>
        <w:tc>
          <w:tcPr>
            <w:tcW w:type="dxa" w:w="8640"/>
          </w:tcPr>
          <w:p>
            <w:pPr>
              <w:spacing w:after="40"/>
            </w:pPr>
            <w:r>
              <w:rPr>
                <w:sz w:val="19"/>
              </w:rPr>
              <w:t>Servicio de emisión de licencias</w:t>
            </w:r>
          </w:p>
        </w:tc>
      </w:tr>
      <w:tr>
        <w:tc>
          <w:tcPr>
            <w:tcW w:type="dxa" w:w="1440"/>
          </w:tcPr>
          <w:p>
            <w:pPr>
              <w:spacing w:after="40"/>
            </w:pPr>
            <w:r>
              <w:rPr>
                <w:sz w:val="19"/>
              </w:rPr>
              <w:t>E2-T6</w:t>
            </w:r>
          </w:p>
        </w:tc>
        <w:tc>
          <w:tcPr>
            <w:tcW w:type="dxa" w:w="8640"/>
          </w:tcPr>
          <w:p>
            <w:pPr>
              <w:spacing w:after="40"/>
            </w:pPr>
            <w:r>
              <w:rPr>
                <w:sz w:val="19"/>
              </w:rPr>
              <w:t>Pantalla "Generar nueva licencia" + shell de MainLayout</w:t>
            </w:r>
          </w:p>
        </w:tc>
      </w:tr>
      <w:tr>
        <w:tc>
          <w:tcPr>
            <w:tcW w:type="dxa" w:w="1440"/>
          </w:tcPr>
          <w:p>
            <w:pPr>
              <w:spacing w:after="40"/>
            </w:pPr>
            <w:r>
              <w:rPr>
                <w:sz w:val="19"/>
              </w:rPr>
              <w:t>E2-T7</w:t>
            </w:r>
          </w:p>
        </w:tc>
        <w:tc>
          <w:tcPr>
            <w:tcW w:type="dxa" w:w="8640"/>
          </w:tcPr>
          <w:p>
            <w:pPr>
              <w:spacing w:after="40"/>
            </w:pPr>
            <w:r>
              <w:rPr>
                <w:sz w:val="19"/>
              </w:rPr>
              <w:t>Pantalla de administradores</w:t>
            </w:r>
          </w:p>
        </w:tc>
      </w:tr>
      <w:tr>
        <w:tc>
          <w:tcPr>
            <w:tcW w:type="dxa" w:w="1440"/>
          </w:tcPr>
          <w:p>
            <w:pPr>
              <w:spacing w:after="40"/>
            </w:pPr>
            <w:r>
              <w:rPr>
                <w:sz w:val="19"/>
              </w:rPr>
              <w:t>E2-T8</w:t>
            </w:r>
          </w:p>
        </w:tc>
        <w:tc>
          <w:tcPr>
            <w:tcW w:type="dxa" w:w="8640"/>
          </w:tcPr>
          <w:p>
            <w:pPr>
              <w:spacing w:after="40"/>
            </w:pPr>
            <w:r>
              <w:rPr>
                <w:sz w:val="19"/>
              </w:rPr>
              <w:t>Smoke de solución + regresión + auditoría de checkpoints (cierre del slice)</w:t>
            </w:r>
          </w:p>
        </w:tc>
      </w:tr>
    </w:tbl>
    <w:p/>
    <w:p>
      <w:pPr>
        <w:pStyle w:val="Heading2"/>
      </w:pPr>
      <w:r>
        <w:rPr>
          <w:color w:val="1A233A"/>
        </w:rPr>
        <w:t>3.3 Trabajo posterior al cierre del slice 1</w:t>
      </w:r>
    </w:p>
    <w:tbl>
      <w:tblPr>
        <w:tblStyle w:val="LightGrid-Accent1"/>
        <w:tblW w:type="auto" w:w="0"/>
        <w:jc w:val="center"/>
        <w:tblLook w:firstColumn="1" w:firstRow="1" w:lastColumn="0" w:lastRow="0" w:noHBand="0" w:noVBand="1" w:val="04A0"/>
      </w:tblPr>
      <w:tblGrid>
        <w:gridCol w:w="4320"/>
        <w:gridCol w:w="4320"/>
      </w:tblGrid>
      <w:tr>
        <w:tc>
          <w:tcPr>
            <w:tcW w:type="dxa" w:w="3312"/>
            <w:shd w:fill="1a233a"/>
          </w:tcPr>
          <w:p>
            <w:r>
              <w:rPr>
                <w:b/>
                <w:color w:val="FFFFFF"/>
                <w:sz w:val="19"/>
              </w:rPr>
              <w:t>Bloque</w:t>
            </w:r>
          </w:p>
        </w:tc>
        <w:tc>
          <w:tcPr>
            <w:tcW w:type="dxa" w:w="6768"/>
            <w:shd w:fill="1a233a"/>
          </w:tcPr>
          <w:p>
            <w:r>
              <w:rPr>
                <w:b/>
                <w:color w:val="FFFFFF"/>
                <w:sz w:val="19"/>
              </w:rPr>
              <w:t>Entregable principal</w:t>
            </w:r>
          </w:p>
        </w:tc>
      </w:tr>
      <w:tr>
        <w:tc>
          <w:tcPr>
            <w:tcW w:type="dxa" w:w="3312"/>
          </w:tcPr>
          <w:p>
            <w:pPr>
              <w:spacing w:after="40"/>
            </w:pPr>
            <w:r>
              <w:rPr>
                <w:sz w:val="19"/>
              </w:rPr>
              <w:t>Migración a GitHub</w:t>
            </w:r>
          </w:p>
        </w:tc>
        <w:tc>
          <w:tcPr>
            <w:tcW w:type="dxa" w:w="6768"/>
          </w:tcPr>
          <w:p>
            <w:pPr>
              <w:spacing w:after="40"/>
            </w:pPr>
            <w:r>
              <w:rPr>
                <w:sz w:val="19"/>
              </w:rPr>
              <w:t>Historial purgado (git filter-repo), 16 tags reconstruidos, checkout canónico movido</w:t>
            </w:r>
          </w:p>
        </w:tc>
      </w:tr>
      <w:tr>
        <w:tc>
          <w:tcPr>
            <w:tcW w:type="dxa" w:w="3312"/>
          </w:tcPr>
          <w:p>
            <w:pPr>
              <w:spacing w:after="40"/>
            </w:pPr>
            <w:r>
              <w:rPr>
                <w:sz w:val="19"/>
              </w:rPr>
              <w:t>Verificación manual (paso 14)</w:t>
            </w:r>
          </w:p>
        </w:tc>
        <w:tc>
          <w:tcPr>
            <w:tcW w:type="dxa" w:w="6768"/>
          </w:tcPr>
          <w:p>
            <w:pPr>
              <w:spacing w:after="40"/>
            </w:pPr>
            <w:r>
              <w:rPr>
                <w:sz w:val="19"/>
              </w:rPr>
              <w:t>Seed + login + emisión de licencia + rutas por rol, contra Postgres real</w:t>
            </w:r>
          </w:p>
        </w:tc>
      </w:tr>
      <w:tr>
        <w:tc>
          <w:tcPr>
            <w:tcW w:type="dxa" w:w="3312"/>
          </w:tcPr>
          <w:p>
            <w:pPr>
              <w:spacing w:after="40"/>
            </w:pPr>
            <w:r>
              <w:rPr>
                <w:sz w:val="19"/>
              </w:rPr>
              <w:t>Tema visual "Lustro"</w:t>
            </w:r>
          </w:p>
        </w:tc>
        <w:tc>
          <w:tcPr>
            <w:tcW w:type="dxa" w:w="6768"/>
          </w:tcPr>
          <w:p>
            <w:pPr>
              <w:spacing w:after="40"/>
            </w:pPr>
            <w:r>
              <w:rPr>
                <w:sz w:val="19"/>
              </w:rPr>
              <w:t>MudTheme dark glassmorphism, tipografía Space Grotesk/DM Sans/JetBrains Mono</w:t>
            </w:r>
          </w:p>
        </w:tc>
      </w:tr>
      <w:tr>
        <w:tc>
          <w:tcPr>
            <w:tcW w:type="dxa" w:w="3312"/>
          </w:tcPr>
          <w:p>
            <w:pPr>
              <w:spacing w:after="40"/>
            </w:pPr>
            <w:r>
              <w:rPr>
                <w:sz w:val="19"/>
              </w:rPr>
              <w:t>Despliegue Debian LXC</w:t>
            </w:r>
          </w:p>
        </w:tc>
        <w:tc>
          <w:tcPr>
            <w:tcW w:type="dxa" w:w="6768"/>
          </w:tcPr>
          <w:p>
            <w:pPr>
              <w:spacing w:after="40"/>
            </w:pPr>
            <w:r>
              <w:rPr>
                <w:sz w:val="19"/>
              </w:rPr>
              <w:t>Provisioning, nginx+TLS, systemd, LicensingAdmin+LicensingApi corriendo en 10.11.1.41</w:t>
            </w:r>
          </w:p>
        </w:tc>
      </w:tr>
      <w:tr>
        <w:tc>
          <w:tcPr>
            <w:tcW w:type="dxa" w:w="3312"/>
          </w:tcPr>
          <w:p>
            <w:pPr>
              <w:spacing w:after="40"/>
            </w:pPr>
            <w:r>
              <w:rPr>
                <w:sz w:val="19"/>
              </w:rPr>
              <w:t>Paquete de usabilidad E3 (7 ítems)</w:t>
            </w:r>
          </w:p>
        </w:tc>
        <w:tc>
          <w:tcPr>
            <w:tcW w:type="dxa" w:w="6768"/>
          </w:tcPr>
          <w:p>
            <w:pPr>
              <w:spacing w:after="40"/>
            </w:pPr>
            <w:r>
              <w:rPr>
                <w:sz w:val="19"/>
              </w:rPr>
              <w:t>Ver detalle en §3.4</w:t>
            </w:r>
          </w:p>
        </w:tc>
      </w:tr>
      <w:tr>
        <w:tc>
          <w:tcPr>
            <w:tcW w:type="dxa" w:w="3312"/>
          </w:tcPr>
          <w:p>
            <w:pPr>
              <w:spacing w:after="40"/>
            </w:pPr>
            <w:r>
              <w:rPr>
                <w:sz w:val="19"/>
              </w:rPr>
              <w:t>Paquete E4 (2 ítems)</w:t>
            </w:r>
          </w:p>
        </w:tc>
        <w:tc>
          <w:tcPr>
            <w:tcW w:type="dxa" w:w="6768"/>
          </w:tcPr>
          <w:p>
            <w:pPr>
              <w:spacing w:after="40"/>
            </w:pPr>
            <w:r>
              <w:rPr>
                <w:sz w:val="19"/>
              </w:rPr>
              <w:t>Ver detalle en §3.5</w:t>
            </w:r>
          </w:p>
        </w:tc>
      </w:tr>
      <w:tr>
        <w:tc>
          <w:tcPr>
            <w:tcW w:type="dxa" w:w="3312"/>
          </w:tcPr>
          <w:p>
            <w:pPr>
              <w:spacing w:after="40"/>
            </w:pPr>
            <w:r>
              <w:rPr>
                <w:sz w:val="19"/>
              </w:rPr>
              <w:t>Primera activación real + fix crítico</w:t>
            </w:r>
          </w:p>
        </w:tc>
        <w:tc>
          <w:tcPr>
            <w:tcW w:type="dxa" w:w="6768"/>
          </w:tcPr>
          <w:p>
            <w:pPr>
              <w:spacing w:after="40"/>
            </w:pPr>
            <w:r>
              <w:rPr>
                <w:sz w:val="19"/>
              </w:rPr>
              <w:t>Ver D-10 en §5</w:t>
            </w:r>
          </w:p>
        </w:tc>
      </w:tr>
      <w:tr>
        <w:tc>
          <w:tcPr>
            <w:tcW w:type="dxa" w:w="3312"/>
          </w:tcPr>
          <w:p>
            <w:pPr>
              <w:spacing w:after="40"/>
            </w:pPr>
            <w:r>
              <w:rPr>
                <w:sz w:val="19"/>
              </w:rPr>
              <w:t>Auditoría completa de /api/checkin</w:t>
            </w:r>
          </w:p>
        </w:tc>
        <w:tc>
          <w:tcPr>
            <w:tcW w:type="dxa" w:w="6768"/>
          </w:tcPr>
          <w:p>
            <w:pPr>
              <w:spacing w:after="40"/>
            </w:pPr>
            <w:r>
              <w:rPr>
                <w:sz w:val="19"/>
              </w:rPr>
              <w:t>Ver D-11 a D-13 en §5</w:t>
            </w:r>
          </w:p>
        </w:tc>
      </w:tr>
      <w:tr>
        <w:tc>
          <w:tcPr>
            <w:tcW w:type="dxa" w:w="3312"/>
          </w:tcPr>
          <w:p>
            <w:pPr>
              <w:spacing w:after="40"/>
            </w:pPr>
            <w:r>
              <w:rPr>
                <w:sz w:val="19"/>
              </w:rPr>
              <w:t>MaxActivations + rate limiting</w:t>
            </w:r>
          </w:p>
        </w:tc>
        <w:tc>
          <w:tcPr>
            <w:tcW w:type="dxa" w:w="6768"/>
          </w:tcPr>
          <w:p>
            <w:pPr>
              <w:spacing w:after="40"/>
            </w:pPr>
            <w:r>
              <w:rPr>
                <w:sz w:val="19"/>
              </w:rPr>
              <w:t>Ver §6</w:t>
            </w:r>
          </w:p>
        </w:tc>
      </w:tr>
      <w:tr>
        <w:tc>
          <w:tcPr>
            <w:tcW w:type="dxa" w:w="3312"/>
          </w:tcPr>
          <w:p>
            <w:pPr>
              <w:spacing w:after="40"/>
            </w:pPr>
            <w:r>
              <w:rPr>
                <w:sz w:val="19"/>
              </w:rPr>
              <w:t>ActivationHelloWorld</w:t>
            </w:r>
          </w:p>
        </w:tc>
        <w:tc>
          <w:tcPr>
            <w:tcW w:type="dxa" w:w="6768"/>
          </w:tcPr>
          <w:p>
            <w:pPr>
              <w:spacing w:after="40"/>
            </w:pPr>
            <w:r>
              <w:rPr>
                <w:sz w:val="19"/>
              </w:rPr>
              <w:t>Ver §7</w:t>
            </w:r>
          </w:p>
        </w:tc>
      </w:tr>
      <w:tr>
        <w:tc>
          <w:tcPr>
            <w:tcW w:type="dxa" w:w="3312"/>
          </w:tcPr>
          <w:p>
            <w:pPr>
              <w:spacing w:after="40"/>
            </w:pPr>
            <w:r>
              <w:rPr>
                <w:sz w:val="19"/>
              </w:rPr>
              <w:t>Publicación a internet (Cloudflare Tunnel)</w:t>
            </w:r>
          </w:p>
        </w:tc>
        <w:tc>
          <w:tcPr>
            <w:tcW w:type="dxa" w:w="6768"/>
          </w:tcPr>
          <w:p>
            <w:pPr>
              <w:spacing w:after="40"/>
            </w:pPr>
            <w:r>
              <w:rPr>
                <w:sz w:val="19"/>
              </w:rPr>
              <w:t>Ver CR-08/CR-09</w:t>
            </w:r>
          </w:p>
        </w:tc>
      </w:tr>
    </w:tbl>
    <w:p/>
    <w:p>
      <w:pPr>
        <w:pStyle w:val="Heading2"/>
      </w:pPr>
      <w:r>
        <w:rPr>
          <w:color w:val="1A233A"/>
        </w:rPr>
        <w:t>3.4 Paquete E3 — Mejoras de usabilidad (2026-09-13)</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fill="1a233a"/>
          </w:tcPr>
          <w:p>
            <w:r>
              <w:rPr>
                <w:b/>
                <w:color w:val="FFFFFF"/>
                <w:sz w:val="19"/>
              </w:rPr>
              <w:t>#</w:t>
            </w:r>
          </w:p>
        </w:tc>
        <w:tc>
          <w:tcPr>
            <w:tcW w:type="dxa" w:w="3312"/>
            <w:shd w:fill="1a233a"/>
          </w:tcPr>
          <w:p>
            <w:r>
              <w:rPr>
                <w:b/>
                <w:color w:val="FFFFFF"/>
                <w:sz w:val="19"/>
              </w:rPr>
              <w:t>Ítem</w:t>
            </w:r>
          </w:p>
        </w:tc>
        <w:tc>
          <w:tcPr>
            <w:tcW w:type="dxa" w:w="6192"/>
            <w:shd w:fill="1a233a"/>
          </w:tcPr>
          <w:p>
            <w:r>
              <w:rPr>
                <w:b/>
                <w:color w:val="FFFFFF"/>
                <w:sz w:val="19"/>
              </w:rPr>
              <w:t>Entregable</w:t>
            </w:r>
          </w:p>
        </w:tc>
      </w:tr>
      <w:tr>
        <w:tc>
          <w:tcPr>
            <w:tcW w:type="dxa" w:w="576"/>
          </w:tcPr>
          <w:p>
            <w:pPr>
              <w:spacing w:after="40"/>
            </w:pPr>
            <w:r>
              <w:rPr>
                <w:sz w:val="19"/>
              </w:rPr>
              <w:t>1</w:t>
            </w:r>
          </w:p>
        </w:tc>
        <w:tc>
          <w:tcPr>
            <w:tcW w:type="dxa" w:w="3312"/>
          </w:tcPr>
          <w:p>
            <w:pPr>
              <w:spacing w:after="40"/>
            </w:pPr>
            <w:r>
              <w:rPr>
                <w:sz w:val="19"/>
              </w:rPr>
              <w:t>Autoservicio de cuenta</w:t>
            </w:r>
          </w:p>
        </w:tc>
        <w:tc>
          <w:tcPr>
            <w:tcW w:type="dxa" w:w="6192"/>
          </w:tcPr>
          <w:p>
            <w:pPr>
              <w:spacing w:after="40"/>
            </w:pPr>
            <w:r>
              <w:rPr>
                <w:sz w:val="19"/>
              </w:rPr>
              <w:t>/account/profile — cambiar correo/contraseña propios</w:t>
            </w:r>
          </w:p>
        </w:tc>
      </w:tr>
      <w:tr>
        <w:tc>
          <w:tcPr>
            <w:tcW w:type="dxa" w:w="576"/>
          </w:tcPr>
          <w:p>
            <w:pPr>
              <w:spacing w:after="40"/>
            </w:pPr>
            <w:r>
              <w:rPr>
                <w:sz w:val="19"/>
              </w:rPr>
              <w:t>2</w:t>
            </w:r>
          </w:p>
        </w:tc>
        <w:tc>
          <w:tcPr>
            <w:tcW w:type="dxa" w:w="3312"/>
          </w:tcPr>
          <w:p>
            <w:pPr>
              <w:spacing w:after="40"/>
            </w:pPr>
            <w:r>
              <w:rPr>
                <w:sz w:val="19"/>
              </w:rPr>
              <w:t>Configuración SMTP</w:t>
            </w:r>
          </w:p>
        </w:tc>
        <w:tc>
          <w:tcPr>
            <w:tcW w:type="dxa" w:w="6192"/>
          </w:tcPr>
          <w:p>
            <w:pPr>
              <w:spacing w:after="40"/>
            </w:pPr>
            <w:r>
              <w:rPr>
                <w:sz w:val="19"/>
              </w:rPr>
              <w:t>/admin/notifications — antes un Non-Goal explícito del SoW</w:t>
            </w:r>
          </w:p>
        </w:tc>
      </w:tr>
      <w:tr>
        <w:tc>
          <w:tcPr>
            <w:tcW w:type="dxa" w:w="576"/>
          </w:tcPr>
          <w:p>
            <w:pPr>
              <w:spacing w:after="40"/>
            </w:pPr>
            <w:r>
              <w:rPr>
                <w:sz w:val="19"/>
              </w:rPr>
              <w:t>3</w:t>
            </w:r>
          </w:p>
        </w:tc>
        <w:tc>
          <w:tcPr>
            <w:tcW w:type="dxa" w:w="3312"/>
          </w:tcPr>
          <w:p>
            <w:pPr>
              <w:spacing w:after="40"/>
            </w:pPr>
            <w:r>
              <w:rPr>
                <w:sz w:val="19"/>
              </w:rPr>
              <w:t>Búsqueda + filtros + datos de cliente</w:t>
            </w:r>
          </w:p>
        </w:tc>
        <w:tc>
          <w:tcPr>
            <w:tcW w:type="dxa" w:w="6192"/>
          </w:tcPr>
          <w:p>
            <w:pPr>
              <w:spacing w:after="40"/>
            </w:pPr>
            <w:r>
              <w:rPr>
                <w:sz w:val="19"/>
              </w:rPr>
              <w:t>Licenses.razor (MudTable ServerData) y PendingReview.razor</w:t>
            </w:r>
          </w:p>
        </w:tc>
      </w:tr>
      <w:tr>
        <w:tc>
          <w:tcPr>
            <w:tcW w:type="dxa" w:w="576"/>
          </w:tcPr>
          <w:p>
            <w:pPr>
              <w:spacing w:after="40"/>
            </w:pPr>
            <w:r>
              <w:rPr>
                <w:sz w:val="19"/>
              </w:rPr>
              <w:t>4</w:t>
            </w:r>
          </w:p>
        </w:tc>
        <w:tc>
          <w:tcPr>
            <w:tcW w:type="dxa" w:w="3312"/>
          </w:tcPr>
          <w:p>
            <w:pPr>
              <w:spacing w:after="40"/>
            </w:pPr>
            <w:r>
              <w:rPr>
                <w:sz w:val="19"/>
              </w:rPr>
              <w:t>Referencia de integración DLL</w:t>
            </w:r>
          </w:p>
        </w:tc>
        <w:tc>
          <w:tcPr>
            <w:tcW w:type="dxa" w:w="6192"/>
          </w:tcPr>
          <w:p>
            <w:pPr>
              <w:spacing w:after="40"/>
            </w:pPr>
            <w:r>
              <w:rPr>
                <w:sz w:val="19"/>
              </w:rPr>
              <w:t>docs/activation-dll-integration-reference.md</w:t>
            </w:r>
          </w:p>
        </w:tc>
      </w:tr>
      <w:tr>
        <w:tc>
          <w:tcPr>
            <w:tcW w:type="dxa" w:w="576"/>
          </w:tcPr>
          <w:p>
            <w:pPr>
              <w:spacing w:after="40"/>
            </w:pPr>
            <w:r>
              <w:rPr>
                <w:sz w:val="19"/>
              </w:rPr>
              <w:t>5</w:t>
            </w:r>
          </w:p>
        </w:tc>
        <w:tc>
          <w:tcPr>
            <w:tcW w:type="dxa" w:w="3312"/>
          </w:tcPr>
          <w:p>
            <w:pPr>
              <w:spacing w:after="40"/>
            </w:pPr>
            <w:r>
              <w:rPr>
                <w:sz w:val="19"/>
              </w:rPr>
              <w:t>Dashboard: vencimientos + export</w:t>
            </w:r>
          </w:p>
        </w:tc>
        <w:tc>
          <w:tcPr>
            <w:tcW w:type="dxa" w:w="6192"/>
          </w:tcPr>
          <w:p>
            <w:pPr>
              <w:spacing w:after="40"/>
            </w:pPr>
            <w:r>
              <w:rPr>
                <w:sz w:val="19"/>
              </w:rPr>
              <w:t>Widget 30 días + export completo a Excel — antes un Non-Goal explícito</w:t>
            </w:r>
          </w:p>
        </w:tc>
      </w:tr>
      <w:tr>
        <w:tc>
          <w:tcPr>
            <w:tcW w:type="dxa" w:w="576"/>
          </w:tcPr>
          <w:p>
            <w:pPr>
              <w:spacing w:after="40"/>
            </w:pPr>
            <w:r>
              <w:rPr>
                <w:sz w:val="19"/>
              </w:rPr>
              <w:t>6</w:t>
            </w:r>
          </w:p>
        </w:tc>
        <w:tc>
          <w:tcPr>
            <w:tcW w:type="dxa" w:w="3312"/>
          </w:tcPr>
          <w:p>
            <w:pPr>
              <w:spacing w:after="40"/>
            </w:pPr>
            <w:r>
              <w:rPr>
                <w:sz w:val="19"/>
              </w:rPr>
              <w:t>Landing pública</w:t>
            </w:r>
          </w:p>
        </w:tc>
        <w:tc>
          <w:tcPr>
            <w:tcW w:type="dxa" w:w="6192"/>
          </w:tcPr>
          <w:p>
            <w:pPr>
              <w:spacing w:after="40"/>
            </w:pPr>
            <w:r>
              <w:rPr>
                <w:sz w:val="19"/>
              </w:rPr>
              <w:t>"/" en LicensingAdmin — bienvenida + login; Dashboard movido a "/dashboard"</w:t>
            </w:r>
          </w:p>
        </w:tc>
      </w:tr>
      <w:tr>
        <w:tc>
          <w:tcPr>
            <w:tcW w:type="dxa" w:w="576"/>
          </w:tcPr>
          <w:p>
            <w:pPr>
              <w:spacing w:after="40"/>
            </w:pPr>
            <w:r>
              <w:rPr>
                <w:sz w:val="19"/>
              </w:rPr>
              <w:t>7</w:t>
            </w:r>
          </w:p>
        </w:tc>
        <w:tc>
          <w:tcPr>
            <w:tcW w:type="dxa" w:w="3312"/>
          </w:tcPr>
          <w:p>
            <w:pPr>
              <w:spacing w:after="40"/>
            </w:pPr>
            <w:r>
              <w:rPr>
                <w:sz w:val="19"/>
              </w:rPr>
              <w:t>Documento de proyecto PMI</w:t>
            </w:r>
          </w:p>
        </w:tc>
        <w:tc>
          <w:tcPr>
            <w:tcW w:type="dxa" w:w="6192"/>
          </w:tcPr>
          <w:p>
            <w:pPr>
              <w:spacing w:after="40"/>
            </w:pPr>
            <w:r>
              <w:rPr>
                <w:sz w:val="19"/>
              </w:rPr>
              <w:t>Primera versión de este documento</w:t>
            </w:r>
          </w:p>
        </w:tc>
      </w:tr>
    </w:tbl>
    <w:p/>
    <w:p>
      <w:pPr>
        <w:pStyle w:val="Heading2"/>
      </w:pPr>
      <w:r>
        <w:rPr>
          <w:color w:val="1A233A"/>
        </w:rPr>
        <w:t>3.5 Paquete E4 — CRUD de productos y ciclo de vida de licencias (2026-09-13)</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fill="1a233a"/>
          </w:tcPr>
          <w:p>
            <w:r>
              <w:rPr>
                <w:b/>
                <w:color w:val="FFFFFF"/>
                <w:sz w:val="19"/>
              </w:rPr>
              <w:t>#</w:t>
            </w:r>
          </w:p>
        </w:tc>
        <w:tc>
          <w:tcPr>
            <w:tcW w:type="dxa" w:w="3312"/>
            <w:shd w:fill="1a233a"/>
          </w:tcPr>
          <w:p>
            <w:r>
              <w:rPr>
                <w:b/>
                <w:color w:val="FFFFFF"/>
                <w:sz w:val="19"/>
              </w:rPr>
              <w:t>Ítem</w:t>
            </w:r>
          </w:p>
        </w:tc>
        <w:tc>
          <w:tcPr>
            <w:tcW w:type="dxa" w:w="6192"/>
            <w:shd w:fill="1a233a"/>
          </w:tcPr>
          <w:p>
            <w:r>
              <w:rPr>
                <w:b/>
                <w:color w:val="FFFFFF"/>
                <w:sz w:val="19"/>
              </w:rPr>
              <w:t>Entregable</w:t>
            </w:r>
          </w:p>
        </w:tc>
      </w:tr>
      <w:tr>
        <w:tc>
          <w:tcPr>
            <w:tcW w:type="dxa" w:w="576"/>
          </w:tcPr>
          <w:p>
            <w:pPr>
              <w:spacing w:after="40"/>
            </w:pPr>
            <w:r>
              <w:rPr>
                <w:sz w:val="19"/>
              </w:rPr>
              <w:t>8</w:t>
            </w:r>
          </w:p>
        </w:tc>
        <w:tc>
          <w:tcPr>
            <w:tcW w:type="dxa" w:w="3312"/>
          </w:tcPr>
          <w:p>
            <w:pPr>
              <w:spacing w:after="40"/>
            </w:pPr>
            <w:r>
              <w:rPr>
                <w:sz w:val="19"/>
              </w:rPr>
              <w:t>CRUD de productos</w:t>
            </w:r>
          </w:p>
        </w:tc>
        <w:tc>
          <w:tcPr>
            <w:tcW w:type="dxa" w:w="6192"/>
          </w:tcPr>
          <w:p>
            <w:pPr>
              <w:spacing w:after="40"/>
            </w:pPr>
            <w:r>
              <w:rPr>
                <w:sz w:val="19"/>
              </w:rPr>
              <w:t>/admin/products — crear/editar/eliminar SoftwareProduct, con ProductInUseException si tiene licencias emitidas</w:t>
            </w:r>
          </w:p>
        </w:tc>
      </w:tr>
      <w:tr>
        <w:tc>
          <w:tcPr>
            <w:tcW w:type="dxa" w:w="576"/>
          </w:tcPr>
          <w:p>
            <w:pPr>
              <w:spacing w:after="40"/>
            </w:pPr>
            <w:r>
              <w:rPr>
                <w:sz w:val="19"/>
              </w:rPr>
              <w:t>9</w:t>
            </w:r>
          </w:p>
        </w:tc>
        <w:tc>
          <w:tcPr>
            <w:tcW w:type="dxa" w:w="3312"/>
          </w:tcPr>
          <w:p>
            <w:pPr>
              <w:spacing w:after="40"/>
            </w:pPr>
            <w:r>
              <w:rPr>
                <w:sz w:val="19"/>
              </w:rPr>
              <w:t>Revocar / archivar licencias</w:t>
            </w:r>
          </w:p>
        </w:tc>
        <w:tc>
          <w:tcPr>
            <w:tcW w:type="dxa" w:w="6192"/>
          </w:tcPr>
          <w:p>
            <w:pPr>
              <w:spacing w:after="40"/>
            </w:pPr>
            <w:r>
              <w:rPr>
                <w:sz w:val="19"/>
              </w:rPr>
              <w:t>LicenseLifecycleService (RevokeAsync, SetArchivedAsync) + filtros de búsqueda en Licenses.razor (activo/revocado/archivado)</w:t>
            </w:r>
          </w:p>
        </w:tc>
      </w:tr>
    </w:tbl>
    <w:p/>
    <w:p>
      <w:r>
        <w:br w:type="page"/>
      </w:r>
    </w:p>
    <w:p>
      <w:pPr>
        <w:pStyle w:val="Heading1"/>
      </w:pPr>
      <w:r>
        <w:rPr>
          <w:color w:val="1A233A"/>
        </w:rPr>
        <w:t>4. Change Request Log</w:t>
      </w:r>
    </w:p>
    <w:p>
      <w:r>
        <w:t>Toda instrucción del sponsor que alteró el alcance, la infraestructura o el comportamiento del sistema después del cierre formal del slice 1 (2026-09-03), en orden cronológico.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64"/>
            <w:shd w:fill="1a233a"/>
          </w:tcPr>
          <w:p>
            <w:r>
              <w:rPr>
                <w:b/>
                <w:color w:val="FFFFFF"/>
                <w:sz w:val="19"/>
              </w:rPr>
              <w:t>ID</w:t>
            </w:r>
          </w:p>
        </w:tc>
        <w:tc>
          <w:tcPr>
            <w:tcW w:type="dxa" w:w="1152"/>
            <w:shd w:fill="1a233a"/>
          </w:tcPr>
          <w:p>
            <w:r>
              <w:rPr>
                <w:b/>
                <w:color w:val="FFFFFF"/>
                <w:sz w:val="19"/>
              </w:rPr>
              <w:t>Fecha</w:t>
            </w:r>
          </w:p>
        </w:tc>
        <w:tc>
          <w:tcPr>
            <w:tcW w:type="dxa" w:w="2016"/>
            <w:shd w:fill="1a233a"/>
          </w:tcPr>
          <w:p>
            <w:r>
              <w:rPr>
                <w:b/>
                <w:color w:val="FFFFFF"/>
                <w:sz w:val="19"/>
              </w:rPr>
              <w:t>Título</w:t>
            </w:r>
          </w:p>
        </w:tc>
        <w:tc>
          <w:tcPr>
            <w:tcW w:type="dxa" w:w="5616"/>
            <w:shd w:fill="1a233a"/>
          </w:tcPr>
          <w:p>
            <w:r>
              <w:rPr>
                <w:b/>
                <w:color w:val="FFFFFF"/>
                <w:sz w:val="19"/>
              </w:rPr>
              <w:t>Descripción</w:t>
            </w:r>
          </w:p>
        </w:tc>
        <w:tc>
          <w:tcPr>
            <w:tcW w:type="dxa" w:w="1152"/>
            <w:shd w:fill="1a233a"/>
          </w:tcPr>
          <w:p>
            <w:r>
              <w:rPr>
                <w:b/>
                <w:color w:val="FFFFFF"/>
                <w:sz w:val="19"/>
              </w:rPr>
              <w:t>Estado</w:t>
            </w:r>
          </w:p>
        </w:tc>
      </w:tr>
      <w:tr>
        <w:tc>
          <w:tcPr>
            <w:tcW w:type="dxa" w:w="864"/>
          </w:tcPr>
          <w:p>
            <w:pPr>
              <w:spacing w:after="40"/>
            </w:pPr>
            <w:r>
              <w:rPr>
                <w:sz w:val="19"/>
              </w:rPr>
              <w:t>CR-01</w:t>
            </w:r>
          </w:p>
        </w:tc>
        <w:tc>
          <w:tcPr>
            <w:tcW w:type="dxa" w:w="1152"/>
          </w:tcPr>
          <w:p>
            <w:pPr>
              <w:spacing w:after="40"/>
            </w:pPr>
            <w:r>
              <w:rPr>
                <w:sz w:val="19"/>
              </w:rPr>
              <w:t>2026-09-XX</w:t>
            </w:r>
          </w:p>
        </w:tc>
        <w:tc>
          <w:tcPr>
            <w:tcW w:type="dxa" w:w="2016"/>
          </w:tcPr>
          <w:p>
            <w:pPr>
              <w:spacing w:after="40"/>
            </w:pPr>
            <w:r>
              <w:rPr>
                <w:sz w:val="19"/>
              </w:rPr>
              <w:t>Migrar a GitHub</w:t>
            </w:r>
          </w:p>
        </w:tc>
        <w:tc>
          <w:tcPr>
            <w:tcW w:type="dxa" w:w="5616"/>
          </w:tcPr>
          <w:p>
            <w:pPr>
              <w:spacing w:after="40"/>
            </w:pPr>
            <w:r>
              <w:rPr>
                <w:sz w:val="19"/>
              </w:rPr>
              <w:t>El repo pasa de un bare-git LAN a GitHub privado. Se purgó la credencial histórica Test2020# del historial completo (git filter-repo) antes del push. Se reconstruyeron los 16 tags de checkpoint emparejando por subject de commit.</w:t>
            </w:r>
          </w:p>
        </w:tc>
        <w:tc>
          <w:tcPr>
            <w:tcW w:type="dxa" w:w="1152"/>
          </w:tcPr>
          <w:p>
            <w:pPr>
              <w:spacing w:after="40"/>
            </w:pPr>
            <w:r>
              <w:rPr>
                <w:sz w:val="19"/>
              </w:rPr>
              <w:t>Cerrado</w:t>
            </w:r>
          </w:p>
        </w:tc>
      </w:tr>
      <w:tr>
        <w:tc>
          <w:tcPr>
            <w:tcW w:type="dxa" w:w="864"/>
          </w:tcPr>
          <w:p>
            <w:pPr>
              <w:spacing w:after="40"/>
            </w:pPr>
            <w:r>
              <w:rPr>
                <w:sz w:val="19"/>
              </w:rPr>
              <w:t>CR-02</w:t>
            </w:r>
          </w:p>
        </w:tc>
        <w:tc>
          <w:tcPr>
            <w:tcW w:type="dxa" w:w="1152"/>
          </w:tcPr>
          <w:p>
            <w:pPr>
              <w:spacing w:after="40"/>
            </w:pPr>
            <w:r>
              <w:rPr>
                <w:sz w:val="19"/>
              </w:rPr>
              <w:t>2026-09-13</w:t>
            </w:r>
          </w:p>
        </w:tc>
        <w:tc>
          <w:tcPr>
            <w:tcW w:type="dxa" w:w="2016"/>
          </w:tcPr>
          <w:p>
            <w:pPr>
              <w:spacing w:after="40"/>
            </w:pPr>
            <w:r>
              <w:rPr>
                <w:sz w:val="19"/>
              </w:rPr>
              <w:t>Tema visual "Lustro"</w:t>
            </w:r>
          </w:p>
        </w:tc>
        <w:tc>
          <w:tcPr>
            <w:tcW w:type="dxa" w:w="5616"/>
          </w:tcPr>
          <w:p>
            <w:pPr>
              <w:spacing w:after="40"/>
            </w:pPr>
            <w:r>
              <w:rPr>
                <w:sz w:val="19"/>
              </w:rPr>
              <w:t>Restyleo completo de LicensingAdmin: MudTheme dark glassmorphism, tipografía Space Grotesk/DM Sans/JetBrains Mono, fondo ambiental con gradientes radiales, tarjetas con efecto vidrio.</w:t>
            </w:r>
          </w:p>
        </w:tc>
        <w:tc>
          <w:tcPr>
            <w:tcW w:type="dxa" w:w="1152"/>
          </w:tcPr>
          <w:p>
            <w:pPr>
              <w:spacing w:after="40"/>
            </w:pPr>
            <w:r>
              <w:rPr>
                <w:sz w:val="19"/>
              </w:rPr>
              <w:t>Cerrado</w:t>
            </w:r>
          </w:p>
        </w:tc>
      </w:tr>
      <w:tr>
        <w:tc>
          <w:tcPr>
            <w:tcW w:type="dxa" w:w="864"/>
          </w:tcPr>
          <w:p>
            <w:pPr>
              <w:spacing w:after="40"/>
            </w:pPr>
            <w:r>
              <w:rPr>
                <w:sz w:val="19"/>
              </w:rPr>
              <w:t>CR-03</w:t>
            </w:r>
          </w:p>
        </w:tc>
        <w:tc>
          <w:tcPr>
            <w:tcW w:type="dxa" w:w="1152"/>
          </w:tcPr>
          <w:p>
            <w:pPr>
              <w:spacing w:after="40"/>
            </w:pPr>
            <w:r>
              <w:rPr>
                <w:sz w:val="19"/>
              </w:rPr>
              <w:t>2026-09-13</w:t>
            </w:r>
          </w:p>
        </w:tc>
        <w:tc>
          <w:tcPr>
            <w:tcW w:type="dxa" w:w="2016"/>
          </w:tcPr>
          <w:p>
            <w:pPr>
              <w:spacing w:after="40"/>
            </w:pPr>
            <w:r>
              <w:rPr>
                <w:sz w:val="19"/>
              </w:rPr>
              <w:t>Despliegue en LXC Debian 13</w:t>
            </w:r>
          </w:p>
        </w:tc>
        <w:tc>
          <w:tcPr>
            <w:tcW w:type="dxa" w:w="5616"/>
          </w:tcPr>
          <w:p>
            <w:pPr>
              <w:spacing w:after="40"/>
            </w:pPr>
            <w:r>
              <w:rPr>
                <w:sz w:val="19"/>
              </w:rPr>
              <w:t>Primer despliegue a infraestructura real: contenedor Debian 13 en 10.11.1.41, hospedando LicensingAdmin y LicensingApi lado a lado contra el Postgres remoto ya existente.</w:t>
            </w:r>
          </w:p>
        </w:tc>
        <w:tc>
          <w:tcPr>
            <w:tcW w:type="dxa" w:w="1152"/>
          </w:tcPr>
          <w:p>
            <w:pPr>
              <w:spacing w:after="40"/>
            </w:pPr>
            <w:r>
              <w:rPr>
                <w:sz w:val="19"/>
              </w:rPr>
              <w:t>Cerrado</w:t>
            </w:r>
          </w:p>
        </w:tc>
      </w:tr>
      <w:tr>
        <w:tc>
          <w:tcPr>
            <w:tcW w:type="dxa" w:w="864"/>
          </w:tcPr>
          <w:p>
            <w:pPr>
              <w:spacing w:after="40"/>
            </w:pPr>
            <w:r>
              <w:rPr>
                <w:sz w:val="19"/>
              </w:rPr>
              <w:t>CR-04</w:t>
            </w:r>
          </w:p>
        </w:tc>
        <w:tc>
          <w:tcPr>
            <w:tcW w:type="dxa" w:w="1152"/>
          </w:tcPr>
          <w:p>
            <w:pPr>
              <w:spacing w:after="40"/>
            </w:pPr>
            <w:r>
              <w:rPr>
                <w:sz w:val="19"/>
              </w:rPr>
              <w:t>2026-09-13</w:t>
            </w:r>
          </w:p>
        </w:tc>
        <w:tc>
          <w:tcPr>
            <w:tcW w:type="dxa" w:w="2016"/>
          </w:tcPr>
          <w:p>
            <w:pPr>
              <w:spacing w:after="40"/>
            </w:pPr>
            <w:r>
              <w:rPr>
                <w:sz w:val="19"/>
              </w:rPr>
              <w:t>Paquete de 7 mejoras de usabilidad (E3)</w:t>
            </w:r>
          </w:p>
        </w:tc>
        <w:tc>
          <w:tcPr>
            <w:tcW w:type="dxa" w:w="5616"/>
          </w:tcPr>
          <w:p>
            <w:pPr>
              <w:spacing w:after="40"/>
            </w:pPr>
            <w:r>
              <w:rPr>
                <w:sz w:val="19"/>
              </w:rPr>
              <w:t>Autoservicio de cuenta, configuración SMTP, búsqueda + datos de cliente, documento de referencia DLL, dashboard de vencimientos + export, landing pública, documento de proyecto.</w:t>
            </w:r>
          </w:p>
        </w:tc>
        <w:tc>
          <w:tcPr>
            <w:tcW w:type="dxa" w:w="1152"/>
          </w:tcPr>
          <w:p>
            <w:pPr>
              <w:spacing w:after="40"/>
            </w:pPr>
            <w:r>
              <w:rPr>
                <w:sz w:val="19"/>
              </w:rPr>
              <w:t>Cerrado</w:t>
            </w:r>
          </w:p>
        </w:tc>
      </w:tr>
      <w:tr>
        <w:tc>
          <w:tcPr>
            <w:tcW w:type="dxa" w:w="864"/>
          </w:tcPr>
          <w:p>
            <w:pPr>
              <w:spacing w:after="40"/>
            </w:pPr>
            <w:r>
              <w:rPr>
                <w:sz w:val="19"/>
              </w:rPr>
              <w:t>CR-05</w:t>
            </w:r>
          </w:p>
        </w:tc>
        <w:tc>
          <w:tcPr>
            <w:tcW w:type="dxa" w:w="1152"/>
          </w:tcPr>
          <w:p>
            <w:pPr>
              <w:spacing w:after="40"/>
            </w:pPr>
            <w:r>
              <w:rPr>
                <w:sz w:val="19"/>
              </w:rPr>
              <w:t>2026-09-13</w:t>
            </w:r>
          </w:p>
        </w:tc>
        <w:tc>
          <w:tcPr>
            <w:tcW w:type="dxa" w:w="2016"/>
          </w:tcPr>
          <w:p>
            <w:pPr>
              <w:spacing w:after="40"/>
            </w:pPr>
            <w:r>
              <w:rPr>
                <w:sz w:val="19"/>
              </w:rPr>
              <w:t>Consolidar main en GitHub</w:t>
            </w:r>
          </w:p>
        </w:tc>
        <w:tc>
          <w:tcPr>
            <w:tcW w:type="dxa" w:w="5616"/>
          </w:tcPr>
          <w:p>
            <w:pPr>
              <w:spacing w:after="40"/>
            </w:pPr>
            <w:r>
              <w:rPr>
                <w:sz w:val="19"/>
              </w:rPr>
              <w:t>Mergear a main todo lo que ya estaba corriendo en producción (tema + fixes + infra).</w:t>
            </w:r>
          </w:p>
        </w:tc>
        <w:tc>
          <w:tcPr>
            <w:tcW w:type="dxa" w:w="1152"/>
          </w:tcPr>
          <w:p>
            <w:pPr>
              <w:spacing w:after="40"/>
            </w:pPr>
            <w:r>
              <w:rPr>
                <w:sz w:val="19"/>
              </w:rPr>
              <w:t>Cerrado</w:t>
            </w:r>
          </w:p>
        </w:tc>
      </w:tr>
      <w:tr>
        <w:tc>
          <w:tcPr>
            <w:tcW w:type="dxa" w:w="864"/>
          </w:tcPr>
          <w:p>
            <w:pPr>
              <w:spacing w:after="40"/>
            </w:pPr>
            <w:r>
              <w:rPr>
                <w:sz w:val="19"/>
              </w:rPr>
              <w:t>CR-06</w:t>
            </w:r>
          </w:p>
        </w:tc>
        <w:tc>
          <w:tcPr>
            <w:tcW w:type="dxa" w:w="1152"/>
          </w:tcPr>
          <w:p>
            <w:pPr>
              <w:spacing w:after="40"/>
            </w:pPr>
            <w:r>
              <w:rPr>
                <w:sz w:val="19"/>
              </w:rPr>
              <w:t>2026-09-13</w:t>
            </w:r>
          </w:p>
        </w:tc>
        <w:tc>
          <w:tcPr>
            <w:tcW w:type="dxa" w:w="2016"/>
          </w:tcPr>
          <w:p>
            <w:pPr>
              <w:spacing w:after="40"/>
            </w:pPr>
            <w:r>
              <w:rPr>
                <w:sz w:val="19"/>
              </w:rPr>
              <w:t>Paquete E4 — CRUD productos + revocar/archivar licencias</w:t>
            </w:r>
          </w:p>
        </w:tc>
        <w:tc>
          <w:tcPr>
            <w:tcW w:type="dxa" w:w="5616"/>
          </w:tcPr>
          <w:p>
            <w:pPr>
              <w:spacing w:after="40"/>
            </w:pPr>
            <w:r>
              <w:rPr>
                <w:sz w:val="19"/>
              </w:rPr>
              <w:t>CRUD completo de SoftwareProduct y ciclo de vida manual de licencias (revocar, archivar) con filtros de búsqueda, pedido explícitamente porque "pensando en miles [de licencias] será difícil de gestionar" solo con la búsqueda existente.</w:t>
            </w:r>
          </w:p>
        </w:tc>
        <w:tc>
          <w:tcPr>
            <w:tcW w:type="dxa" w:w="1152"/>
          </w:tcPr>
          <w:p>
            <w:pPr>
              <w:spacing w:after="40"/>
            </w:pPr>
            <w:r>
              <w:rPr>
                <w:sz w:val="19"/>
              </w:rPr>
              <w:t>Cerrado</w:t>
            </w:r>
          </w:p>
        </w:tc>
      </w:tr>
      <w:tr>
        <w:tc>
          <w:tcPr>
            <w:tcW w:type="dxa" w:w="864"/>
          </w:tcPr>
          <w:p>
            <w:pPr>
              <w:spacing w:after="40"/>
            </w:pPr>
            <w:r>
              <w:rPr>
                <w:sz w:val="19"/>
              </w:rPr>
              <w:t>CR-07</w:t>
            </w:r>
          </w:p>
        </w:tc>
        <w:tc>
          <w:tcPr>
            <w:tcW w:type="dxa" w:w="1152"/>
          </w:tcPr>
          <w:p>
            <w:pPr>
              <w:spacing w:after="40"/>
            </w:pPr>
            <w:r>
              <w:rPr>
                <w:sz w:val="19"/>
              </w:rPr>
              <w:t>2026-09-13</w:t>
            </w:r>
          </w:p>
        </w:tc>
        <w:tc>
          <w:tcPr>
            <w:tcW w:type="dxa" w:w="2016"/>
          </w:tcPr>
          <w:p>
            <w:pPr>
              <w:spacing w:after="40"/>
            </w:pPr>
            <w:r>
              <w:rPr>
                <w:sz w:val="19"/>
              </w:rPr>
              <w:t>Autorización para probar /api/activate en producción</w:t>
            </w:r>
          </w:p>
        </w:tc>
        <w:tc>
          <w:tcPr>
            <w:tcW w:type="dxa" w:w="5616"/>
          </w:tcPr>
          <w:p>
            <w:pPr>
              <w:spacing w:after="40"/>
            </w:pPr>
            <w:r>
              <w:rPr>
                <w:sz w:val="19"/>
              </w:rPr>
              <w:t>El sponsor autorizó explícitamente ("yes, try /api/activate end to end") la primera invocación real del endpoint de activación contra producción, con hardware IDs de prueba claramente etiquetados. Esto reveló el defecto crítico D-10.</w:t>
            </w:r>
          </w:p>
        </w:tc>
        <w:tc>
          <w:tcPr>
            <w:tcW w:type="dxa" w:w="1152"/>
          </w:tcPr>
          <w:p>
            <w:pPr>
              <w:spacing w:after="40"/>
            </w:pPr>
            <w:r>
              <w:rPr>
                <w:sz w:val="19"/>
              </w:rPr>
              <w:t>Cerrado — ver D-10</w:t>
            </w:r>
          </w:p>
        </w:tc>
      </w:tr>
      <w:tr>
        <w:tc>
          <w:tcPr>
            <w:tcW w:type="dxa" w:w="864"/>
          </w:tcPr>
          <w:p>
            <w:pPr>
              <w:spacing w:after="40"/>
            </w:pPr>
            <w:r>
              <w:rPr>
                <w:sz w:val="19"/>
              </w:rPr>
              <w:t>CR-08</w:t>
            </w:r>
          </w:p>
        </w:tc>
        <w:tc>
          <w:tcPr>
            <w:tcW w:type="dxa" w:w="1152"/>
          </w:tcPr>
          <w:p>
            <w:pPr>
              <w:spacing w:after="40"/>
            </w:pPr>
            <w:r>
              <w:rPr>
                <w:sz w:val="19"/>
              </w:rPr>
              <w:t>2026-09-13</w:t>
            </w:r>
          </w:p>
        </w:tc>
        <w:tc>
          <w:tcPr>
            <w:tcW w:type="dxa" w:w="2016"/>
          </w:tcPr>
          <w:p>
            <w:pPr>
              <w:spacing w:after="40"/>
            </w:pPr>
            <w:r>
              <w:rPr>
                <w:sz w:val="19"/>
              </w:rPr>
              <w:t>Auditoría completa de la API + cierre del proyecto</w:t>
            </w:r>
          </w:p>
        </w:tc>
        <w:tc>
          <w:tcPr>
            <w:tcW w:type="dxa" w:w="5616"/>
          </w:tcPr>
          <w:p>
            <w:pPr>
              <w:spacing w:after="40"/>
            </w:pPr>
            <w:r>
              <w:rPr>
                <w:sz w:val="19"/>
              </w:rPr>
              <w:t>"test everything else on the API and let's review if there is something pending to close this project": auditoría completa de /api/checkin (encontró D-11 a D-13), enforcement duro de MaxActivations, rate limiting por IP, y construcción de ActivationHelloWorld (arnés de prueba de ciclo de vida completo).</w:t>
            </w:r>
          </w:p>
        </w:tc>
        <w:tc>
          <w:tcPr>
            <w:tcW w:type="dxa" w:w="1152"/>
          </w:tcPr>
          <w:p>
            <w:pPr>
              <w:spacing w:after="40"/>
            </w:pPr>
            <w:r>
              <w:rPr>
                <w:sz w:val="19"/>
              </w:rPr>
              <w:t>Cerrado — ver §5, §6, §7</w:t>
            </w:r>
          </w:p>
        </w:tc>
      </w:tr>
      <w:tr>
        <w:tc>
          <w:tcPr>
            <w:tcW w:type="dxa" w:w="864"/>
          </w:tcPr>
          <w:p>
            <w:pPr>
              <w:spacing w:after="40"/>
            </w:pPr>
            <w:r>
              <w:rPr>
                <w:sz w:val="19"/>
              </w:rPr>
              <w:t>CR-09</w:t>
            </w:r>
          </w:p>
        </w:tc>
        <w:tc>
          <w:tcPr>
            <w:tcW w:type="dxa" w:w="1152"/>
          </w:tcPr>
          <w:p>
            <w:pPr>
              <w:spacing w:after="40"/>
            </w:pPr>
            <w:r>
              <w:rPr>
                <w:sz w:val="19"/>
              </w:rPr>
              <w:t>2026-09-13</w:t>
            </w:r>
          </w:p>
        </w:tc>
        <w:tc>
          <w:tcPr>
            <w:tcW w:type="dxa" w:w="2016"/>
          </w:tcPr>
          <w:p>
            <w:pPr>
              <w:spacing w:after="40"/>
            </w:pPr>
            <w:r>
              <w:rPr>
                <w:sz w:val="19"/>
              </w:rPr>
              <w:t>Publicación a internet vía Cloudflare Tunnel</w:t>
            </w:r>
          </w:p>
        </w:tc>
        <w:tc>
          <w:tcPr>
            <w:tcW w:type="dxa" w:w="5616"/>
          </w:tcPr>
          <w:p>
            <w:pPr>
              <w:spacing w:after="40"/>
            </w:pPr>
            <w:r>
              <w:rPr>
                <w:sz w:val="19"/>
              </w:rPr>
              <w:t>Exposición pública de ambas apps: licensing.miautrix.tech (Admin) y licensing-api.miautrix.tech (API), con TLS de punta a punta (Cloudflare Origin CA cert reemplazando el certificado autofirmado). Incluyó diagnóstico y resolución de 3 problemas de configuración de Cloudflare (ver D-14 a D-16) y el rediseño de las páginas raíz de ambas apps (landing simplificada + página de contacto con redirección automática).</w:t>
            </w:r>
          </w:p>
        </w:tc>
        <w:tc>
          <w:tcPr>
            <w:tcW w:type="dxa" w:w="1152"/>
          </w:tcPr>
          <w:p>
            <w:pPr>
              <w:spacing w:after="40"/>
            </w:pPr>
            <w:r>
              <w:rPr>
                <w:sz w:val="19"/>
              </w:rPr>
              <w:t>Cerrado</w:t>
            </w:r>
          </w:p>
        </w:tc>
      </w:tr>
    </w:tbl>
    <w:p/>
    <w:p>
      <w:r>
        <w:br w:type="page"/>
      </w:r>
    </w:p>
    <w:p>
      <w:pPr>
        <w:pStyle w:val="Heading1"/>
      </w:pPr>
      <w:r>
        <w:rPr>
          <w:color w:val="1A233A"/>
        </w:rPr>
        <w:t>5. Defect / Bug Log</w:t>
      </w:r>
    </w:p>
    <w:p>
      <w:r>
        <w:t>Defectos reales encontrados durante la construcción, el despliegue o la verificación en vivo contra infraestructura real — no incluye hallazgos de security-auditor ya cerrados dentro de una tarea individual (esos viven en review/*.md por tarea).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shd w:fill="1a233a"/>
          </w:tcPr>
          <w:p>
            <w:r>
              <w:rPr>
                <w:b/>
                <w:color w:val="FFFFFF"/>
                <w:sz w:val="19"/>
              </w:rPr>
              <w:t>ID</w:t>
            </w:r>
          </w:p>
        </w:tc>
        <w:tc>
          <w:tcPr>
            <w:tcW w:type="dxa" w:w="864"/>
            <w:shd w:fill="1a233a"/>
          </w:tcPr>
          <w:p>
            <w:r>
              <w:rPr>
                <w:b/>
                <w:color w:val="FFFFFF"/>
                <w:sz w:val="19"/>
              </w:rPr>
              <w:t>Sev.</w:t>
            </w:r>
          </w:p>
        </w:tc>
        <w:tc>
          <w:tcPr>
            <w:tcW w:type="dxa" w:w="2160"/>
            <w:shd w:fill="1a233a"/>
          </w:tcPr>
          <w:p>
            <w:r>
              <w:rPr>
                <w:b/>
                <w:color w:val="FFFFFF"/>
                <w:sz w:val="19"/>
              </w:rPr>
              <w:t>Título</w:t>
            </w:r>
          </w:p>
        </w:tc>
        <w:tc>
          <w:tcPr>
            <w:tcW w:type="dxa" w:w="3888"/>
            <w:shd w:fill="1a233a"/>
          </w:tcPr>
          <w:p>
            <w:r>
              <w:rPr>
                <w:b/>
                <w:color w:val="FFFFFF"/>
                <w:sz w:val="19"/>
              </w:rPr>
              <w:t>Descripción</w:t>
            </w:r>
          </w:p>
        </w:tc>
        <w:tc>
          <w:tcPr>
            <w:tcW w:type="dxa" w:w="3168"/>
            <w:shd w:fill="1a233a"/>
          </w:tcPr>
          <w:p>
            <w:r>
              <w:rPr>
                <w:b/>
                <w:color w:val="FFFFFF"/>
                <w:sz w:val="19"/>
              </w:rPr>
              <w:t>Resolución</w:t>
            </w:r>
          </w:p>
        </w:tc>
      </w:tr>
      <w:tr>
        <w:tc>
          <w:tcPr>
            <w:tcW w:type="dxa" w:w="720"/>
          </w:tcPr>
          <w:p>
            <w:pPr>
              <w:spacing w:after="40"/>
            </w:pPr>
            <w:r>
              <w:rPr>
                <w:sz w:val="19"/>
              </w:rPr>
              <w:t>D-01</w:t>
            </w:r>
          </w:p>
        </w:tc>
        <w:tc>
          <w:tcPr>
            <w:tcW w:type="dxa" w:w="864"/>
          </w:tcPr>
          <w:p>
            <w:pPr>
              <w:spacing w:after="40"/>
            </w:pPr>
            <w:r>
              <w:rPr>
                <w:sz w:val="19"/>
              </w:rPr>
              <w:t>Alta</w:t>
            </w:r>
          </w:p>
        </w:tc>
        <w:tc>
          <w:tcPr>
            <w:tcW w:type="dxa" w:w="2160"/>
          </w:tcPr>
          <w:p>
            <w:pPr>
              <w:spacing w:after="40"/>
            </w:pPr>
            <w:r>
              <w:rPr>
                <w:sz w:val="19"/>
              </w:rPr>
              <w:t>AdminSeeder test con [Fact(Skip=...)]</w:t>
            </w:r>
          </w:p>
        </w:tc>
        <w:tc>
          <w:tcPr>
            <w:tcW w:type="dxa" w:w="3888"/>
          </w:tcPr>
          <w:p>
            <w:pPr>
              <w:spacing w:after="40"/>
            </w:pPr>
            <w:r>
              <w:rPr>
                <w:sz w:val="19"/>
              </w:rPr>
              <w:t>Un test saltado rompía el criterio "0 skipped" del cierre del slice.</w:t>
            </w:r>
          </w:p>
        </w:tc>
        <w:tc>
          <w:tcPr>
            <w:tcW w:type="dxa" w:w="3168"/>
          </w:tcPr>
          <w:p>
            <w:pPr>
              <w:spacing w:after="40"/>
            </w:pPr>
            <w:r>
              <w:rPr>
                <w:sz w:val="19"/>
              </w:rPr>
              <w:t>Eliminado; hueco documentado en docstring + paso manual 14.</w:t>
            </w:r>
          </w:p>
        </w:tc>
      </w:tr>
      <w:tr>
        <w:tc>
          <w:tcPr>
            <w:tcW w:type="dxa" w:w="720"/>
          </w:tcPr>
          <w:p>
            <w:pPr>
              <w:spacing w:after="40"/>
            </w:pPr>
            <w:r>
              <w:rPr>
                <w:sz w:val="19"/>
              </w:rPr>
              <w:t>D-02</w:t>
            </w:r>
          </w:p>
        </w:tc>
        <w:tc>
          <w:tcPr>
            <w:tcW w:type="dxa" w:w="864"/>
          </w:tcPr>
          <w:p>
            <w:pPr>
              <w:spacing w:after="40"/>
            </w:pPr>
            <w:r>
              <w:rPr>
                <w:sz w:val="19"/>
              </w:rPr>
              <w:t>Media</w:t>
            </w:r>
          </w:p>
        </w:tc>
        <w:tc>
          <w:tcPr>
            <w:tcW w:type="dxa" w:w="2160"/>
          </w:tcPr>
          <w:p>
            <w:pPr>
              <w:spacing w:after="40"/>
            </w:pPr>
            <w:r>
              <w:rPr>
                <w:sz w:val="19"/>
              </w:rPr>
              <w:t>MUD0002 / xUnit2012 bloqueaban -warnaserror</w:t>
            </w:r>
          </w:p>
        </w:tc>
        <w:tc>
          <w:tcPr>
            <w:tcW w:type="dxa" w:w="3888"/>
          </w:tcPr>
          <w:p>
            <w:pPr>
              <w:spacing w:after="40"/>
            </w:pPr>
            <w:r>
              <w:rPr>
                <w:sz w:val="19"/>
              </w:rPr>
              <w:t>MudGrid AlignItems inexistente; Assert.True(...Any()) en vez de Assert.Contains.</w:t>
            </w:r>
          </w:p>
        </w:tc>
        <w:tc>
          <w:tcPr>
            <w:tcW w:type="dxa" w:w="3168"/>
          </w:tcPr>
          <w:p>
            <w:pPr>
              <w:spacing w:after="40"/>
            </w:pPr>
            <w:r>
              <w:rPr>
                <w:sz w:val="19"/>
              </w:rPr>
              <w:t>Corregidos, incorporados al cierre de E2-T8.</w:t>
            </w:r>
          </w:p>
        </w:tc>
      </w:tr>
      <w:tr>
        <w:tc>
          <w:tcPr>
            <w:tcW w:type="dxa" w:w="720"/>
          </w:tcPr>
          <w:p>
            <w:pPr>
              <w:spacing w:after="40"/>
            </w:pPr>
            <w:r>
              <w:rPr>
                <w:sz w:val="19"/>
              </w:rPr>
              <w:t>D-03</w:t>
            </w:r>
          </w:p>
        </w:tc>
        <w:tc>
          <w:tcPr>
            <w:tcW w:type="dxa" w:w="864"/>
          </w:tcPr>
          <w:p>
            <w:pPr>
              <w:spacing w:after="40"/>
            </w:pPr>
            <w:r>
              <w:rPr>
                <w:sz w:val="19"/>
              </w:rPr>
              <w:t>Media</w:t>
            </w:r>
          </w:p>
        </w:tc>
        <w:tc>
          <w:tcPr>
            <w:tcW w:type="dxa" w:w="2160"/>
          </w:tcPr>
          <w:p>
            <w:pPr>
              <w:spacing w:after="40"/>
            </w:pPr>
            <w:r>
              <w:rPr>
                <w:sz w:val="19"/>
              </w:rPr>
              <w:t>Tags de checkpoint no llegaron a GitHub</w:t>
            </w:r>
          </w:p>
        </w:tc>
        <w:tc>
          <w:tcPr>
            <w:tcW w:type="dxa" w:w="3888"/>
          </w:tcPr>
          <w:p>
            <w:pPr>
              <w:spacing w:after="40"/>
            </w:pPr>
            <w:r>
              <w:rPr>
                <w:sz w:val="19"/>
              </w:rPr>
              <w:t>El push inicial solo llevó main; los 16 tags quedaron en el bare LAN.</w:t>
            </w:r>
          </w:p>
        </w:tc>
        <w:tc>
          <w:tcPr>
            <w:tcW w:type="dxa" w:w="3168"/>
          </w:tcPr>
          <w:p>
            <w:pPr>
              <w:spacing w:after="40"/>
            </w:pPr>
            <w:r>
              <w:rPr>
                <w:sz w:val="19"/>
              </w:rPr>
              <w:t>Reconstruidos emparejando por subject de commit.</w:t>
            </w:r>
          </w:p>
        </w:tc>
      </w:tr>
      <w:tr>
        <w:tc>
          <w:tcPr>
            <w:tcW w:type="dxa" w:w="720"/>
          </w:tcPr>
          <w:p>
            <w:pPr>
              <w:spacing w:after="40"/>
            </w:pPr>
            <w:r>
              <w:rPr>
                <w:sz w:val="19"/>
              </w:rPr>
              <w:t>D-04</w:t>
            </w:r>
          </w:p>
        </w:tc>
        <w:tc>
          <w:tcPr>
            <w:tcW w:type="dxa" w:w="864"/>
          </w:tcPr>
          <w:p>
            <w:pPr>
              <w:spacing w:after="40"/>
            </w:pPr>
            <w:r>
              <w:rPr>
                <w:sz w:val="19"/>
              </w:rPr>
              <w:t>Alta</w:t>
            </w:r>
          </w:p>
        </w:tc>
        <w:tc>
          <w:tcPr>
            <w:tcW w:type="dxa" w:w="2160"/>
          </w:tcPr>
          <w:p>
            <w:pPr>
              <w:spacing w:after="40"/>
            </w:pPr>
            <w:r>
              <w:rPr>
                <w:sz w:val="19"/>
              </w:rPr>
              <w:t>AppDbContext no mapeaba columnas a snake_case</w:t>
            </w:r>
          </w:p>
        </w:tc>
        <w:tc>
          <w:tcPr>
            <w:tcW w:type="dxa" w:w="3888"/>
          </w:tcPr>
          <w:p>
            <w:pPr>
              <w:spacing w:after="40"/>
            </w:pPr>
            <w:r>
              <w:rPr>
                <w:sz w:val="19"/>
              </w:rPr>
              <w:t>EF generaba SQL con columnas PascalCase contra un esquema real en snake_case; cualquier escritura real fallaba con 42703. Ningún test lo detectó (no tocan Postgres real) — solo apareció en la verificación manual del paso 14.</w:t>
            </w:r>
          </w:p>
        </w:tc>
        <w:tc>
          <w:tcPr>
            <w:tcW w:type="dxa" w:w="3168"/>
          </w:tcPr>
          <w:p>
            <w:pPr>
              <w:spacing w:after="40"/>
            </w:pPr>
            <w:r>
              <w:rPr>
                <w:sz w:val="19"/>
              </w:rPr>
              <w:t>HasColumnName(...) explícito por columna en las 6 entidades.</w:t>
            </w:r>
          </w:p>
        </w:tc>
      </w:tr>
      <w:tr>
        <w:tc>
          <w:tcPr>
            <w:tcW w:type="dxa" w:w="720"/>
          </w:tcPr>
          <w:p>
            <w:pPr>
              <w:spacing w:after="40"/>
            </w:pPr>
            <w:r>
              <w:rPr>
                <w:sz w:val="19"/>
              </w:rPr>
              <w:t>D-05</w:t>
            </w:r>
          </w:p>
        </w:tc>
        <w:tc>
          <w:tcPr>
            <w:tcW w:type="dxa" w:w="864"/>
          </w:tcPr>
          <w:p>
            <w:pPr>
              <w:spacing w:after="40"/>
            </w:pPr>
            <w:r>
              <w:rPr>
                <w:sz w:val="19"/>
              </w:rPr>
              <w:t>Media</w:t>
            </w:r>
          </w:p>
        </w:tc>
        <w:tc>
          <w:tcPr>
            <w:tcW w:type="dxa" w:w="2160"/>
          </w:tcPr>
          <w:p>
            <w:pPr>
              <w:spacing w:after="40"/>
            </w:pPr>
            <w:r>
              <w:rPr>
                <w:sz w:val="19"/>
              </w:rPr>
              <w:t>MudPopoverProvider faltante</w:t>
            </w:r>
          </w:p>
        </w:tc>
        <w:tc>
          <w:tcPr>
            <w:tcW w:type="dxa" w:w="3888"/>
          </w:tcPr>
          <w:p>
            <w:pPr>
              <w:spacing w:after="40"/>
            </w:pPr>
            <w:r>
              <w:rPr>
                <w:sz w:val="19"/>
              </w:rPr>
              <w:t>La pantalla de emitir licencia (date picker) crasheaba al renderizar.</w:t>
            </w:r>
          </w:p>
        </w:tc>
        <w:tc>
          <w:tcPr>
            <w:tcW w:type="dxa" w:w="3168"/>
          </w:tcPr>
          <w:p>
            <w:pPr>
              <w:spacing w:after="40"/>
            </w:pPr>
            <w:r>
              <w:rPr>
                <w:sz w:val="19"/>
              </w:rPr>
              <w:t>Añadido junto a los demás providers de MudBlazor.</w:t>
            </w:r>
          </w:p>
        </w:tc>
      </w:tr>
      <w:tr>
        <w:tc>
          <w:tcPr>
            <w:tcW w:type="dxa" w:w="720"/>
          </w:tcPr>
          <w:p>
            <w:pPr>
              <w:spacing w:after="40"/>
            </w:pPr>
            <w:r>
              <w:rPr>
                <w:sz w:val="19"/>
              </w:rPr>
              <w:t>D-06</w:t>
            </w:r>
          </w:p>
        </w:tc>
        <w:tc>
          <w:tcPr>
            <w:tcW w:type="dxa" w:w="864"/>
          </w:tcPr>
          <w:p>
            <w:pPr>
              <w:spacing w:after="40"/>
            </w:pPr>
            <w:r>
              <w:rPr>
                <w:sz w:val="19"/>
              </w:rPr>
              <w:t>Media</w:t>
            </w:r>
          </w:p>
        </w:tc>
        <w:tc>
          <w:tcPr>
            <w:tcW w:type="dxa" w:w="2160"/>
          </w:tcPr>
          <w:p>
            <w:pPr>
              <w:spacing w:after="40"/>
            </w:pPr>
            <w:r>
              <w:rPr>
                <w:sz w:val="19"/>
              </w:rPr>
              <w:t>systemd Type=notify sin sd_notify</w:t>
            </w:r>
          </w:p>
        </w:tc>
        <w:tc>
          <w:tcPr>
            <w:tcW w:type="dxa" w:w="3888"/>
          </w:tcPr>
          <w:p>
            <w:pPr>
              <w:spacing w:after="40"/>
            </w:pPr>
            <w:r>
              <w:rPr>
                <w:sz w:val="19"/>
              </w:rPr>
              <w:t>Ninguna app llama UseSystemd()/sd_notify; systemd mataba procesos sanos tras el timeout de arranque.</w:t>
            </w:r>
          </w:p>
        </w:tc>
        <w:tc>
          <w:tcPr>
            <w:tcW w:type="dxa" w:w="3168"/>
          </w:tcPr>
          <w:p>
            <w:pPr>
              <w:spacing w:after="40"/>
            </w:pPr>
            <w:r>
              <w:rPr>
                <w:sz w:val="19"/>
              </w:rPr>
              <w:t>Type=simple en ambas unidades systemd.</w:t>
            </w:r>
          </w:p>
        </w:tc>
      </w:tr>
      <w:tr>
        <w:tc>
          <w:tcPr>
            <w:tcW w:type="dxa" w:w="720"/>
          </w:tcPr>
          <w:p>
            <w:pPr>
              <w:spacing w:after="40"/>
            </w:pPr>
            <w:r>
              <w:rPr>
                <w:sz w:val="19"/>
              </w:rPr>
              <w:t>D-07</w:t>
            </w:r>
          </w:p>
        </w:tc>
        <w:tc>
          <w:tcPr>
            <w:tcW w:type="dxa" w:w="864"/>
          </w:tcPr>
          <w:p>
            <w:pPr>
              <w:spacing w:after="40"/>
            </w:pPr>
            <w:r>
              <w:rPr>
                <w:sz w:val="19"/>
              </w:rPr>
              <w:t>Alta</w:t>
            </w:r>
          </w:p>
        </w:tc>
        <w:tc>
          <w:tcPr>
            <w:tcW w:type="dxa" w:w="2160"/>
          </w:tcPr>
          <w:p>
            <w:pPr>
              <w:spacing w:after="40"/>
            </w:pPr>
            <w:r>
              <w:rPr>
                <w:sz w:val="19"/>
              </w:rPr>
              <w:t>Cookie de sesión descartada en silencio sin TLS</w:t>
            </w:r>
          </w:p>
        </w:tc>
        <w:tc>
          <w:tcPr>
            <w:tcW w:type="dxa" w:w="3888"/>
          </w:tcPr>
          <w:p>
            <w:pPr>
              <w:spacing w:after="40"/>
            </w:pPr>
            <w:r>
              <w:rPr>
                <w:sz w:val="19"/>
              </w:rPr>
              <w:t>CookieSecurePolicy.Always exige HTTPS; sin TLS el login parecía funcionar pero cada request siguiente rebotaba a login.</w:t>
            </w:r>
          </w:p>
        </w:tc>
        <w:tc>
          <w:tcPr>
            <w:tcW w:type="dxa" w:w="3168"/>
          </w:tcPr>
          <w:p>
            <w:pPr>
              <w:spacing w:after="40"/>
            </w:pPr>
            <w:r>
              <w:rPr>
                <w:sz w:val="19"/>
              </w:rPr>
              <w:t>Cert autofirmado (luego reemplazado, ver D-14) + TLS en nginx + app.UseForwardedHeaders(...).</w:t>
            </w:r>
          </w:p>
        </w:tc>
      </w:tr>
      <w:tr>
        <w:tc>
          <w:tcPr>
            <w:tcW w:type="dxa" w:w="720"/>
          </w:tcPr>
          <w:p>
            <w:pPr>
              <w:spacing w:after="40"/>
            </w:pPr>
            <w:r>
              <w:rPr>
                <w:sz w:val="19"/>
              </w:rPr>
              <w:t>D-08</w:t>
            </w:r>
          </w:p>
        </w:tc>
        <w:tc>
          <w:tcPr>
            <w:tcW w:type="dxa" w:w="864"/>
          </w:tcPr>
          <w:p>
            <w:pPr>
              <w:spacing w:after="40"/>
            </w:pPr>
            <w:r>
              <w:rPr>
                <w:sz w:val="19"/>
              </w:rPr>
              <w:t>Baja</w:t>
            </w:r>
          </w:p>
        </w:tc>
        <w:tc>
          <w:tcPr>
            <w:tcW w:type="dxa" w:w="2160"/>
          </w:tcPr>
          <w:p>
            <w:pPr>
              <w:spacing w:after="40"/>
            </w:pPr>
            <w:r>
              <w:rPr>
                <w:sz w:val="19"/>
              </w:rPr>
              <w:t>Gotchas de shell/infra durante el despliegue</w:t>
            </w:r>
          </w:p>
        </w:tc>
        <w:tc>
          <w:tcPr>
            <w:tcW w:type="dxa" w:w="3888"/>
          </w:tcPr>
          <w:p>
            <w:pPr>
              <w:spacing w:after="40"/>
            </w:pPr>
            <w:r>
              <w:rPr>
                <w:sz w:val="19"/>
              </w:rPr>
              <w:t>DNS interno inalcanzable desde su propia subred; CRLF rompía provision.sh; rsync no existe en Git Bash de Windows; apóstrofo rompía ${VAR:?msg} en bash.</w:t>
            </w:r>
          </w:p>
        </w:tc>
        <w:tc>
          <w:tcPr>
            <w:tcW w:type="dxa" w:w="3168"/>
          </w:tcPr>
          <w:p>
            <w:pPr>
              <w:spacing w:after="40"/>
            </w:pPr>
            <w:r>
              <w:rPr>
                <w:sz w:val="19"/>
              </w:rPr>
              <w:t>DNS público temporal; .gitattributes eol=lf; deploy.sh a scp -r; mensaje reescrito.</w:t>
            </w:r>
          </w:p>
        </w:tc>
      </w:tr>
      <w:tr>
        <w:tc>
          <w:tcPr>
            <w:tcW w:type="dxa" w:w="720"/>
          </w:tcPr>
          <w:p>
            <w:pPr>
              <w:spacing w:after="40"/>
            </w:pPr>
            <w:r>
              <w:rPr>
                <w:sz w:val="19"/>
              </w:rPr>
              <w:t>D-09</w:t>
            </w:r>
          </w:p>
        </w:tc>
        <w:tc>
          <w:tcPr>
            <w:tcW w:type="dxa" w:w="864"/>
          </w:tcPr>
          <w:p>
            <w:pPr>
              <w:spacing w:after="40"/>
            </w:pPr>
            <w:r>
              <w:rPr>
                <w:sz w:val="19"/>
              </w:rPr>
              <w:t>Alta</w:t>
            </w:r>
          </w:p>
        </w:tc>
        <w:tc>
          <w:tcPr>
            <w:tcW w:type="dxa" w:w="2160"/>
          </w:tcPr>
          <w:p>
            <w:pPr>
              <w:spacing w:after="40"/>
            </w:pPr>
            <w:r>
              <w:rPr>
                <w:sz w:val="19"/>
              </w:rPr>
              <w:t>LicensingApi corría con claves criptográficas efímeras</w:t>
            </w:r>
          </w:p>
        </w:tc>
        <w:tc>
          <w:tcPr>
            <w:tcW w:type="dxa" w:w="3888"/>
          </w:tcPr>
          <w:p>
            <w:pPr>
              <w:spacing w:after="40"/>
            </w:pPr>
            <w:r>
              <w:rPr>
                <w:sz w:val="19"/>
              </w:rPr>
              <w:t>Program.cs exige Crypto:RsaPrivateKeyPem Y Crypto:AesKeyBase64 juntos; faltar solo el AES tiraba AMBAS claves al fallback aleatorio (regenerado en cada reinicio), sin error visible.</w:t>
            </w:r>
          </w:p>
        </w:tc>
        <w:tc>
          <w:tcPr>
            <w:tcW w:type="dxa" w:w="3168"/>
          </w:tcPr>
          <w:p>
            <w:pPr>
              <w:spacing w:after="40"/>
            </w:pPr>
            <w:r>
              <w:rPr>
                <w:sz w:val="19"/>
              </w:rPr>
              <w:t>Clave AES-256 real generada y desplegada; confirmado por hash el mismo par RSA que LicensingAdmin.</w:t>
            </w:r>
          </w:p>
        </w:tc>
      </w:tr>
      <w:tr>
        <w:tc>
          <w:tcPr>
            <w:tcW w:type="dxa" w:w="720"/>
          </w:tcPr>
          <w:p>
            <w:pPr>
              <w:spacing w:after="40"/>
            </w:pPr>
            <w:r>
              <w:rPr>
                <w:sz w:val="19"/>
              </w:rPr>
              <w:t>D-10</w:t>
            </w:r>
          </w:p>
        </w:tc>
        <w:tc>
          <w:tcPr>
            <w:tcW w:type="dxa" w:w="864"/>
          </w:tcPr>
          <w:p>
            <w:pPr>
              <w:spacing w:after="40"/>
            </w:pPr>
            <w:r>
              <w:rPr>
                <w:sz w:val="19"/>
              </w:rPr>
              <w:t>CRÍTICA</w:t>
            </w:r>
          </w:p>
        </w:tc>
        <w:tc>
          <w:tcPr>
            <w:tcW w:type="dxa" w:w="2160"/>
          </w:tcPr>
          <w:p>
            <w:pPr>
              <w:spacing w:after="40"/>
            </w:pPr>
            <w:r>
              <w:rPr>
                <w:sz w:val="19"/>
              </w:rPr>
              <w:t>LicenseFileService crasheaba en TODA activación real (100% reproducible)</w:t>
            </w:r>
          </w:p>
        </w:tc>
        <w:tc>
          <w:tcPr>
            <w:tcW w:type="dxa" w:w="3888"/>
          </w:tcPr>
          <w:p>
            <w:pPr>
              <w:spacing w:after="40"/>
            </w:pPr>
            <w:r>
              <w:rPr>
                <w:sz w:val="19"/>
              </w:rPr>
              <w:t>La primera invocación real de /api/activate (autorizada explícitamente por el sponsor) devolvió 500. LicenseFileService.BuildSignedEncryptedFile construía el XML con new XAttribute("xmlns", ns) junto a elementos sin cualificar — .ToString() lanzaba XmlException ("prefix cannot be redefined"). El método tenía CERO tests desde que se escribió; nunca se había invocado de verdad hasta ese momento.</w:t>
            </w:r>
          </w:p>
        </w:tc>
        <w:tc>
          <w:tcPr>
            <w:tcW w:type="dxa" w:w="3168"/>
          </w:tcPr>
          <w:p>
            <w:pPr>
              <w:spacing w:after="40"/>
            </w:pPr>
            <w:r>
              <w:rPr>
                <w:sz w:val="19"/>
              </w:rPr>
              <w:t>Cada XElement recalificado con XNamespace ns = "urn:licensing:v1"; ns + "Nombre". 4 tests nuevos (build→decrypt→verify→parse). Redesplegado y reverificado: la MISMA llamada que había fallado, reintentada, devolvió 200 con firma RSA verificada contra la clave pública real de producción.</w:t>
            </w:r>
          </w:p>
        </w:tc>
      </w:tr>
      <w:tr>
        <w:tc>
          <w:tcPr>
            <w:tcW w:type="dxa" w:w="720"/>
          </w:tcPr>
          <w:p>
            <w:pPr>
              <w:spacing w:after="40"/>
            </w:pPr>
            <w:r>
              <w:rPr>
                <w:sz w:val="19"/>
              </w:rPr>
              <w:t>D-11</w:t>
            </w:r>
          </w:p>
        </w:tc>
        <w:tc>
          <w:tcPr>
            <w:tcW w:type="dxa" w:w="864"/>
          </w:tcPr>
          <w:p>
            <w:pPr>
              <w:spacing w:after="40"/>
            </w:pPr>
            <w:r>
              <w:rPr>
                <w:sz w:val="19"/>
              </w:rPr>
              <w:t>Alta</w:t>
            </w:r>
          </w:p>
        </w:tc>
        <w:tc>
          <w:tcPr>
            <w:tcW w:type="dxa" w:w="2160"/>
          </w:tcPr>
          <w:p>
            <w:pPr>
              <w:spacing w:after="40"/>
            </w:pPr>
            <w:r>
              <w:rPr>
                <w:sz w:val="19"/>
              </w:rPr>
              <w:t>CheckinAsync nunca revisaba el estado de la Activation</w:t>
            </w:r>
          </w:p>
        </w:tc>
        <w:tc>
          <w:tcPr>
            <w:tcW w:type="dxa" w:w="3888"/>
          </w:tcPr>
          <w:p>
            <w:pPr>
              <w:spacing w:after="40"/>
            </w:pPr>
            <w:r>
              <w:rPr>
                <w:sz w:val="19"/>
              </w:rPr>
              <w:t>Una activación Rejected o Revoked (a nivel activación, no licencia) seguía renovándose indefinidamente vía checkin — recibía un archivo de licencia firmado válido cada 6 horas para siempre. El botón "Reject" del panel marcaba el registro pero no bloqueaba nada a nivel API.</w:t>
            </w:r>
          </w:p>
        </w:tc>
        <w:tc>
          <w:tcPr>
            <w:tcW w:type="dxa" w:w="3168"/>
          </w:tcPr>
          <w:p>
            <w:pPr>
              <w:spacing w:after="40"/>
            </w:pPr>
            <w:r>
              <w:rPr>
                <w:sz w:val="19"/>
              </w:rPr>
              <w:t>CheckinAsync ahora revisa Activation.Status antes de renovar; Rejected/Revoked devuelven Locked con el motivo correspondiente. Verificado en vivo con el arnés ActivationHelloWorld.</w:t>
            </w:r>
          </w:p>
        </w:tc>
      </w:tr>
      <w:tr>
        <w:tc>
          <w:tcPr>
            <w:tcW w:type="dxa" w:w="720"/>
          </w:tcPr>
          <w:p>
            <w:pPr>
              <w:spacing w:after="40"/>
            </w:pPr>
            <w:r>
              <w:rPr>
                <w:sz w:val="19"/>
              </w:rPr>
              <w:t>D-12</w:t>
            </w:r>
          </w:p>
        </w:tc>
        <w:tc>
          <w:tcPr>
            <w:tcW w:type="dxa" w:w="864"/>
          </w:tcPr>
          <w:p>
            <w:pPr>
              <w:spacing w:after="40"/>
            </w:pPr>
            <w:r>
              <w:rPr>
                <w:sz w:val="19"/>
              </w:rPr>
              <w:t>Alta</w:t>
            </w:r>
          </w:p>
        </w:tc>
        <w:tc>
          <w:tcPr>
            <w:tcW w:type="dxa" w:w="2160"/>
          </w:tcPr>
          <w:p>
            <w:pPr>
              <w:spacing w:after="40"/>
            </w:pPr>
            <w:r>
              <w:rPr>
                <w:sz w:val="19"/>
              </w:rPr>
              <w:t>El período de gracia de 15 días nunca se hacía cumplir</w:t>
            </w:r>
          </w:p>
        </w:tc>
        <w:tc>
          <w:tcPr>
            <w:tcW w:type="dxa" w:w="3888"/>
          </w:tcPr>
          <w:p>
            <w:pPr>
              <w:spacing w:after="40"/>
            </w:pPr>
            <w:r>
              <w:rPr>
                <w:sz w:val="19"/>
              </w:rPr>
              <w:t>ResultCode.Locked está documentado como "grace period ended" pero nada lo producía: una activación PendingReview podía renovarse para siempre más allá de ReviewDeadlineUtc.</w:t>
            </w:r>
          </w:p>
        </w:tc>
        <w:tc>
          <w:tcPr>
            <w:tcW w:type="dxa" w:w="3168"/>
          </w:tcPr>
          <w:p>
            <w:pPr>
              <w:spacing w:after="40"/>
            </w:pPr>
            <w:r>
              <w:rPr>
                <w:sz w:val="19"/>
              </w:rPr>
              <w:t>CheckinAsync ahora compara ReviewDeadlineUtc contra la fecha actual y devuelve Locked/REVIEW_GRACE_ENDED. Verificado en vivo forzando la fecha límite al pasado.</w:t>
            </w:r>
          </w:p>
        </w:tc>
      </w:tr>
      <w:tr>
        <w:tc>
          <w:tcPr>
            <w:tcW w:type="dxa" w:w="720"/>
          </w:tcPr>
          <w:p>
            <w:pPr>
              <w:spacing w:after="40"/>
            </w:pPr>
            <w:r>
              <w:rPr>
                <w:sz w:val="19"/>
              </w:rPr>
              <w:t>D-13</w:t>
            </w:r>
          </w:p>
        </w:tc>
        <w:tc>
          <w:tcPr>
            <w:tcW w:type="dxa" w:w="864"/>
          </w:tcPr>
          <w:p>
            <w:pPr>
              <w:spacing w:after="40"/>
            </w:pPr>
            <w:r>
              <w:rPr>
                <w:sz w:val="19"/>
              </w:rPr>
              <w:t>CRÍTICA</w:t>
            </w:r>
          </w:p>
        </w:tc>
        <w:tc>
          <w:tcPr>
            <w:tcW w:type="dxa" w:w="2160"/>
          </w:tcPr>
          <w:p>
            <w:pPr>
              <w:spacing w:after="40"/>
            </w:pPr>
            <w:r>
              <w:rPr>
                <w:sz w:val="19"/>
              </w:rPr>
              <w:t>Cambio de hardware real crasheaba /api/checkin (100% reproducible)</w:t>
            </w:r>
          </w:p>
        </w:tc>
        <w:tc>
          <w:tcPr>
            <w:tcW w:type="dxa" w:w="3888"/>
          </w:tcPr>
          <w:p>
            <w:pPr>
              <w:spacing w:after="40"/>
            </w:pPr>
            <w:r>
              <w:rPr>
                <w:sz w:val="19"/>
              </w:rPr>
              <w:t>El camino de "hardware cambió" reutilizaba el MISMO InstallGuid y lo pasaba a la rama de "instalación nueva", que intentaba un INSERT de una segunda fila para (license_id, install_guid) — par UNIQUE en el esquema. Como el InstallGuid es estable ante un cambio de hardware, esa fila siempre ya existía → DbUpdateException garantizado en cualquier cambio de hardware real. Encontrado escribiendo el test de regresión de D-11/D-12, nunca antes ejercitado.</w:t>
            </w:r>
          </w:p>
        </w:tc>
        <w:tc>
          <w:tcPr>
            <w:tcW w:type="dxa" w:w="3168"/>
          </w:tcPr>
          <w:p>
            <w:pPr>
              <w:spacing w:after="40"/>
            </w:pPr>
            <w:r>
              <w:rPr>
                <w:sz w:val="19"/>
              </w:rPr>
              <w:t>La deriva de hardware ahora actualiza la MISMA fila en sitio (nuevo fingerprint, vuelve a PendingReview) en vez de bifurcar una fila que la BD jamás aceptaría. Verificado en vivo con el arnés ActivationHelloWorld (misma ActivationId, sin crash, confirmado por consulta directa a Postgres).</w:t>
            </w:r>
          </w:p>
        </w:tc>
      </w:tr>
      <w:tr>
        <w:tc>
          <w:tcPr>
            <w:tcW w:type="dxa" w:w="720"/>
          </w:tcPr>
          <w:p>
            <w:pPr>
              <w:spacing w:after="40"/>
            </w:pPr>
            <w:r>
              <w:rPr>
                <w:sz w:val="19"/>
              </w:rPr>
              <w:t>D-14</w:t>
            </w:r>
          </w:p>
        </w:tc>
        <w:tc>
          <w:tcPr>
            <w:tcW w:type="dxa" w:w="864"/>
          </w:tcPr>
          <w:p>
            <w:pPr>
              <w:spacing w:after="40"/>
            </w:pPr>
            <w:r>
              <w:rPr>
                <w:sz w:val="19"/>
              </w:rPr>
              <w:t>Media</w:t>
            </w:r>
          </w:p>
        </w:tc>
        <w:tc>
          <w:tcPr>
            <w:tcW w:type="dxa" w:w="2160"/>
          </w:tcPr>
          <w:p>
            <w:pPr>
              <w:spacing w:after="40"/>
            </w:pPr>
            <w:r>
              <w:rPr>
                <w:sz w:val="19"/>
              </w:rPr>
              <w:t>Certificado autofirmado rechazado por Cloudflare Tunnel</w:t>
            </w:r>
          </w:p>
        </w:tc>
        <w:tc>
          <w:tcPr>
            <w:tcW w:type="dxa" w:w="3888"/>
          </w:tcPr>
          <w:p>
            <w:pPr>
              <w:spacing w:after="40"/>
            </w:pPr>
            <w:r>
              <w:rPr>
                <w:sz w:val="19"/>
              </w:rPr>
              <w:t>cloudflared rechazaba conectarse al origen: "certificate signed by unknown authority". Cloudflare Tunnel valida certificados de origen contra CAs reales.</w:t>
            </w:r>
          </w:p>
        </w:tc>
        <w:tc>
          <w:tcPr>
            <w:tcW w:type="dxa" w:w="3168"/>
          </w:tcPr>
          <w:p>
            <w:pPr>
              <w:spacing w:after="40"/>
            </w:pPr>
            <w:r>
              <w:rPr>
                <w:sz w:val="19"/>
              </w:rPr>
              <w:t>Reemplazado por un Cloudflare Origin CA certificate (el usuario lo generó y lo compartió; instalado en nginx). Segundo error relacionado ("doesn't contain any IP SANs") resuelto configurando Origin Server Name en el túnel en vez de conectar por IP cruda.</w:t>
            </w:r>
          </w:p>
        </w:tc>
      </w:tr>
      <w:tr>
        <w:tc>
          <w:tcPr>
            <w:tcW w:type="dxa" w:w="720"/>
          </w:tcPr>
          <w:p>
            <w:pPr>
              <w:spacing w:after="40"/>
            </w:pPr>
            <w:r>
              <w:rPr>
                <w:sz w:val="19"/>
              </w:rPr>
              <w:t>D-15</w:t>
            </w:r>
          </w:p>
        </w:tc>
        <w:tc>
          <w:tcPr>
            <w:tcW w:type="dxa" w:w="864"/>
          </w:tcPr>
          <w:p>
            <w:pPr>
              <w:spacing w:after="40"/>
            </w:pPr>
            <w:r>
              <w:rPr>
                <w:sz w:val="19"/>
              </w:rPr>
              <w:t>Media</w:t>
            </w:r>
          </w:p>
        </w:tc>
        <w:tc>
          <w:tcPr>
            <w:tcW w:type="dxa" w:w="2160"/>
          </w:tcPr>
          <w:p>
            <w:pPr>
              <w:spacing w:after="40"/>
            </w:pPr>
            <w:r>
              <w:rPr>
                <w:sz w:val="19"/>
              </w:rPr>
              <w:t>api.licensing.miautrix.tech nunca habría funcionado (límite de Cloudflare gratuito)</w:t>
            </w:r>
          </w:p>
        </w:tc>
        <w:tc>
          <w:tcPr>
            <w:tcW w:type="dxa" w:w="3888"/>
          </w:tcPr>
          <w:p>
            <w:pPr>
              <w:spacing w:after="40"/>
            </w:pPr>
            <w:r>
              <w:rPr>
                <w:sz w:val="19"/>
              </w:rPr>
              <w:t>Un subdominio de DOS niveles (api.licensing.*) no está cubierto por el Universal SSL gratuito de Cloudflare (sólo cubre un nivel: *.miautrix.tech). El borde de Cloudflare nunca tuvo certificado para ese hostname — no era un problema de propagación por más que se esperara.</w:t>
            </w:r>
          </w:p>
        </w:tc>
        <w:tc>
          <w:tcPr>
            <w:tcW w:type="dxa" w:w="3168"/>
          </w:tcPr>
          <w:p>
            <w:pPr>
              <w:spacing w:after="40"/>
            </w:pPr>
            <w:r>
              <w:rPr>
                <w:sz w:val="19"/>
              </w:rPr>
              <w:t>Renombrado a licensing-api.miautrix.tech (un nivel, gratis, cubierto por el wildcard ya activo) en vez de pagar Advanced Certificate Manager. Funcionó de inmediato al guardar.</w:t>
            </w:r>
          </w:p>
        </w:tc>
      </w:tr>
      <w:tr>
        <w:tc>
          <w:tcPr>
            <w:tcW w:type="dxa" w:w="720"/>
          </w:tcPr>
          <w:p>
            <w:pPr>
              <w:spacing w:after="40"/>
            </w:pPr>
            <w:r>
              <w:rPr>
                <w:sz w:val="19"/>
              </w:rPr>
              <w:t>D-16</w:t>
            </w:r>
          </w:p>
        </w:tc>
        <w:tc>
          <w:tcPr>
            <w:tcW w:type="dxa" w:w="864"/>
          </w:tcPr>
          <w:p>
            <w:pPr>
              <w:spacing w:after="40"/>
            </w:pPr>
            <w:r>
              <w:rPr>
                <w:sz w:val="19"/>
              </w:rPr>
              <w:t>Baja</w:t>
            </w:r>
          </w:p>
        </w:tc>
        <w:tc>
          <w:tcPr>
            <w:tcW w:type="dxa" w:w="2160"/>
          </w:tcPr>
          <w:p>
            <w:pPr>
              <w:spacing w:after="40"/>
            </w:pPr>
            <w:r>
              <w:rPr>
                <w:sz w:val="19"/>
              </w:rPr>
              <w:t>ACL restrictiva bloqueaba todo commit en el repo dev-team</w:t>
            </w:r>
          </w:p>
        </w:tc>
        <w:tc>
          <w:tcPr>
            <w:tcW w:type="dxa" w:w="3888"/>
          </w:tcPr>
          <w:p>
            <w:pPr>
              <w:spacing w:after="40"/>
            </w:pPr>
            <w:r>
              <w:rPr>
                <w:sz w:val="19"/>
              </w:rPr>
              <w:t>BUILTIN\Users solo tenía permiso de lectura sobre .git/logs/ en el checkout de dev-team; cualquier sesión no-administradora fallaba `git commit` con "Permission denied", sin relación con el trabajo en curso.</w:t>
            </w:r>
          </w:p>
        </w:tc>
        <w:tc>
          <w:tcPr>
            <w:tcW w:type="dxa" w:w="3168"/>
          </w:tcPr>
          <w:p>
            <w:pPr>
              <w:spacing w:after="40"/>
            </w:pPr>
            <w:r>
              <w:rPr>
                <w:sz w:val="19"/>
              </w:rPr>
              <w:t>icacls .git /grant Users:F /T recursivo sobre el directorio .git completo.</w:t>
            </w:r>
          </w:p>
        </w:tc>
      </w:tr>
    </w:tbl>
    <w:p/>
    <w:p>
      <w:r>
        <w:br w:type="page"/>
      </w:r>
    </w:p>
    <w:p>
      <w:pPr>
        <w:pStyle w:val="Heading1"/>
      </w:pPr>
      <w:r>
        <w:rPr>
          <w:color w:val="1A233A"/>
        </w:rPr>
        <w:t>6. Security Remediation Summary</w:t>
      </w:r>
    </w:p>
    <w:p>
      <w:r>
        <w:t>Cada tarea del blueprint pasó por un subagente security-auditor antes de aprobarse; la Definition of Done del equipo exige "sin hallazgos ALTA abiertos".</w:t>
      </w:r>
    </w:p>
    <w:p>
      <w:pPr>
        <w:pStyle w:val="Heading2"/>
      </w:pPr>
      <w:r>
        <w:rPr>
          <w:color w:val="1A233A"/>
        </w:rPr>
        <w:t>6.1 Hallazgos ALTA del blueprint original — todos cerrados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1a233a"/>
          </w:tcPr>
          <w:p>
            <w:r>
              <w:rPr>
                <w:b/>
                <w:color w:val="FFFFFF"/>
                <w:sz w:val="19"/>
              </w:rPr>
              <w:t>Tarea</w:t>
            </w:r>
          </w:p>
        </w:tc>
        <w:tc>
          <w:tcPr>
            <w:tcW w:type="dxa" w:w="5040"/>
            <w:shd w:fill="1a233a"/>
          </w:tcPr>
          <w:p>
            <w:r>
              <w:rPr>
                <w:b/>
                <w:color w:val="FFFFFF"/>
                <w:sz w:val="19"/>
              </w:rPr>
              <w:t>Hallazgo</w:t>
            </w:r>
          </w:p>
        </w:tc>
        <w:tc>
          <w:tcPr>
            <w:tcW w:type="dxa" w:w="3600"/>
            <w:shd w:fill="1a233a"/>
          </w:tcPr>
          <w:p>
            <w:r>
              <w:rPr>
                <w:b/>
                <w:color w:val="FFFFFF"/>
                <w:sz w:val="19"/>
              </w:rPr>
              <w:t>Cierre</w:t>
            </w:r>
          </w:p>
        </w:tc>
      </w:tr>
      <w:tr>
        <w:tc>
          <w:tcPr>
            <w:tcW w:type="dxa" w:w="1440"/>
          </w:tcPr>
          <w:p>
            <w:pPr>
              <w:spacing w:after="40"/>
            </w:pPr>
            <w:r>
              <w:rPr>
                <w:sz w:val="19"/>
              </w:rPr>
              <w:t>E1-T5</w:t>
            </w:r>
          </w:p>
        </w:tc>
        <w:tc>
          <w:tcPr>
            <w:tcW w:type="dxa" w:w="5040"/>
          </w:tcPr>
          <w:p>
            <w:pPr>
              <w:spacing w:after="40"/>
            </w:pPr>
            <w:r>
              <w:rPr>
                <w:sz w:val="19"/>
              </w:rPr>
              <w:t>Firma de licencia sin separación de dominio / normalización de fecha</w:t>
            </w:r>
          </w:p>
        </w:tc>
        <w:tc>
          <w:tcPr>
            <w:tcW w:type="dxa" w:w="3600"/>
          </w:tcPr>
          <w:p>
            <w:pPr>
              <w:spacing w:after="40"/>
            </w:pPr>
            <w:r>
              <w:rPr>
                <w:sz w:val="19"/>
              </w:rPr>
              <w:t>CanonicalBytes con prefijo licsig-v1| + UTC truncado a segundos</w:t>
            </w:r>
          </w:p>
        </w:tc>
      </w:tr>
      <w:tr>
        <w:tc>
          <w:tcPr>
            <w:tcW w:type="dxa" w:w="1440"/>
          </w:tcPr>
          <w:p>
            <w:pPr>
              <w:spacing w:after="40"/>
            </w:pPr>
            <w:r>
              <w:rPr>
                <w:sz w:val="19"/>
              </w:rPr>
              <w:t>E1-T6</w:t>
            </w:r>
          </w:p>
        </w:tc>
        <w:tc>
          <w:tcPr>
            <w:tcW w:type="dxa" w:w="5040"/>
          </w:tcPr>
          <w:p>
            <w:pPr>
              <w:spacing w:after="40"/>
            </w:pPr>
            <w:r>
              <w:rPr>
                <w:sz w:val="19"/>
              </w:rPr>
              <w:t>AddLicenseSigner validaba la clave RSA de forma perezosa</w:t>
            </w:r>
          </w:p>
        </w:tc>
        <w:tc>
          <w:tcPr>
            <w:tcW w:type="dxa" w:w="3600"/>
          </w:tcPr>
          <w:p>
            <w:pPr>
              <w:spacing w:after="40"/>
            </w:pPr>
            <w:r>
              <w:rPr>
                <w:sz w:val="19"/>
              </w:rPr>
              <w:t>Validación eager antes de builder.Build()</w:t>
            </w:r>
          </w:p>
        </w:tc>
      </w:tr>
      <w:tr>
        <w:tc>
          <w:tcPr>
            <w:tcW w:type="dxa" w:w="1440"/>
          </w:tcPr>
          <w:p>
            <w:pPr>
              <w:spacing w:after="40"/>
            </w:pPr>
            <w:r>
              <w:rPr>
                <w:sz w:val="19"/>
              </w:rPr>
              <w:t>E1-T8</w:t>
            </w:r>
          </w:p>
        </w:tc>
        <w:tc>
          <w:tcPr>
            <w:tcW w:type="dxa" w:w="5040"/>
          </w:tcPr>
          <w:p>
            <w:pPr>
              <w:spacing w:after="40"/>
            </w:pPr>
            <w:r>
              <w:rPr>
                <w:sz w:val="19"/>
              </w:rPr>
              <w:t>Cookie sin SecurePolicy explícita + sin AccessDeniedPath propio</w:t>
            </w:r>
          </w:p>
        </w:tc>
        <w:tc>
          <w:tcPr>
            <w:tcW w:type="dxa" w:w="3600"/>
          </w:tcPr>
          <w:p>
            <w:pPr>
              <w:spacing w:after="40"/>
            </w:pPr>
            <w:r>
              <w:rPr>
                <w:sz w:val="19"/>
              </w:rPr>
              <w:t>CookieSecurePolicy.Always fuera de dev + AccessDenied.cshtml anónima</w:t>
            </w:r>
          </w:p>
        </w:tc>
      </w:tr>
    </w:tbl>
    <w:p/>
    <w:p>
      <w:pPr>
        <w:pStyle w:val="Heading2"/>
      </w:pPr>
      <w:r>
        <w:rPr>
          <w:color w:val="1A233A"/>
        </w:rPr>
        <w:t>6.2 Hardening público — construido al cierre del proyecto</w:t>
      </w:r>
    </w:p>
    <w:p>
      <w:r>
        <w:t>Antes de exponer la API a internet (CR-09), se cerraron los dos huecos de seguridad de red documentados desde el slice 1 como "revisar antes de exponer a internet":</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1a233a"/>
          </w:tcPr>
          <w:p>
            <w:r>
              <w:rPr>
                <w:b/>
                <w:color w:val="FFFFFF"/>
                <w:sz w:val="19"/>
              </w:rPr>
              <w:t>Control</w:t>
            </w:r>
          </w:p>
        </w:tc>
        <w:tc>
          <w:tcPr>
            <w:tcW w:type="dxa" w:w="5472"/>
            <w:shd w:fill="1a233a"/>
          </w:tcPr>
          <w:p>
            <w:r>
              <w:rPr>
                <w:b/>
                <w:color w:val="FFFFFF"/>
                <w:sz w:val="19"/>
              </w:rPr>
              <w:t>Implementación</w:t>
            </w:r>
          </w:p>
        </w:tc>
        <w:tc>
          <w:tcPr>
            <w:tcW w:type="dxa" w:w="2880"/>
            <w:shd w:fill="1a233a"/>
          </w:tcPr>
          <w:p>
            <w:r>
              <w:rPr>
                <w:b/>
                <w:color w:val="FFFFFF"/>
                <w:sz w:val="19"/>
              </w:rPr>
              <w:t>Verificación</w:t>
            </w:r>
          </w:p>
        </w:tc>
      </w:tr>
      <w:tr>
        <w:tc>
          <w:tcPr>
            <w:tcW w:type="dxa" w:w="1872"/>
          </w:tcPr>
          <w:p>
            <w:pPr>
              <w:spacing w:after="40"/>
            </w:pPr>
            <w:r>
              <w:rPr>
                <w:sz w:val="19"/>
              </w:rPr>
              <w:t>Rate limiting</w:t>
            </w:r>
          </w:p>
        </w:tc>
        <w:tc>
          <w:tcPr>
            <w:tcW w:type="dxa" w:w="5472"/>
          </w:tcPr>
          <w:p>
            <w:pPr>
              <w:spacing w:after="40"/>
            </w:pPr>
            <w:r>
              <w:rPr>
                <w:sz w:val="19"/>
              </w:rPr>
              <w:t>Ventana fija de 30 req/min por IP de cliente en /api/activate y /api/checkin (Microsoft.AspNetCore.RateLimiting), 429 + ApiResult.RateLimited en vez del 503 genérico. app.UseForwardedHeaders() añadido a LicensingApi para ver la IP real a través de nginx/Cloudflare.</w:t>
            </w:r>
          </w:p>
        </w:tc>
        <w:tc>
          <w:tcPr>
            <w:tcW w:type="dxa" w:w="2880"/>
          </w:tcPr>
          <w:p>
            <w:pPr>
              <w:spacing w:after="40"/>
            </w:pPr>
            <w:r>
              <w:rPr>
                <w:sz w:val="19"/>
              </w:rPr>
              <w:t>Ráfaga de 35 peticiones: 30 pasan, 31+ devuelven 429 — verificado tanto en LAN directa como a través del dominio público real.</w:t>
            </w:r>
          </w:p>
        </w:tc>
      </w:tr>
      <w:tr>
        <w:tc>
          <w:tcPr>
            <w:tcW w:type="dxa" w:w="1872"/>
          </w:tcPr>
          <w:p>
            <w:pPr>
              <w:spacing w:after="40"/>
            </w:pPr>
            <w:r>
              <w:rPr>
                <w:sz w:val="19"/>
              </w:rPr>
              <w:t>MaxActivations — enforcement duro</w:t>
            </w:r>
          </w:p>
        </w:tc>
        <w:tc>
          <w:tcPr>
            <w:tcW w:type="dxa" w:w="5472"/>
          </w:tcPr>
          <w:p>
            <w:pPr>
              <w:spacing w:after="40"/>
            </w:pPr>
            <w:r>
              <w:rPr>
                <w:sz w:val="19"/>
              </w:rPr>
              <w:t>ActivateAsync rechaza con 409 MaxActivationsReached una instalación nueva cuando el conteo de activaciones Approved ya alcanza el límite de la licencia, sin crear ninguna fila. Antes sólo anotaba una nota para el revisor y dejaba pasar.</w:t>
            </w:r>
          </w:p>
        </w:tc>
        <w:tc>
          <w:tcPr>
            <w:tcW w:type="dxa" w:w="2880"/>
          </w:tcPr>
          <w:p>
            <w:pPr>
              <w:spacing w:after="40"/>
            </w:pPr>
            <w:r>
              <w:rPr>
                <w:sz w:val="19"/>
              </w:rPr>
              <w:t>Licencia con MaxActivations=2, 2 instalaciones aprobadas, la 3ª → 409, confirmado que no se creó fila — verificado en LAN y en producción pública.</w:t>
            </w:r>
          </w:p>
        </w:tc>
      </w:tr>
      <w:tr>
        <w:tc>
          <w:tcPr>
            <w:tcW w:type="dxa" w:w="1872"/>
          </w:tcPr>
          <w:p>
            <w:pPr>
              <w:spacing w:after="40"/>
            </w:pPr>
            <w:r>
              <w:rPr>
                <w:sz w:val="19"/>
              </w:rPr>
              <w:t>TLS de punta a punta</w:t>
            </w:r>
          </w:p>
        </w:tc>
        <w:tc>
          <w:tcPr>
            <w:tcW w:type="dxa" w:w="5472"/>
          </w:tcPr>
          <w:p>
            <w:pPr>
              <w:spacing w:after="40"/>
            </w:pPr>
            <w:r>
              <w:rPr>
                <w:sz w:val="19"/>
              </w:rPr>
              <w:t>Certificado autofirmado de nginx reemplazado por un Cloudflare Origin CA certificate; Cloudflare Tunnel (Full/strict) termina TLS en el borde y re-cifra hacia el origen.</w:t>
            </w:r>
          </w:p>
        </w:tc>
        <w:tc>
          <w:tcPr>
            <w:tcW w:type="dxa" w:w="2880"/>
          </w:tcPr>
          <w:p>
            <w:pPr>
              <w:spacing w:after="40"/>
            </w:pPr>
            <w:r>
              <w:rPr>
                <w:sz w:val="19"/>
              </w:rPr>
              <w:t>Verificado con openssl s_client contra el borde de Cloudflare y con peticiones reales (/health, /api/activate) a través del dominio público.</w:t>
            </w:r>
          </w:p>
        </w:tc>
      </w:tr>
    </w:tbl>
    <w:p/>
    <w:p>
      <w:pPr>
        <w:pStyle w:val="Heading2"/>
      </w:pPr>
      <w:r>
        <w:rPr>
          <w:color w:val="1A233A"/>
        </w:rPr>
        <w:t>6.3 Hardening backlog — diferido intencionalmente, no bloqueante</w:t>
      </w:r>
    </w:p>
    <w:p>
      <w:r>
        <w:t>Documentado en status/licensing-system.md §20.4 (repo dev-team). El ítem #13 sigue marcado [PRIORIDAD] por el Arquitecto: verificación de autorización fresca contra la base de datos antes de cada escritura irreversible.</w:t>
      </w:r>
    </w:p>
    <w:p>
      <w:pPr>
        <w:pStyle w:val="ListBullet"/>
      </w:pPr>
      <w:r>
        <w:t>#8 — predicado sargable + DRY en RecordLoginAsync</w:t>
      </w:r>
    </w:p>
    <w:p>
      <w:pPr>
        <w:pStyle w:val="ListBullet"/>
      </w:pPr>
      <w:r>
        <w:t>#9 — Enums.cs: ReadOnlyViewer=0 + Enum.IsDefined en más puntos de escritura</w:t>
      </w:r>
    </w:p>
    <w:p>
      <w:pPr>
        <w:pStyle w:val="ListBullet"/>
      </w:pPr>
      <w:r>
        <w:t>#10 — lockout in-memory + audit LoginFailed</w:t>
      </w:r>
    </w:p>
    <w:p>
      <w:pPr>
        <w:pStyle w:val="ListBullet"/>
      </w:pPr>
      <w:r>
        <w:t>#11 — cabeceras de seguridad app-wide + CSP</w:t>
      </w:r>
    </w:p>
    <w:p>
      <w:pPr>
        <w:pStyle w:val="ListBullet"/>
      </w:pPr>
      <w:r>
        <w:t>#12 — EfLicenseStore: traducir 23505 (unicidad) a excepción tipada</w:t>
      </w:r>
    </w:p>
    <w:p>
      <w:pPr>
        <w:pStyle w:val="ListBullet"/>
      </w:pPr>
      <w:r>
        <w:t>#13 [PRIORIDAD] — autorización fresca contra BD antes de cada write irreversible</w:t>
      </w:r>
    </w:p>
    <w:p>
      <w:pPr>
        <w:pStyle w:val="ListBullet"/>
      </w:pPr>
      <w:r>
        <w:t>#14 — runbook de Admin:Bootstrap* (secreto aleatorio + retiro tras primer arranque)</w:t>
      </w:r>
    </w:p>
    <w:p>
      <w:pPr>
        <w:pStyle w:val="ListBullet"/>
      </w:pPr>
      <w:r>
        <w:t>#15 — MustChangePassword en primer login</w:t>
      </w:r>
    </w:p>
    <w:p>
      <w:r>
        <w:br w:type="page"/>
      </w:r>
    </w:p>
    <w:p>
      <w:pPr>
        <w:pStyle w:val="Heading1"/>
      </w:pPr>
      <w:r>
        <w:rPr>
          <w:color w:val="1A233A"/>
        </w:rPr>
        <w:t>7. Testing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5040"/>
            <w:shd w:fill="1a233a"/>
          </w:tcPr>
          <w:p>
            <w:r>
              <w:rPr>
                <w:b/>
                <w:color w:val="FFFFFF"/>
                <w:sz w:val="19"/>
              </w:rPr>
              <w:t>Hito</w:t>
            </w:r>
          </w:p>
        </w:tc>
        <w:tc>
          <w:tcPr>
            <w:tcW w:type="dxa" w:w="1728"/>
            <w:shd w:fill="1a233a"/>
          </w:tcPr>
          <w:p>
            <w:r>
              <w:rPr>
                <w:b/>
                <w:color w:val="FFFFFF"/>
                <w:sz w:val="19"/>
              </w:rPr>
              <w:t>Tests</w:t>
            </w:r>
          </w:p>
        </w:tc>
        <w:tc>
          <w:tcPr>
            <w:tcW w:type="dxa" w:w="3312"/>
            <w:shd w:fill="1a233a"/>
          </w:tcPr>
          <w:p>
            <w:r>
              <w:rPr>
                <w:b/>
                <w:color w:val="FFFFFF"/>
                <w:sz w:val="19"/>
              </w:rPr>
              <w:t>Resultado</w:t>
            </w:r>
          </w:p>
        </w:tc>
      </w:tr>
      <w:tr>
        <w:tc>
          <w:tcPr>
            <w:tcW w:type="dxa" w:w="5040"/>
          </w:tcPr>
          <w:p>
            <w:pPr>
              <w:spacing w:after="40"/>
            </w:pPr>
            <w:r>
              <w:rPr>
                <w:sz w:val="19"/>
              </w:rPr>
              <w:t>Cierre del slice 1 (E2-T8, 2026-09-03)</w:t>
            </w:r>
          </w:p>
        </w:tc>
        <w:tc>
          <w:tcPr>
            <w:tcW w:type="dxa" w:w="1728"/>
          </w:tcPr>
          <w:p>
            <w:pPr>
              <w:spacing w:after="40"/>
            </w:pPr>
            <w:r>
              <w:rPr>
                <w:sz w:val="19"/>
              </w:rPr>
              <w:t>366</w:t>
            </w:r>
          </w:p>
        </w:tc>
        <w:tc>
          <w:tcPr>
            <w:tcW w:type="dxa" w:w="3312"/>
          </w:tcPr>
          <w:p>
            <w:pPr>
              <w:spacing w:after="40"/>
            </w:pPr>
            <w:r>
              <w:rPr>
                <w:sz w:val="19"/>
              </w:rPr>
              <w:t>366/366, 0 skipped</w:t>
            </w:r>
          </w:p>
        </w:tc>
      </w:tr>
      <w:tr>
        <w:tc>
          <w:tcPr>
            <w:tcW w:type="dxa" w:w="5040"/>
          </w:tcPr>
          <w:p>
            <w:pPr>
              <w:spacing w:after="40"/>
            </w:pPr>
            <w:r>
              <w:rPr>
                <w:sz w:val="19"/>
              </w:rPr>
              <w:t>Tras paquete E3 (7 ítems)</w:t>
            </w:r>
          </w:p>
        </w:tc>
        <w:tc>
          <w:tcPr>
            <w:tcW w:type="dxa" w:w="1728"/>
          </w:tcPr>
          <w:p>
            <w:pPr>
              <w:spacing w:after="40"/>
            </w:pPr>
            <w:r>
              <w:rPr>
                <w:sz w:val="19"/>
              </w:rPr>
              <w:t>391</w:t>
            </w:r>
          </w:p>
        </w:tc>
        <w:tc>
          <w:tcPr>
            <w:tcW w:type="dxa" w:w="3312"/>
          </w:tcPr>
          <w:p>
            <w:pPr>
              <w:spacing w:after="40"/>
            </w:pPr>
            <w:r>
              <w:rPr>
                <w:sz w:val="19"/>
              </w:rPr>
              <w:t>391/391</w:t>
            </w:r>
          </w:p>
        </w:tc>
      </w:tr>
      <w:tr>
        <w:tc>
          <w:tcPr>
            <w:tcW w:type="dxa" w:w="5040"/>
          </w:tcPr>
          <w:p>
            <w:pPr>
              <w:spacing w:after="40"/>
            </w:pPr>
            <w:r>
              <w:rPr>
                <w:sz w:val="19"/>
              </w:rPr>
              <w:t>Fix D-10 (LicenseFileService)</w:t>
            </w:r>
          </w:p>
        </w:tc>
        <w:tc>
          <w:tcPr>
            <w:tcW w:type="dxa" w:w="1728"/>
          </w:tcPr>
          <w:p>
            <w:pPr>
              <w:spacing w:after="40"/>
            </w:pPr>
            <w:r>
              <w:rPr>
                <w:sz w:val="19"/>
              </w:rPr>
              <w:t>395</w:t>
            </w:r>
          </w:p>
        </w:tc>
        <w:tc>
          <w:tcPr>
            <w:tcW w:type="dxa" w:w="3312"/>
          </w:tcPr>
          <w:p>
            <w:pPr>
              <w:spacing w:after="40"/>
            </w:pPr>
            <w:r>
              <w:rPr>
                <w:sz w:val="19"/>
              </w:rPr>
              <w:t>395/395</w:t>
            </w:r>
          </w:p>
        </w:tc>
      </w:tr>
      <w:tr>
        <w:tc>
          <w:tcPr>
            <w:tcW w:type="dxa" w:w="5040"/>
          </w:tcPr>
          <w:p>
            <w:pPr>
              <w:spacing w:after="40"/>
            </w:pPr>
            <w:r>
              <w:rPr>
                <w:sz w:val="19"/>
              </w:rPr>
              <w:t>Auditoría de checkin (D-11 a D-13)</w:t>
            </w:r>
          </w:p>
        </w:tc>
        <w:tc>
          <w:tcPr>
            <w:tcW w:type="dxa" w:w="1728"/>
          </w:tcPr>
          <w:p>
            <w:pPr>
              <w:spacing w:after="40"/>
            </w:pPr>
            <w:r>
              <w:rPr>
                <w:sz w:val="19"/>
              </w:rPr>
              <w:t>425</w:t>
            </w:r>
          </w:p>
        </w:tc>
        <w:tc>
          <w:tcPr>
            <w:tcW w:type="dxa" w:w="3312"/>
          </w:tcPr>
          <w:p>
            <w:pPr>
              <w:spacing w:after="40"/>
            </w:pPr>
            <w:r>
              <w:rPr>
                <w:sz w:val="19"/>
              </w:rPr>
              <w:t>425/425</w:t>
            </w:r>
          </w:p>
        </w:tc>
      </w:tr>
      <w:tr>
        <w:tc>
          <w:tcPr>
            <w:tcW w:type="dxa" w:w="5040"/>
          </w:tcPr>
          <w:p>
            <w:pPr>
              <w:spacing w:after="40"/>
            </w:pPr>
            <w:r>
              <w:rPr>
                <w:sz w:val="19"/>
              </w:rPr>
              <w:t>MaxActivations + rate limiting</w:t>
            </w:r>
          </w:p>
        </w:tc>
        <w:tc>
          <w:tcPr>
            <w:tcW w:type="dxa" w:w="1728"/>
          </w:tcPr>
          <w:p>
            <w:pPr>
              <w:spacing w:after="40"/>
            </w:pPr>
            <w:r>
              <w:rPr>
                <w:sz w:val="19"/>
              </w:rPr>
              <w:t>426</w:t>
            </w:r>
          </w:p>
        </w:tc>
        <w:tc>
          <w:tcPr>
            <w:tcW w:type="dxa" w:w="3312"/>
          </w:tcPr>
          <w:p>
            <w:pPr>
              <w:spacing w:after="40"/>
            </w:pPr>
            <w:r>
              <w:rPr>
                <w:sz w:val="19"/>
              </w:rPr>
              <w:t>426/426</w:t>
            </w:r>
          </w:p>
        </w:tc>
      </w:tr>
      <w:tr>
        <w:tc>
          <w:tcPr>
            <w:tcW w:type="dxa" w:w="5040"/>
          </w:tcPr>
          <w:p>
            <w:pPr>
              <w:spacing w:after="40"/>
            </w:pPr>
            <w:r>
              <w:rPr>
                <w:sz w:val="19"/>
              </w:rPr>
              <w:t>Estado final de este documento</w:t>
            </w:r>
          </w:p>
        </w:tc>
        <w:tc>
          <w:tcPr>
            <w:tcW w:type="dxa" w:w="1728"/>
          </w:tcPr>
          <w:p>
            <w:pPr>
              <w:spacing w:after="40"/>
            </w:pPr>
            <w:r>
              <w:rPr>
                <w:sz w:val="19"/>
              </w:rPr>
              <w:t>426</w:t>
            </w:r>
          </w:p>
        </w:tc>
        <w:tc>
          <w:tcPr>
            <w:tcW w:type="dxa" w:w="3312"/>
          </w:tcPr>
          <w:p>
            <w:pPr>
              <w:spacing w:after="40"/>
            </w:pPr>
            <w:r>
              <w:rPr>
                <w:sz w:val="19"/>
              </w:rPr>
              <w:t>426/426, 0 skipped</w:t>
            </w:r>
          </w:p>
        </w:tc>
      </w:tr>
    </w:tbl>
    <w:p/>
    <w:p>
      <w:r>
        <w:t>Estrategia: xUnit v3, tests unitarios puros con fakes/stubs y, para servicios que usan AppDbContext directamente (ActivationService), EF Core con proveedor Sqlite in-memory — comportamiento relacional real (constraints, foreign keys) sin depender de Postgres. WebApplicationFactory&lt;Program&gt; cubre pipelines de autorización HTTP de extremo a extremo sin base de datos real.</w:t>
      </w:r>
    </w:p>
    <w:p>
      <w:pPr>
        <w:pStyle w:val="Heading2"/>
      </w:pPr>
      <w:r>
        <w:rPr>
          <w:color w:val="1A233A"/>
        </w:rPr>
        <w:t>7.1 Verificación contra infraestructura real</w:t>
      </w:r>
    </w:p>
    <w:p>
      <w:r>
        <w:t>Un patrón se repitió dos veces en este proyecto: código con cobertura de tests aparentemente completa que nunca se había invocado de verdad contra producción (D-04 en el paso manual 14; D-10, D-11, D-12, D-13 en ActivationService/LicenseFileService). La respuesta fue construir verificación contra infraestructura real como práctica estándar, no como excepción:</w:t>
      </w:r>
    </w:p>
    <w:tbl>
      <w:tblPr>
        <w:tblStyle w:val="LightGrid-Accent1"/>
        <w:tblW w:type="auto" w:w="0"/>
        <w:jc w:val="center"/>
        <w:tblLook w:firstColumn="1" w:firstRow="1" w:lastColumn="0" w:lastRow="0" w:noHBand="0" w:noVBand="1" w:val="04A0"/>
      </w:tblPr>
      <w:tblGrid>
        <w:gridCol w:w="4320"/>
        <w:gridCol w:w="4320"/>
      </w:tblGrid>
      <w:tr>
        <w:tc>
          <w:tcPr>
            <w:tcW w:type="dxa" w:w="3744"/>
            <w:shd w:fill="1a233a"/>
          </w:tcPr>
          <w:p>
            <w:r>
              <w:rPr>
                <w:b/>
                <w:color w:val="FFFFFF"/>
                <w:sz w:val="19"/>
              </w:rPr>
              <w:t>Herramienta</w:t>
            </w:r>
          </w:p>
        </w:tc>
        <w:tc>
          <w:tcPr>
            <w:tcW w:type="dxa" w:w="6336"/>
            <w:shd w:fill="1a233a"/>
          </w:tcPr>
          <w:p>
            <w:r>
              <w:rPr>
                <w:b/>
                <w:color w:val="FFFFFF"/>
                <w:sz w:val="19"/>
              </w:rPr>
              <w:t>Propósito</w:t>
            </w:r>
          </w:p>
        </w:tc>
      </w:tr>
      <w:tr>
        <w:tc>
          <w:tcPr>
            <w:tcW w:type="dxa" w:w="3744"/>
          </w:tcPr>
          <w:p>
            <w:pPr>
              <w:spacing w:after="40"/>
            </w:pPr>
            <w:r>
              <w:rPr>
                <w:sz w:val="19"/>
              </w:rPr>
              <w:t>Paso manual 14 (blueprint original)</w:t>
            </w:r>
          </w:p>
        </w:tc>
        <w:tc>
          <w:tcPr>
            <w:tcW w:type="dxa" w:w="6336"/>
          </w:tcPr>
          <w:p>
            <w:pPr>
              <w:spacing w:after="40"/>
            </w:pPr>
            <w:r>
              <w:rPr>
                <w:sz w:val="19"/>
              </w:rPr>
              <w:t>Seed + login + emisión de licencia + rutas por rol, contra Postgres real</w:t>
            </w:r>
          </w:p>
        </w:tc>
      </w:tr>
      <w:tr>
        <w:tc>
          <w:tcPr>
            <w:tcW w:type="dxa" w:w="3744"/>
          </w:tcPr>
          <w:p>
            <w:pPr>
              <w:spacing w:after="40"/>
            </w:pPr>
            <w:r>
              <w:rPr>
                <w:sz w:val="19"/>
              </w:rPr>
              <w:t>scratchpad/admin-ops (arnés interno, no versionado)</w:t>
            </w:r>
          </w:p>
        </w:tc>
        <w:tc>
          <w:tcPr>
            <w:tcW w:type="dxa" w:w="6336"/>
          </w:tcPr>
          <w:p>
            <w:pPr>
              <w:spacing w:after="40"/>
            </w:pPr>
            <w:r>
              <w:rPr>
                <w:sz w:val="19"/>
              </w:rPr>
              <w:t>Invoca LicenseIssuanceService/LicenseLifecycleService reales contra producción para crear/aprobar/rechazar/revocar licencias de prueba sin necesitar sesión de admin</w:t>
            </w:r>
          </w:p>
        </w:tc>
      </w:tr>
      <w:tr>
        <w:tc>
          <w:tcPr>
            <w:tcW w:type="dxa" w:w="3744"/>
          </w:tcPr>
          <w:p>
            <w:pPr>
              <w:spacing w:after="40"/>
            </w:pPr>
            <w:r>
              <w:rPr>
                <w:sz w:val="19"/>
              </w:rPr>
              <w:t>ActivationHelloWorld (LicensingApi git repo, versionado)</w:t>
            </w:r>
          </w:p>
        </w:tc>
        <w:tc>
          <w:tcPr>
            <w:tcW w:type="dxa" w:w="6336"/>
          </w:tcPr>
          <w:p>
            <w:pPr>
              <w:spacing w:after="40"/>
            </w:pPr>
            <w:r>
              <w:rPr>
                <w:sz w:val="19"/>
              </w:rPr>
              <w:t>Consola .NET Windows real: lee hardware por WMI, llama /api/activate y /api/checkin contra producción, descifra y verifica el archivo de licencia con las claves reales. Usado para ejecutar el ciclo de vida completo en vivo: emitir → activar → aprobar → reactivar → deriva de hardware → rechazar → checkin bloqueado → vencer el período de gracia → checkin bloqueado → revocar → checkin bloqueado — cada paso con firma RSA verificada.</w:t>
            </w:r>
          </w:p>
        </w:tc>
      </w:tr>
      <w:tr>
        <w:tc>
          <w:tcPr>
            <w:tcW w:type="dxa" w:w="3744"/>
          </w:tcPr>
          <w:p>
            <w:pPr>
              <w:spacing w:after="40"/>
            </w:pPr>
            <w:r>
              <w:rPr>
                <w:sz w:val="19"/>
              </w:rPr>
              <w:t>curl / openssl s_client directos</w:t>
            </w:r>
          </w:p>
        </w:tc>
        <w:tc>
          <w:tcPr>
            <w:tcW w:type="dxa" w:w="6336"/>
          </w:tcPr>
          <w:p>
            <w:pPr>
              <w:spacing w:after="40"/>
            </w:pPr>
            <w:r>
              <w:rPr>
                <w:sz w:val="19"/>
              </w:rPr>
              <w:t>Verificación de rate limiting, MaxActivationsReached, y diagnóstico de la cadena TLS Cloudflare → Tunnel → nginx</w:t>
            </w:r>
          </w:p>
        </w:tc>
      </w:tr>
    </w:tbl>
    <w:p/>
    <w:p>
      <w:r>
        <w:br w:type="page"/>
      </w:r>
    </w:p>
    <w:p>
      <w:pPr>
        <w:pStyle w:val="Heading1"/>
      </w:pPr>
      <w:r>
        <w:rPr>
          <w:color w:val="1A233A"/>
        </w:rPr>
        <w:t>8. Risk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fill="1a233a"/>
          </w:tcPr>
          <w:p>
            <w:r>
              <w:rPr>
                <w:b/>
                <w:color w:val="FFFFFF"/>
                <w:sz w:val="19"/>
              </w:rPr>
              <w:t>#</w:t>
            </w:r>
          </w:p>
        </w:tc>
        <w:tc>
          <w:tcPr>
            <w:tcW w:type="dxa" w:w="3600"/>
            <w:shd w:fill="1a233a"/>
          </w:tcPr>
          <w:p>
            <w:r>
              <w:rPr>
                <w:b/>
                <w:color w:val="FFFFFF"/>
                <w:sz w:val="19"/>
              </w:rPr>
              <w:t>Riesgo</w:t>
            </w:r>
          </w:p>
        </w:tc>
        <w:tc>
          <w:tcPr>
            <w:tcW w:type="dxa" w:w="2448"/>
            <w:shd w:fill="1a233a"/>
          </w:tcPr>
          <w:p>
            <w:r>
              <w:rPr>
                <w:b/>
                <w:color w:val="FFFFFF"/>
                <w:sz w:val="19"/>
              </w:rPr>
              <w:t>Impacto</w:t>
            </w:r>
          </w:p>
        </w:tc>
        <w:tc>
          <w:tcPr>
            <w:tcW w:type="dxa" w:w="3312"/>
            <w:shd w:fill="1a233a"/>
          </w:tcPr>
          <w:p>
            <w:r>
              <w:rPr>
                <w:b/>
                <w:color w:val="FFFFFF"/>
                <w:sz w:val="19"/>
              </w:rPr>
              <w:t>Estado al cierre</w:t>
            </w:r>
          </w:p>
        </w:tc>
      </w:tr>
      <w:tr>
        <w:tc>
          <w:tcPr>
            <w:tcW w:type="dxa" w:w="720"/>
          </w:tcPr>
          <w:p>
            <w:pPr>
              <w:spacing w:after="40"/>
            </w:pPr>
            <w:r>
              <w:rPr>
                <w:sz w:val="19"/>
              </w:rPr>
              <w:t>R-1</w:t>
            </w:r>
          </w:p>
        </w:tc>
        <w:tc>
          <w:tcPr>
            <w:tcW w:type="dxa" w:w="3600"/>
          </w:tcPr>
          <w:p>
            <w:pPr>
              <w:spacing w:after="40"/>
            </w:pPr>
            <w:r>
              <w:rPr>
                <w:sz w:val="19"/>
              </w:rPr>
              <w:t>Password de Postgres similar a la credencial histórica filtrada Test2020#</w:t>
            </w:r>
          </w:p>
        </w:tc>
        <w:tc>
          <w:tcPr>
            <w:tcW w:type="dxa" w:w="2448"/>
          </w:tcPr>
          <w:p>
            <w:pPr>
              <w:spacing w:after="40"/>
            </w:pPr>
            <w:r>
              <w:rPr>
                <w:sz w:val="19"/>
              </w:rPr>
              <w:t>Alto si se explota</w:t>
            </w:r>
          </w:p>
        </w:tc>
        <w:tc>
          <w:tcPr>
            <w:tcW w:type="dxa" w:w="3312"/>
          </w:tcPr>
          <w:p>
            <w:pPr>
              <w:spacing w:after="40"/>
            </w:pPr>
            <w:r>
              <w:rPr>
                <w:sz w:val="19"/>
              </w:rPr>
              <w:t>Abierto — rotación pospuesta por decisión del usuario. Ahora más urgente: la API es pública.</w:t>
            </w:r>
          </w:p>
        </w:tc>
      </w:tr>
      <w:tr>
        <w:tc>
          <w:tcPr>
            <w:tcW w:type="dxa" w:w="720"/>
          </w:tcPr>
          <w:p>
            <w:pPr>
              <w:spacing w:after="40"/>
            </w:pPr>
            <w:r>
              <w:rPr>
                <w:sz w:val="19"/>
              </w:rPr>
              <w:t>R-2</w:t>
            </w:r>
          </w:p>
        </w:tc>
        <w:tc>
          <w:tcPr>
            <w:tcW w:type="dxa" w:w="3600"/>
          </w:tcPr>
          <w:p>
            <w:pPr>
              <w:spacing w:after="40"/>
            </w:pPr>
            <w:r>
              <w:rPr>
                <w:sz w:val="19"/>
              </w:rPr>
              <w:t>DNS interno del LXC apuntaba a resolvers públicos temporales</w:t>
            </w:r>
          </w:p>
        </w:tc>
        <w:tc>
          <w:tcPr>
            <w:tcW w:type="dxa" w:w="2448"/>
          </w:tcPr>
          <w:p>
            <w:pPr>
              <w:spacing w:after="40"/>
            </w:pPr>
            <w:r>
              <w:rPr>
                <w:sz w:val="19"/>
              </w:rPr>
              <w:t>Medio</w:t>
            </w:r>
          </w:p>
        </w:tc>
        <w:tc>
          <w:tcPr>
            <w:tcW w:type="dxa" w:w="3312"/>
          </w:tcPr>
          <w:p>
            <w:pPr>
              <w:spacing w:after="40"/>
            </w:pPr>
            <w:r>
              <w:rPr>
                <w:sz w:val="19"/>
              </w:rPr>
              <w:t>Sin cambios reportados desde la fase anterior; revisar con el usuario.</w:t>
            </w:r>
          </w:p>
        </w:tc>
      </w:tr>
      <w:tr>
        <w:tc>
          <w:tcPr>
            <w:tcW w:type="dxa" w:w="720"/>
          </w:tcPr>
          <w:p>
            <w:pPr>
              <w:spacing w:after="40"/>
            </w:pPr>
            <w:r>
              <w:rPr>
                <w:sz w:val="19"/>
              </w:rPr>
              <w:t>R-3</w:t>
            </w:r>
          </w:p>
        </w:tc>
        <w:tc>
          <w:tcPr>
            <w:tcW w:type="dxa" w:w="3600"/>
          </w:tcPr>
          <w:p>
            <w:pPr>
              <w:spacing w:after="40"/>
            </w:pPr>
            <w:r>
              <w:rPr>
                <w:sz w:val="19"/>
              </w:rPr>
              <w:t>Certificado TLS autofirmado en el LXC</w:t>
            </w:r>
          </w:p>
        </w:tc>
        <w:tc>
          <w:tcPr>
            <w:tcW w:type="dxa" w:w="2448"/>
          </w:tcPr>
          <w:p>
            <w:pPr>
              <w:spacing w:after="40"/>
            </w:pPr>
            <w:r>
              <w:rPr>
                <w:sz w:val="19"/>
              </w:rPr>
              <w:t>Bajo</w:t>
            </w:r>
          </w:p>
        </w:tc>
        <w:tc>
          <w:tcPr>
            <w:tcW w:type="dxa" w:w="3312"/>
          </w:tcPr>
          <w:p>
            <w:pPr>
              <w:spacing w:after="40"/>
            </w:pPr>
            <w:r>
              <w:rPr>
                <w:sz w:val="19"/>
              </w:rPr>
              <w:t>CERRADO — reemplazado por Cloudflare Origin CA cert de punta a punta (CR-09).</w:t>
            </w:r>
          </w:p>
        </w:tc>
      </w:tr>
      <w:tr>
        <w:tc>
          <w:tcPr>
            <w:tcW w:type="dxa" w:w="720"/>
          </w:tcPr>
          <w:p>
            <w:pPr>
              <w:spacing w:after="40"/>
            </w:pPr>
            <w:r>
              <w:rPr>
                <w:sz w:val="19"/>
              </w:rPr>
              <w:t>R-4</w:t>
            </w:r>
          </w:p>
        </w:tc>
        <w:tc>
          <w:tcPr>
            <w:tcW w:type="dxa" w:w="3600"/>
          </w:tcPr>
          <w:p>
            <w:pPr>
              <w:spacing w:after="40"/>
            </w:pPr>
            <w:r>
              <w:rPr>
                <w:sz w:val="19"/>
              </w:rPr>
              <w:t>Sin rate limiting en /api/activate y /api/checkin</w:t>
            </w:r>
          </w:p>
        </w:tc>
        <w:tc>
          <w:tcPr>
            <w:tcW w:type="dxa" w:w="2448"/>
          </w:tcPr>
          <w:p>
            <w:pPr>
              <w:spacing w:after="40"/>
            </w:pPr>
            <w:r>
              <w:rPr>
                <w:sz w:val="19"/>
              </w:rPr>
              <w:t>Medio-Alto (API ahora pública)</w:t>
            </w:r>
          </w:p>
        </w:tc>
        <w:tc>
          <w:tcPr>
            <w:tcW w:type="dxa" w:w="3312"/>
          </w:tcPr>
          <w:p>
            <w:pPr>
              <w:spacing w:after="40"/>
            </w:pPr>
            <w:r>
              <w:rPr>
                <w:sz w:val="19"/>
              </w:rPr>
              <w:t>CERRADO — 30 req/min por IP, verificado en vivo (§6).</w:t>
            </w:r>
          </w:p>
        </w:tc>
      </w:tr>
      <w:tr>
        <w:tc>
          <w:tcPr>
            <w:tcW w:type="dxa" w:w="720"/>
          </w:tcPr>
          <w:p>
            <w:pPr>
              <w:spacing w:after="40"/>
            </w:pPr>
            <w:r>
              <w:rPr>
                <w:sz w:val="19"/>
              </w:rPr>
              <w:t>R-5</w:t>
            </w:r>
          </w:p>
        </w:tc>
        <w:tc>
          <w:tcPr>
            <w:tcW w:type="dxa" w:w="3600"/>
          </w:tcPr>
          <w:p>
            <w:pPr>
              <w:spacing w:after="40"/>
            </w:pPr>
            <w:r>
              <w:rPr>
                <w:sz w:val="19"/>
              </w:rPr>
              <w:t>Autorización basada en claims de cookie con hasta 30 min de obsolescencia</w:t>
            </w:r>
          </w:p>
        </w:tc>
        <w:tc>
          <w:tcPr>
            <w:tcW w:type="dxa" w:w="2448"/>
          </w:tcPr>
          <w:p>
            <w:pPr>
              <w:spacing w:after="40"/>
            </w:pPr>
            <w:r>
              <w:rPr>
                <w:sz w:val="19"/>
              </w:rPr>
              <w:t>Medio para escrituras irreversibles</w:t>
            </w:r>
          </w:p>
        </w:tc>
        <w:tc>
          <w:tcPr>
            <w:tcW w:type="dxa" w:w="3312"/>
          </w:tcPr>
          <w:p>
            <w:pPr>
              <w:spacing w:after="40"/>
            </w:pPr>
            <w:r>
              <w:rPr>
                <w:sz w:val="19"/>
              </w:rPr>
              <w:t>Abierto — hardening backlog #13 [PRIORIDAD], no implementado.</w:t>
            </w:r>
          </w:p>
        </w:tc>
      </w:tr>
      <w:tr>
        <w:tc>
          <w:tcPr>
            <w:tcW w:type="dxa" w:w="720"/>
          </w:tcPr>
          <w:p>
            <w:pPr>
              <w:spacing w:after="40"/>
            </w:pPr>
            <w:r>
              <w:rPr>
                <w:sz w:val="19"/>
              </w:rPr>
              <w:t>R-6</w:t>
            </w:r>
          </w:p>
        </w:tc>
        <w:tc>
          <w:tcPr>
            <w:tcW w:type="dxa" w:w="3600"/>
          </w:tcPr>
          <w:p>
            <w:pPr>
              <w:spacing w:after="40"/>
            </w:pPr>
            <w:r>
              <w:rPr>
                <w:sz w:val="19"/>
              </w:rPr>
              <w:t>Clave AES simétrica de LicensingApi debe compartirse fuera de banda con cualquier DLL cliente</w:t>
            </w:r>
          </w:p>
        </w:tc>
        <w:tc>
          <w:tcPr>
            <w:tcW w:type="dxa" w:w="2448"/>
          </w:tcPr>
          <w:p>
            <w:pPr>
              <w:spacing w:after="40"/>
            </w:pPr>
            <w:r>
              <w:rPr>
                <w:sz w:val="19"/>
              </w:rPr>
              <w:t>Medio — inherente al esquema</w:t>
            </w:r>
          </w:p>
        </w:tc>
        <w:tc>
          <w:tcPr>
            <w:tcW w:type="dxa" w:w="3312"/>
          </w:tcPr>
          <w:p>
            <w:pPr>
              <w:spacing w:after="40"/>
            </w:pPr>
            <w:r>
              <w:rPr>
                <w:sz w:val="19"/>
              </w:rPr>
              <w:t>Aceptado por diseño, documentado en la referencia de integración §5.5.</w:t>
            </w:r>
          </w:p>
        </w:tc>
      </w:tr>
      <w:tr>
        <w:tc>
          <w:tcPr>
            <w:tcW w:type="dxa" w:w="720"/>
          </w:tcPr>
          <w:p>
            <w:pPr>
              <w:spacing w:after="40"/>
            </w:pPr>
            <w:r>
              <w:rPr>
                <w:sz w:val="19"/>
              </w:rPr>
              <w:t>R-7</w:t>
            </w:r>
          </w:p>
        </w:tc>
        <w:tc>
          <w:tcPr>
            <w:tcW w:type="dxa" w:w="3600"/>
          </w:tcPr>
          <w:p>
            <w:pPr>
              <w:spacing w:after="40"/>
            </w:pPr>
            <w:r>
              <w:rPr>
                <w:sz w:val="19"/>
              </w:rPr>
              <w:t>LicensingAdmin sigue hablando directo a la BD en vez de a través de la API</w:t>
            </w:r>
          </w:p>
        </w:tc>
        <w:tc>
          <w:tcPr>
            <w:tcW w:type="dxa" w:w="2448"/>
          </w:tcPr>
          <w:p>
            <w:pPr>
              <w:spacing w:after="40"/>
            </w:pPr>
            <w:r>
              <w:rPr>
                <w:sz w:val="19"/>
              </w:rPr>
              <w:t>Bajo hoy (mismo host), mayor si algún día se separan</w:t>
            </w:r>
          </w:p>
        </w:tc>
        <w:tc>
          <w:tcPr>
            <w:tcW w:type="dxa" w:w="3312"/>
          </w:tcPr>
          <w:p>
            <w:pPr>
              <w:spacing w:after="40"/>
            </w:pPr>
            <w:r>
              <w:rPr>
                <w:sz w:val="19"/>
              </w:rPr>
              <w:t>Abierto, sin urgencia inmediata.</w:t>
            </w:r>
          </w:p>
        </w:tc>
      </w:tr>
      <w:tr>
        <w:tc>
          <w:tcPr>
            <w:tcW w:type="dxa" w:w="720"/>
          </w:tcPr>
          <w:p>
            <w:pPr>
              <w:spacing w:after="40"/>
            </w:pPr>
            <w:r>
              <w:rPr>
                <w:sz w:val="19"/>
              </w:rPr>
              <w:t>R-8</w:t>
            </w:r>
          </w:p>
        </w:tc>
        <w:tc>
          <w:tcPr>
            <w:tcW w:type="dxa" w:w="3600"/>
          </w:tcPr>
          <w:p>
            <w:pPr>
              <w:spacing w:after="40"/>
            </w:pPr>
            <w:r>
              <w:rPr>
                <w:sz w:val="19"/>
              </w:rPr>
              <w:t>El certificado Origin CA (con clave privada) se pegó en texto plano en el chat de la sesión tres veces</w:t>
            </w:r>
          </w:p>
        </w:tc>
        <w:tc>
          <w:tcPr>
            <w:tcW w:type="dxa" w:w="2448"/>
          </w:tcPr>
          <w:p>
            <w:pPr>
              <w:spacing w:after="40"/>
            </w:pPr>
            <w:r>
              <w:rPr>
                <w:sz w:val="19"/>
              </w:rPr>
              <w:t>Bajo — el material ya está instalado; el canal de chat no es persistente ni público</w:t>
            </w:r>
          </w:p>
        </w:tc>
        <w:tc>
          <w:tcPr>
            <w:tcW w:type="dxa" w:w="3312"/>
          </w:tcPr>
          <w:p>
            <w:pPr>
              <w:spacing w:after="40"/>
            </w:pPr>
            <w:r>
              <w:rPr>
                <w:sz w:val="19"/>
              </w:rPr>
              <w:t>Abierto — el usuario puede rotar los certificados desde el dashboard de Cloudflare sin downtime si lo prefiere.</w:t>
            </w:r>
          </w:p>
        </w:tc>
      </w:tr>
      <w:tr>
        <w:tc>
          <w:tcPr>
            <w:tcW w:type="dxa" w:w="720"/>
          </w:tcPr>
          <w:p>
            <w:pPr>
              <w:spacing w:after="40"/>
            </w:pPr>
            <w:r>
              <w:rPr>
                <w:sz w:val="19"/>
              </w:rPr>
              <w:t>R-9</w:t>
            </w:r>
          </w:p>
        </w:tc>
        <w:tc>
          <w:tcPr>
            <w:tcW w:type="dxa" w:w="3600"/>
          </w:tcPr>
          <w:p>
            <w:pPr>
              <w:spacing w:after="40"/>
            </w:pPr>
            <w:r>
              <w:rPr>
                <w:sz w:val="19"/>
              </w:rPr>
              <w:t>Sin backup automatizado de Postgres</w:t>
            </w:r>
          </w:p>
        </w:tc>
        <w:tc>
          <w:tcPr>
            <w:tcW w:type="dxa" w:w="2448"/>
          </w:tcPr>
          <w:p>
            <w:pPr>
              <w:spacing w:after="40"/>
            </w:pPr>
            <w:r>
              <w:rPr>
                <w:sz w:val="19"/>
              </w:rPr>
              <w:t>Medio — pérdida de datos ante fallo del host</w:t>
            </w:r>
          </w:p>
        </w:tc>
        <w:tc>
          <w:tcPr>
            <w:tcW w:type="dxa" w:w="3312"/>
          </w:tcPr>
          <w:p>
            <w:pPr>
              <w:spacing w:after="40"/>
            </w:pPr>
            <w:r>
              <w:rPr>
                <w:sz w:val="19"/>
              </w:rPr>
              <w:t>Abierto, heredado de la fase de infraestructura anterior.</w:t>
            </w:r>
          </w:p>
        </w:tc>
      </w:tr>
    </w:tbl>
    <w:p/>
    <w:p>
      <w:r>
        <w:br w:type="page"/>
      </w:r>
    </w:p>
    <w:p>
      <w:pPr>
        <w:pStyle w:val="Heading1"/>
      </w:pPr>
      <w:r>
        <w:rPr>
          <w:color w:val="1A233A"/>
        </w:rPr>
        <w:t>9. Lessons Learned</w:t>
      </w:r>
    </w:p>
    <w:p>
      <w:r>
        <w:rPr>
          <w:b/>
        </w:rPr>
        <w:t>Cero cobertura de test no es neutral — es un defecto crítico esperando su primera invocación real.</w:t>
      </w:r>
    </w:p>
    <w:p>
      <w:r>
        <w:t>LicenseFileService y ActivationService.CheckinAsync tenían código plausible, revisado, y con comentarios explicando su diseño — pero cero tests. Ambos crashearon al 100% en su primera invocación real (D-10, D-13). El patrón se repitió porque ninguno de los dos formaba parte del blueprint original con su tester obligatorio por tarea — se construyeron fuera de ese proceso. Lección operativa: cualquier código nuevo, dentro o fuera de un blueprint formal, necesita el mismo nivel de cobertura antes de considerarse terminado.</w:t>
      </w:r>
    </w:p>
    <w:p>
      <w:r>
        <w:rPr>
          <w:b/>
        </w:rPr>
        <w:t>Los tests automatizados no sustituyen la verificación contra infraestructura real — pero un arnés de prueba reutilizable sí puede acercarse.</w:t>
      </w:r>
    </w:p>
    <w:p>
      <w:r>
        <w:t>El paso manual 14 encontró D-04; la primera /api/activate real encontró D-10; escribir el test de regresión de D-11/D-12 encontró D-13 antes de que un cliente real lo hiciera. ActivationHelloWorld convierte esa verificación ad-hoc en una herramienta versionada y reutilizable para la próxima vez que cambie este código.</w:t>
      </w:r>
    </w:p>
    <w:p>
      <w:r>
        <w:rPr>
          <w:b/>
        </w:rPr>
        <w:t>Un límite de un proveedor externo (Cloudflare) puede parecer un problema de propagación cuando en realidad es un límite estructural del plan gratuito.</w:t>
      </w:r>
    </w:p>
    <w:p>
      <w:r>
        <w:t>api.licensing.miautrix.tech nunca iba a funcionar sin importar cuánto se esperara — el Universal SSL gratuito sólo cubre un nivel de subdominio. Diagnosticarlo requirió revisar el panel de Edge Certificates directamente en vez de seguir esperando; la solución (renombrar a un subdominio de un nivel) fue gratis e inmediata una vez identificado el límite real.</w:t>
      </w:r>
    </w:p>
    <w:p>
      <w:r>
        <w:rPr>
          <w:b/>
        </w:rPr>
        <w:t>Un Non-Goal documentado no es una prohibición permanente — es una decisión con fecha de revisión.</w:t>
      </w:r>
    </w:p>
    <w:p>
      <w:r>
        <w:t>Rate limiting, MaxActivations duro, TLS real, exportación a Excel y notificaciones SMTP fueron todos Non-Goals explícitos del blueprint original con una condición de revisión documentada ("antes de exponer a internet", "cuando se prioricen"). Los cinco se construyeron sin conflicto con el diseño original porque el blueprint ya había dejado la puerta abierta y documentado cuándo abrirla.</w:t>
      </w:r>
    </w:p>
    <w:p>
      <w:r>
        <w:rPr>
          <w:b/>
        </w:rPr>
        <w:t>Cambiar el checkout de trabajo (Windows → Linux) expone gotchas invisibles en Windows.</w:t>
      </w:r>
    </w:p>
    <w:p>
      <w:r>
        <w:t>CRLF vs LF, la ausencia de rsync en Git Bash, y un apóstrofo rompiendo el parser de bash dentro de comillas dobles — todos aparecieron en el primer despliegue real a Linux, ninguno se manifiesta trabajando solo en Windows.</w:t>
      </w:r>
    </w:p>
    <w:p>
      <w:r>
        <w:br w:type="page"/>
      </w:r>
    </w:p>
    <w:p>
      <w:pPr>
        <w:pStyle w:val="Heading1"/>
      </w:pPr>
      <w:r>
        <w:rPr>
          <w:color w:val="1A233A"/>
        </w:rPr>
        <w:t>10. Estado Final / Sign-off</w:t>
      </w:r>
    </w:p>
    <w:p>
      <w:r>
        <w:t>Este documento marca el cierre formal del proyecto a pedido del sponsor ("let's proceed with the closure of this project"). El sistema está en producción, público, probado de extremo a extremo con herramientas reales, y sin trabajo pendiente conocido que bloquee su operación.</w:t>
      </w:r>
    </w:p>
    <w:tbl>
      <w:tblPr>
        <w:tblStyle w:val="LightGrid-Accent1"/>
        <w:tblW w:type="auto" w:w="0"/>
        <w:jc w:val="center"/>
        <w:tblLook w:firstColumn="1" w:firstRow="1" w:lastColumn="0" w:lastRow="0" w:noHBand="0" w:noVBand="1" w:val="04A0"/>
      </w:tblPr>
      <w:tblGrid>
        <w:gridCol w:w="4320"/>
        <w:gridCol w:w="4320"/>
      </w:tblGrid>
      <w:tr>
        <w:tc>
          <w:tcPr>
            <w:tcW w:type="dxa" w:w="3600"/>
            <w:shd w:fill="1a233a"/>
          </w:tcPr>
          <w:p>
            <w:r>
              <w:rPr>
                <w:b/>
                <w:color w:val="FFFFFF"/>
                <w:sz w:val="19"/>
              </w:rPr>
              <w:t>Área</w:t>
            </w:r>
          </w:p>
        </w:tc>
        <w:tc>
          <w:tcPr>
            <w:tcW w:type="dxa" w:w="6480"/>
            <w:shd w:fill="1a233a"/>
          </w:tcPr>
          <w:p>
            <w:r>
              <w:rPr>
                <w:b/>
                <w:color w:val="FFFFFF"/>
                <w:sz w:val="19"/>
              </w:rPr>
              <w:t>Estado</w:t>
            </w:r>
          </w:p>
        </w:tc>
      </w:tr>
      <w:tr>
        <w:tc>
          <w:tcPr>
            <w:tcW w:type="dxa" w:w="3600"/>
          </w:tcPr>
          <w:p>
            <w:pPr>
              <w:spacing w:after="40"/>
            </w:pPr>
            <w:r>
              <w:rPr>
                <w:sz w:val="19"/>
              </w:rPr>
              <w:t>Slice 1 (blueprint original)</w:t>
            </w:r>
          </w:p>
        </w:tc>
        <w:tc>
          <w:tcPr>
            <w:tcW w:type="dxa" w:w="6480"/>
          </w:tcPr>
          <w:p>
            <w:pPr>
              <w:spacing w:after="40"/>
            </w:pPr>
            <w:r>
              <w:rPr>
                <w:sz w:val="19"/>
              </w:rPr>
              <w:t>Cerrado — 16/16 tareas, todas las revisiones APROBADO</w:t>
            </w:r>
          </w:p>
        </w:tc>
      </w:tr>
      <w:tr>
        <w:tc>
          <w:tcPr>
            <w:tcW w:type="dxa" w:w="3600"/>
          </w:tcPr>
          <w:p>
            <w:pPr>
              <w:spacing w:after="40"/>
            </w:pPr>
            <w:r>
              <w:rPr>
                <w:sz w:val="19"/>
              </w:rPr>
              <w:t>Repositorio</w:t>
            </w:r>
          </w:p>
        </w:tc>
        <w:tc>
          <w:tcPr>
            <w:tcW w:type="dxa" w:w="6480"/>
          </w:tcPr>
          <w:p>
            <w:pPr>
              <w:spacing w:after="40"/>
            </w:pPr>
            <w:r>
              <w:rPr>
                <w:sz w:val="19"/>
              </w:rPr>
              <w:t>GitHub privado, main actualizado con todo lo desplegado</w:t>
            </w:r>
          </w:p>
        </w:tc>
      </w:tr>
      <w:tr>
        <w:tc>
          <w:tcPr>
            <w:tcW w:type="dxa" w:w="3600"/>
          </w:tcPr>
          <w:p>
            <w:pPr>
              <w:spacing w:after="40"/>
            </w:pPr>
            <w:r>
              <w:rPr>
                <w:sz w:val="19"/>
              </w:rPr>
              <w:t>Producción</w:t>
            </w:r>
          </w:p>
        </w:tc>
        <w:tc>
          <w:tcPr>
            <w:tcW w:type="dxa" w:w="6480"/>
          </w:tcPr>
          <w:p>
            <w:pPr>
              <w:spacing w:after="40"/>
            </w:pPr>
            <w:r>
              <w:rPr>
                <w:sz w:val="19"/>
              </w:rPr>
              <w:t>LXC Debian 13 (10.11.1.41) — LicensingAdmin + LicensingApi, ambos activos</w:t>
            </w:r>
          </w:p>
        </w:tc>
      </w:tr>
      <w:tr>
        <w:tc>
          <w:tcPr>
            <w:tcW w:type="dxa" w:w="3600"/>
          </w:tcPr>
          <w:p>
            <w:pPr>
              <w:spacing w:after="40"/>
            </w:pPr>
            <w:r>
              <w:rPr>
                <w:sz w:val="19"/>
              </w:rPr>
              <w:t>Exposición pública</w:t>
            </w:r>
          </w:p>
        </w:tc>
        <w:tc>
          <w:tcPr>
            <w:tcW w:type="dxa" w:w="6480"/>
          </w:tcPr>
          <w:p>
            <w:pPr>
              <w:spacing w:after="40"/>
            </w:pPr>
            <w:r>
              <w:rPr>
                <w:sz w:val="19"/>
              </w:rPr>
              <w:t>https://licensing.miautrix.tech y https://licensing-api.miautrix.tech, TLS de punta a punta, verificado en vivo</w:t>
            </w:r>
          </w:p>
        </w:tc>
      </w:tr>
      <w:tr>
        <w:tc>
          <w:tcPr>
            <w:tcW w:type="dxa" w:w="3600"/>
          </w:tcPr>
          <w:p>
            <w:pPr>
              <w:spacing w:after="40"/>
            </w:pPr>
            <w:r>
              <w:rPr>
                <w:sz w:val="19"/>
              </w:rPr>
              <w:t>Build / Tests</w:t>
            </w:r>
          </w:p>
        </w:tc>
        <w:tc>
          <w:tcPr>
            <w:tcW w:type="dxa" w:w="6480"/>
          </w:tcPr>
          <w:p>
            <w:pPr>
              <w:spacing w:after="40"/>
            </w:pPr>
            <w:r>
              <w:rPr>
                <w:sz w:val="19"/>
              </w:rPr>
              <w:t>dotnet build -warnaserror: 0 warnings. dotnet test: 426/426, 0 skipped</w:t>
            </w:r>
          </w:p>
        </w:tc>
      </w:tr>
      <w:tr>
        <w:tc>
          <w:tcPr>
            <w:tcW w:type="dxa" w:w="3600"/>
          </w:tcPr>
          <w:p>
            <w:pPr>
              <w:spacing w:after="40"/>
            </w:pPr>
            <w:r>
              <w:rPr>
                <w:sz w:val="19"/>
              </w:rPr>
              <w:t>CR-04 a CR-09</w:t>
            </w:r>
          </w:p>
        </w:tc>
        <w:tc>
          <w:tcPr>
            <w:tcW w:type="dxa" w:w="6480"/>
          </w:tcPr>
          <w:p>
            <w:pPr>
              <w:spacing w:after="40"/>
            </w:pPr>
            <w:r>
              <w:rPr>
                <w:sz w:val="19"/>
              </w:rPr>
              <w:t>Todos cerrados</w:t>
            </w:r>
          </w:p>
        </w:tc>
      </w:tr>
      <w:tr>
        <w:tc>
          <w:tcPr>
            <w:tcW w:type="dxa" w:w="3600"/>
          </w:tcPr>
          <w:p>
            <w:pPr>
              <w:spacing w:after="40"/>
            </w:pPr>
            <w:r>
              <w:rPr>
                <w:sz w:val="19"/>
              </w:rPr>
              <w:t>Defectos</w:t>
            </w:r>
          </w:p>
        </w:tc>
        <w:tc>
          <w:tcPr>
            <w:tcW w:type="dxa" w:w="6480"/>
          </w:tcPr>
          <w:p>
            <w:pPr>
              <w:spacing w:after="40"/>
            </w:pPr>
            <w:r>
              <w:rPr>
                <w:sz w:val="19"/>
              </w:rPr>
              <w:t>16 encontrados, 16 corregidos y verificados, 0 abiertos</w:t>
            </w:r>
          </w:p>
        </w:tc>
      </w:tr>
      <w:tr>
        <w:tc>
          <w:tcPr>
            <w:tcW w:type="dxa" w:w="3600"/>
          </w:tcPr>
          <w:p>
            <w:pPr>
              <w:spacing w:after="40"/>
            </w:pPr>
            <w:r>
              <w:rPr>
                <w:sz w:val="19"/>
              </w:rPr>
              <w:t>Riesgos abiertos</w:t>
            </w:r>
          </w:p>
        </w:tc>
        <w:tc>
          <w:tcPr>
            <w:tcW w:type="dxa" w:w="6480"/>
          </w:tcPr>
          <w:p>
            <w:pPr>
              <w:spacing w:after="40"/>
            </w:pPr>
            <w:r>
              <w:rPr>
                <w:sz w:val="19"/>
              </w:rPr>
              <w:t>R-1, R-2, R-5, R-7, R-8, R-9 — ninguno bloqueante; ver §8 para detalle y prioridad sugerida</w:t>
            </w:r>
          </w:p>
        </w:tc>
      </w:tr>
    </w:tbl>
    <w:p/>
    <w:p>
      <w:r>
        <w:t>Recomendación de seguimiento post-cierre (no bloqueante): rotar la contraseña de Postgres (R-1) ahora que la API es pública, y evaluar el hardening backlog #13 (autorización fresca antes de escrituras irreversibles) si el volumen de licencias/administradores crece significativamente.</w:t>
      </w:r>
    </w:p>
    <w:p>
      <w:r>
        <w:br w:type="page"/>
      </w:r>
    </w:p>
    <w:p>
      <w:pPr>
        <w:pStyle w:val="Heading1"/>
      </w:pPr>
      <w:r>
        <w:rPr>
          <w:color w:val="1A233A"/>
        </w:rPr>
        <w:t>11. Glosario</w:t>
      </w:r>
    </w:p>
    <w:tbl>
      <w:tblPr>
        <w:tblStyle w:val="LightGrid-Accent1"/>
        <w:tblW w:type="auto" w:w="0"/>
        <w:jc w:val="center"/>
        <w:tblLook w:firstColumn="1" w:firstRow="1" w:lastColumn="0" w:lastRow="0" w:noHBand="0" w:noVBand="1" w:val="04A0"/>
      </w:tblPr>
      <w:tblGrid>
        <w:gridCol w:w="4320"/>
        <w:gridCol w:w="4320"/>
      </w:tblGrid>
      <w:tr>
        <w:tc>
          <w:tcPr>
            <w:tcW w:type="dxa" w:w="2592"/>
            <w:shd w:fill="1a233a"/>
          </w:tcPr>
          <w:p>
            <w:r>
              <w:rPr>
                <w:b/>
                <w:color w:val="FFFFFF"/>
                <w:sz w:val="19"/>
              </w:rPr>
              <w:t>Término</w:t>
            </w:r>
          </w:p>
        </w:tc>
        <w:tc>
          <w:tcPr>
            <w:tcW w:type="dxa" w:w="7488"/>
            <w:shd w:fill="1a233a"/>
          </w:tcPr>
          <w:p>
            <w:r>
              <w:rPr>
                <w:b/>
                <w:color w:val="FFFFFF"/>
                <w:sz w:val="19"/>
              </w:rPr>
              <w:t>Definición</w:t>
            </w:r>
          </w:p>
        </w:tc>
      </w:tr>
      <w:tr>
        <w:tc>
          <w:tcPr>
            <w:tcW w:type="dxa" w:w="2592"/>
          </w:tcPr>
          <w:p>
            <w:pPr>
              <w:spacing w:after="40"/>
            </w:pPr>
            <w:r>
              <w:rPr>
                <w:sz w:val="19"/>
              </w:rPr>
              <w:t>Blueprint</w:t>
            </w:r>
          </w:p>
        </w:tc>
        <w:tc>
          <w:tcPr>
            <w:tcW w:type="dxa" w:w="7488"/>
          </w:tcPr>
          <w:p>
            <w:pPr>
              <w:spacing w:after="40"/>
            </w:pPr>
            <w:r>
              <w:rPr>
                <w:sz w:val="19"/>
              </w:rPr>
              <w:t>Documento de diseño formal producido por el Arquitecto: visión, alcance, non-goals, stack, epics y tareas.</w:t>
            </w:r>
          </w:p>
        </w:tc>
      </w:tr>
      <w:tr>
        <w:tc>
          <w:tcPr>
            <w:tcW w:type="dxa" w:w="2592"/>
          </w:tcPr>
          <w:p>
            <w:pPr>
              <w:spacing w:after="40"/>
            </w:pPr>
            <w:r>
              <w:rPr>
                <w:sz w:val="19"/>
              </w:rPr>
              <w:t>Slice</w:t>
            </w:r>
          </w:p>
        </w:tc>
        <w:tc>
          <w:tcPr>
            <w:tcW w:type="dxa" w:w="7488"/>
          </w:tcPr>
          <w:p>
            <w:pPr>
              <w:spacing w:after="40"/>
            </w:pPr>
            <w:r>
              <w:rPr>
                <w:sz w:val="19"/>
              </w:rPr>
              <w:t>Un incremento de alcance completo y cerrable del backlog (el slice 1 = Epics 01+02, 16 tareas).</w:t>
            </w:r>
          </w:p>
        </w:tc>
      </w:tr>
      <w:tr>
        <w:tc>
          <w:tcPr>
            <w:tcW w:type="dxa" w:w="2592"/>
          </w:tcPr>
          <w:p>
            <w:pPr>
              <w:spacing w:after="40"/>
            </w:pPr>
            <w:r>
              <w:rPr>
                <w:sz w:val="19"/>
              </w:rPr>
              <w:t>Activation</w:t>
            </w:r>
          </w:p>
        </w:tc>
        <w:tc>
          <w:tcPr>
            <w:tcW w:type="dxa" w:w="7488"/>
          </w:tcPr>
          <w:p>
            <w:pPr>
              <w:spacing w:after="40"/>
            </w:pPr>
            <w:r>
              <w:rPr>
                <w:sz w:val="19"/>
              </w:rPr>
              <w:t>Registro de una instalación del software cliente en una máquina concreta, ligado a una License por huella de hardware.</w:t>
            </w:r>
          </w:p>
        </w:tc>
      </w:tr>
      <w:tr>
        <w:tc>
          <w:tcPr>
            <w:tcW w:type="dxa" w:w="2592"/>
          </w:tcPr>
          <w:p>
            <w:pPr>
              <w:spacing w:after="40"/>
            </w:pPr>
            <w:r>
              <w:rPr>
                <w:sz w:val="19"/>
              </w:rPr>
              <w:t>License file</w:t>
            </w:r>
          </w:p>
        </w:tc>
        <w:tc>
          <w:tcPr>
            <w:tcW w:type="dxa" w:w="7488"/>
          </w:tcPr>
          <w:p>
            <w:pPr>
              <w:spacing w:after="40"/>
            </w:pPr>
            <w:r>
              <w:rPr>
                <w:sz w:val="19"/>
              </w:rPr>
              <w:t>El sobre firmado (RSA-SHA256) y cifrado (AES-256-GCM) que el DLL cliente persiste localmente tras activar/hacer checkin.</w:t>
            </w:r>
          </w:p>
        </w:tc>
      </w:tr>
      <w:tr>
        <w:tc>
          <w:tcPr>
            <w:tcW w:type="dxa" w:w="2592"/>
          </w:tcPr>
          <w:p>
            <w:pPr>
              <w:spacing w:after="40"/>
            </w:pPr>
            <w:r>
              <w:rPr>
                <w:sz w:val="19"/>
              </w:rPr>
              <w:t>Hardware fingerprint</w:t>
            </w:r>
          </w:p>
        </w:tc>
        <w:tc>
          <w:tcPr>
            <w:tcW w:type="dxa" w:w="7488"/>
          </w:tcPr>
          <w:p>
            <w:pPr>
              <w:spacing w:after="40"/>
            </w:pPr>
            <w:r>
              <w:rPr>
                <w:sz w:val="19"/>
              </w:rPr>
              <w:t>Los 4 campos (CpuId, MotherboardSerial, TpmId, MacAddressPrimary) que definen "la misma máquina".</w:t>
            </w:r>
          </w:p>
        </w:tc>
      </w:tr>
      <w:tr>
        <w:tc>
          <w:tcPr>
            <w:tcW w:type="dxa" w:w="2592"/>
          </w:tcPr>
          <w:p>
            <w:pPr>
              <w:spacing w:after="40"/>
            </w:pPr>
            <w:r>
              <w:rPr>
                <w:sz w:val="19"/>
              </w:rPr>
              <w:t>ReviewDeadlineUtc / período de gracia</w:t>
            </w:r>
          </w:p>
        </w:tc>
        <w:tc>
          <w:tcPr>
            <w:tcW w:type="dxa" w:w="7488"/>
          </w:tcPr>
          <w:p>
            <w:pPr>
              <w:spacing w:after="40"/>
            </w:pPr>
            <w:r>
              <w:rPr>
                <w:sz w:val="19"/>
              </w:rPr>
              <w:t>Ventana de 15 días tras la cual una activación PendingReview sin resolver se bloquea (Locked/REVIEW_GRACE_ENDED) en el próximo checkin.</w:t>
            </w:r>
          </w:p>
        </w:tc>
      </w:tr>
      <w:tr>
        <w:tc>
          <w:tcPr>
            <w:tcW w:type="dxa" w:w="2592"/>
          </w:tcPr>
          <w:p>
            <w:pPr>
              <w:spacing w:after="40"/>
            </w:pPr>
            <w:r>
              <w:rPr>
                <w:sz w:val="19"/>
              </w:rPr>
              <w:t>MaxActivationsReached</w:t>
            </w:r>
          </w:p>
        </w:tc>
        <w:tc>
          <w:tcPr>
            <w:tcW w:type="dxa" w:w="7488"/>
          </w:tcPr>
          <w:p>
            <w:pPr>
              <w:spacing w:after="40"/>
            </w:pPr>
            <w:r>
              <w:rPr>
                <w:sz w:val="19"/>
              </w:rPr>
              <w:t>Rechazo duro (409) cuando una licencia ya tiene tantas activaciones Approved como su límite; no crea ninguna fila nueva.</w:t>
            </w:r>
          </w:p>
        </w:tc>
      </w:tr>
      <w:tr>
        <w:tc>
          <w:tcPr>
            <w:tcW w:type="dxa" w:w="2592"/>
          </w:tcPr>
          <w:p>
            <w:pPr>
              <w:spacing w:after="40"/>
            </w:pPr>
            <w:r>
              <w:rPr>
                <w:sz w:val="19"/>
              </w:rPr>
              <w:t>AuditLogEntry</w:t>
            </w:r>
          </w:p>
        </w:tc>
        <w:tc>
          <w:tcPr>
            <w:tcW w:type="dxa" w:w="7488"/>
          </w:tcPr>
          <w:p>
            <w:pPr>
              <w:spacing w:after="40"/>
            </w:pPr>
            <w:r>
              <w:rPr>
                <w:sz w:val="19"/>
              </w:rPr>
              <w:t>Registro inmutable de toda acción administrativa que muta datos, con el email real del actor.</w:t>
            </w:r>
          </w:p>
        </w:tc>
      </w:tr>
      <w:tr>
        <w:tc>
          <w:tcPr>
            <w:tcW w:type="dxa" w:w="2592"/>
          </w:tcPr>
          <w:p>
            <w:pPr>
              <w:spacing w:after="40"/>
            </w:pPr>
            <w:r>
              <w:rPr>
                <w:sz w:val="19"/>
              </w:rPr>
              <w:t>AuthPolicies</w:t>
            </w:r>
          </w:p>
        </w:tc>
        <w:tc>
          <w:tcPr>
            <w:tcW w:type="dxa" w:w="7488"/>
          </w:tcPr>
          <w:p>
            <w:pPr>
              <w:spacing w:after="40"/>
            </w:pPr>
            <w:r>
              <w:rPr>
                <w:sz w:val="19"/>
              </w:rPr>
              <w:t>Las 4 políticas de autorización nombradas: ViewerAccess, ReviewAccess, IssueAccess, AdminUserAccess.</w:t>
            </w:r>
          </w:p>
        </w:tc>
      </w:tr>
      <w:tr>
        <w:tc>
          <w:tcPr>
            <w:tcW w:type="dxa" w:w="2592"/>
          </w:tcPr>
          <w:p>
            <w:pPr>
              <w:spacing w:after="40"/>
            </w:pPr>
            <w:r>
              <w:rPr>
                <w:sz w:val="19"/>
              </w:rPr>
              <w:t>FallbackPolicy</w:t>
            </w:r>
          </w:p>
        </w:tc>
        <w:tc>
          <w:tcPr>
            <w:tcW w:type="dxa" w:w="7488"/>
          </w:tcPr>
          <w:p>
            <w:pPr>
              <w:spacing w:after="40"/>
            </w:pPr>
            <w:r>
              <w:rPr>
                <w:sz w:val="19"/>
              </w:rPr>
              <w:t>Política de ASP.NET Core que exige sesión autenticada en cualquier endpoint sin [Authorize]/[AllowAnonymous] explícito.</w:t>
            </w:r>
          </w:p>
        </w:tc>
      </w:tr>
      <w:tr>
        <w:tc>
          <w:tcPr>
            <w:tcW w:type="dxa" w:w="2592"/>
          </w:tcPr>
          <w:p>
            <w:pPr>
              <w:spacing w:after="40"/>
            </w:pPr>
            <w:r>
              <w:rPr>
                <w:sz w:val="19"/>
              </w:rPr>
              <w:t>Cloudflare Tunnel</w:t>
            </w:r>
          </w:p>
        </w:tc>
        <w:tc>
          <w:tcPr>
            <w:tcW w:type="dxa" w:w="7488"/>
          </w:tcPr>
          <w:p>
            <w:pPr>
              <w:spacing w:after="40"/>
            </w:pPr>
            <w:r>
              <w:rPr>
                <w:sz w:val="19"/>
              </w:rPr>
              <w:t>cloudflared corriendo en un host de la LAN (proxy-cf) que expone servicios internos a internet sin abrir puertos ni exponer IPs públicas, gestionado desde el dashboard de Cloudflare.</w:t>
            </w:r>
          </w:p>
        </w:tc>
      </w:tr>
      <w:tr>
        <w:tc>
          <w:tcPr>
            <w:tcW w:type="dxa" w:w="2592"/>
          </w:tcPr>
          <w:p>
            <w:pPr>
              <w:spacing w:after="40"/>
            </w:pPr>
            <w:r>
              <w:rPr>
                <w:sz w:val="19"/>
              </w:rPr>
              <w:t>Cloudflare Origin CA Certificate</w:t>
            </w:r>
          </w:p>
        </w:tc>
        <w:tc>
          <w:tcPr>
            <w:tcW w:type="dxa" w:w="7488"/>
          </w:tcPr>
          <w:p>
            <w:pPr>
              <w:spacing w:after="40"/>
            </w:pPr>
            <w:r>
              <w:rPr>
                <w:sz w:val="19"/>
              </w:rPr>
              <w:t>Certificado emitido por Cloudflare específicamente para el tramo Cloudflare↔origen (no para el navegador↔Cloudflare, que usa el certificado de borde de Cloudflare por separado).</w:t>
            </w:r>
          </w:p>
        </w:tc>
      </w:tr>
      <w:tr>
        <w:tc>
          <w:tcPr>
            <w:tcW w:type="dxa" w:w="2592"/>
          </w:tcPr>
          <w:p>
            <w:pPr>
              <w:spacing w:after="40"/>
            </w:pPr>
            <w:r>
              <w:rPr>
                <w:sz w:val="19"/>
              </w:rPr>
              <w:t>ActivationHelloWorld</w:t>
            </w:r>
          </w:p>
        </w:tc>
        <w:tc>
          <w:tcPr>
            <w:tcW w:type="dxa" w:w="7488"/>
          </w:tcPr>
          <w:p>
            <w:pPr>
              <w:spacing w:after="40"/>
            </w:pPr>
            <w:r>
              <w:rPr>
                <w:sz w:val="19"/>
              </w:rPr>
              <w:t>Consola .NET Windows, versionada en el repo, que ejercita /api/activate y /api/checkin exactamente como un DLL cliente real — usada para probar el ciclo de vida completo contra producción.</w:t>
            </w:r>
          </w:p>
        </w:tc>
      </w:tr>
      <w:tr>
        <w:tc>
          <w:tcPr>
            <w:tcW w:type="dxa" w:w="2592"/>
          </w:tcPr>
          <w:p>
            <w:pPr>
              <w:spacing w:after="40"/>
            </w:pPr>
            <w:r>
              <w:rPr>
                <w:sz w:val="19"/>
              </w:rPr>
              <w:t>Hardening backlog</w:t>
            </w:r>
          </w:p>
        </w:tc>
        <w:tc>
          <w:tcPr>
            <w:tcW w:type="dxa" w:w="7488"/>
          </w:tcPr>
          <w:p>
            <w:pPr>
              <w:spacing w:after="40"/>
            </w:pPr>
            <w:r>
              <w:rPr>
                <w:sz w:val="19"/>
              </w:rPr>
              <w:t>Lista numerada (§20.3/§20.4 en status/licensing-system.md) de hallazgos de seguridad aceptados como diseño o diferidos.</w:t>
            </w:r>
          </w:p>
        </w:tc>
      </w:tr>
      <w:tr>
        <w:tc>
          <w:tcPr>
            <w:tcW w:type="dxa" w:w="2592"/>
          </w:tcPr>
          <w:p>
            <w:pPr>
              <w:spacing w:after="40"/>
            </w:pPr>
            <w:r>
              <w:rPr>
                <w:sz w:val="19"/>
              </w:rPr>
              <w:t>Non-Goal</w:t>
            </w:r>
          </w:p>
        </w:tc>
        <w:tc>
          <w:tcPr>
            <w:tcW w:type="dxa" w:w="7488"/>
          </w:tcPr>
          <w:p>
            <w:pPr>
              <w:spacing w:after="40"/>
            </w:pPr>
            <w:r>
              <w:rPr>
                <w:sz w:val="19"/>
              </w:rPr>
              <w:t>Ítem explícitamente fuera de alcance en el blueprint, con una condición documentada de cuándo revisarlo.</w:t>
            </w:r>
          </w:p>
        </w:tc>
      </w:tr>
      <w:tr>
        <w:tc>
          <w:tcPr>
            <w:tcW w:type="dxa" w:w="2592"/>
          </w:tcPr>
          <w:p>
            <w:pPr>
              <w:spacing w:after="40"/>
            </w:pPr>
            <w:r>
              <w:rPr>
                <w:sz w:val="19"/>
              </w:rPr>
              <w:t>dev-team</w:t>
            </w:r>
          </w:p>
        </w:tc>
        <w:tc>
          <w:tcPr>
            <w:tcW w:type="dxa" w:w="7488"/>
          </w:tcPr>
          <w:p>
            <w:pPr>
              <w:spacing w:after="40"/>
            </w:pPr>
            <w:r>
              <w:rPr>
                <w:sz w:val="19"/>
              </w:rPr>
              <w:t>Repositorio Git separado que sirve de "sistema operativo" del equipo: coordinación, reviews, status, blueprints — no contiene código del producto.</w:t>
            </w:r>
          </w:p>
        </w:tc>
      </w:tr>
    </w:tbl>
    <w:p/>
    <w:p/>
    <w:p>
      <w:r>
        <w:rPr>
          <w:i/>
          <w:color w:val="555555"/>
          <w:sz w:val="17"/>
        </w:rPr>
        <w:t>Fuentes primarias de este documento: docs/blueprint/blueprint.md, docs/blueprint/epics/01-fundamentos.md, docs/blueprint/epics/02-auth-y-licencias.md, docs/activation-dll-integration-reference.md, tasks.json (repo licensing-system); status/licensing-system.md, team/inbox-arq.md, team/inbox-dev.md, review/*.md (repo dev-team); y el historial completo de esta sesión de trabajo, incluida la verificación en vivo con ActivationHelloWorld y las pruebas contra producción vía curl/openssl.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