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33A"/>
          <w:sz w:val="60"/>
        </w:rPr>
        <w:t>Licensing System</w:t>
      </w:r>
    </w:p>
    <w:p>
      <w:pPr>
        <w:jc w:val="center"/>
      </w:pPr>
      <w:r>
        <w:rPr>
          <w:color w:val="6366F1"/>
          <w:sz w:val="32"/>
        </w:rPr>
        <w:t>Documento de Proyecto (estilo PMI/PMBOK)</w:t>
      </w:r>
    </w:p>
    <w:p>
      <w:pPr>
        <w:jc w:val="center"/>
      </w:pPr>
      <w:r>
        <w:rPr>
          <w:color w:val="555555"/>
          <w:sz w:val="20"/>
        </w:rPr>
        <w:t>Cubre desde el blueprint original (2026-09-02) hasta el paquete de mejoras de usabilidad E3 (2026-09-13)</w:t>
        <w:br/>
        <w:t>Generado: 2026-09-13  ·  Repositorio: github.com/comarcat/licensing-system</w:t>
      </w:r>
    </w:p>
    <w:p>
      <w:r>
        <w:br w:type="page"/>
      </w:r>
    </w:p>
    <w:p>
      <w:pPr>
        <w:pStyle w:val="Heading1"/>
      </w:pPr>
      <w:r>
        <w:rPr>
          <w:color w:val="1A233A"/>
        </w:rPr>
        <w:t>1. Project Charter — Resumen Ejecutivo</w:t>
      </w:r>
    </w:p>
    <w:p>
      <w:r>
        <w:t>Licensing System es un sistema de licenciamiento de software para un vendor: una API de activación (LicensingApi) que las herramientas cliente consumen para activar y validar licencias por huella de hardware; un panel de administración Blazor Server (LicensingAdmin) para emitir licencias, revisar activaciones y gestionar administradores; y una biblioteca compartida (LicensingCore) con las entidades y el acceso a datos. Corre sobre PostgreSQL.</w:t>
      </w:r>
    </w:p>
    <w:p>
      <w:r>
        <w:t>El proyecto arrancó como un cambio brownfield sobre una solución .NET 8 ya existente pero sin autenticación real, con una credencial de base de datos en texto plano en el repositorio, y sin forma de emitir licencias desde la interfaz. El Arquitecto (rol IA, plugin "The Architect") diseñó un blueprint formal el 2026-09-02 (docs/blueprint/blueprint.md) que este documento trata como el Statement of Work (SoW) original — ver §2.</w:t>
      </w:r>
    </w:p>
    <w:p>
      <w:r>
        <w:t>Desde el cierre del slice 1 (2026-09-03), el proyecto se movió de un checkout LAN a GitHub privado, adoptó un tema visual ("Lustro", glassmorphism oscuro), se desplegó por primera vez en infraestructura real (un contenedor LXC Debian 13) y recibió un paquete de 7 mejoras de usabilidad pedidas directamente por el sponsor tras ver el sistema funcionando en vivo. Cada uno de esos hitos se documenta como Change Request en §4.</w:t>
      </w:r>
    </w:p>
    <w:p>
      <w:pPr>
        <w:pStyle w:val="Heading2"/>
      </w:pPr>
      <w:r>
        <w:rPr>
          <w:color w:val="1A233A"/>
        </w:rPr>
        <w:t>1.1 Roles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fill="1a233a"/>
          </w:tcPr>
          <w:p>
            <w:r>
              <w:rPr>
                <w:b/>
                <w:color w:val="FFFFFF"/>
                <w:sz w:val="19"/>
              </w:rPr>
              <w:t>Rol</w:t>
            </w:r>
          </w:p>
        </w:tc>
        <w:tc>
          <w:tcPr>
            <w:tcW w:type="dxa" w:w="2880"/>
            <w:shd w:fill="1a233a"/>
          </w:tcPr>
          <w:p>
            <w:r>
              <w:rPr>
                <w:b/>
                <w:color w:val="FFFFFF"/>
                <w:sz w:val="19"/>
              </w:rPr>
              <w:t>Quién / qué</w:t>
            </w:r>
          </w:p>
        </w:tc>
        <w:tc>
          <w:tcPr>
            <w:tcW w:type="dxa" w:w="4752"/>
            <w:shd w:fill="1a233a"/>
          </w:tcPr>
          <w:p>
            <w:r>
              <w:rPr>
                <w:b/>
                <w:color w:val="FFFFFF"/>
                <w:sz w:val="19"/>
              </w:rPr>
              <w:t>Responsabilidad</w:t>
            </w:r>
          </w:p>
        </w:tc>
      </w:tr>
      <w:tr>
        <w:tc>
          <w:tcPr>
            <w:tcW w:type="dxa" w:w="2448"/>
          </w:tcPr>
          <w:p>
            <w:pPr>
              <w:spacing w:after="40"/>
            </w:pPr>
            <w:r>
              <w:rPr>
                <w:sz w:val="19"/>
              </w:rPr>
              <w:t>Sponsor / Product Owner</w:t>
            </w:r>
          </w:p>
        </w:tc>
        <w:tc>
          <w:tcPr>
            <w:tcW w:type="dxa" w:w="2880"/>
          </w:tcPr>
          <w:p>
            <w:pPr>
              <w:spacing w:after="40"/>
            </w:pPr>
            <w:r>
              <w:rPr>
                <w:sz w:val="19"/>
              </w:rPr>
              <w:t>Usuario (comarcat)</w:t>
            </w:r>
          </w:p>
        </w:tc>
        <w:tc>
          <w:tcPr>
            <w:tcW w:type="dxa" w:w="4752"/>
          </w:tcPr>
          <w:p>
            <w:pPr>
              <w:spacing w:after="40"/>
            </w:pPr>
            <w:r>
              <w:rPr>
                <w:sz w:val="19"/>
              </w:rPr>
              <w:t>Define alcance, prioriza, aprueba cambios, opera el sistema en producción</w:t>
            </w:r>
          </w:p>
        </w:tc>
      </w:tr>
      <w:tr>
        <w:tc>
          <w:tcPr>
            <w:tcW w:type="dxa" w:w="2448"/>
          </w:tcPr>
          <w:p>
            <w:pPr>
              <w:spacing w:after="40"/>
            </w:pPr>
            <w:r>
              <w:rPr>
                <w:sz w:val="19"/>
              </w:rPr>
              <w:t>Arquitecto</w:t>
            </w:r>
          </w:p>
        </w:tc>
        <w:tc>
          <w:tcPr>
            <w:tcW w:type="dxa" w:w="2880"/>
          </w:tcPr>
          <w:p>
            <w:pPr>
              <w:spacing w:after="40"/>
            </w:pPr>
            <w:r>
              <w:rPr>
                <w:sz w:val="19"/>
              </w:rPr>
              <w:t>Sesión IA en nodo `arq` (skill the-architect)</w:t>
            </w:r>
          </w:p>
        </w:tc>
        <w:tc>
          <w:tcPr>
            <w:tcW w:type="dxa" w:w="4752"/>
          </w:tcPr>
          <w:p>
            <w:pPr>
              <w:spacing w:after="40"/>
            </w:pPr>
            <w:r>
              <w:rPr>
                <w:sz w:val="19"/>
              </w:rPr>
              <w:t>Diseña el blueprint, epics, tasks.json; revisa cada tarea (`review/*.md`)</w:t>
            </w:r>
          </w:p>
        </w:tc>
      </w:tr>
      <w:tr>
        <w:tc>
          <w:tcPr>
            <w:tcW w:type="dxa" w:w="2448"/>
          </w:tcPr>
          <w:p>
            <w:pPr>
              <w:spacing w:after="40"/>
            </w:pPr>
            <w:r>
              <w:rPr>
                <w:sz w:val="19"/>
              </w:rPr>
              <w:t>Builder / Lead de integración</w:t>
            </w:r>
          </w:p>
        </w:tc>
        <w:tc>
          <w:tcPr>
            <w:tcW w:type="dxa" w:w="2880"/>
          </w:tcPr>
          <w:p>
            <w:pPr>
              <w:spacing w:after="40"/>
            </w:pPr>
            <w:r>
              <w:rPr>
                <w:sz w:val="19"/>
              </w:rPr>
              <w:t>Sesión IA en nodo `dev` (este documento)</w:t>
            </w:r>
          </w:p>
        </w:tc>
        <w:tc>
          <w:tcPr>
            <w:tcW w:type="dxa" w:w="4752"/>
          </w:tcPr>
          <w:p>
            <w:pPr>
              <w:spacing w:after="40"/>
            </w:pPr>
            <w:r>
              <w:rPr>
                <w:sz w:val="19"/>
              </w:rPr>
              <w:t>Implementa, corre security-auditor + tester, mergea, despliega</w:t>
            </w:r>
          </w:p>
        </w:tc>
      </w:tr>
      <w:tr>
        <w:tc>
          <w:tcPr>
            <w:tcW w:type="dxa" w:w="2448"/>
          </w:tcPr>
          <w:p>
            <w:pPr>
              <w:spacing w:after="40"/>
            </w:pPr>
            <w:r>
              <w:rPr>
                <w:sz w:val="19"/>
              </w:rPr>
              <w:t>Subagentes</w:t>
            </w:r>
          </w:p>
        </w:tc>
        <w:tc>
          <w:tcPr>
            <w:tcW w:type="dxa" w:w="2880"/>
          </w:tcPr>
          <w:p>
            <w:pPr>
              <w:spacing w:after="40"/>
            </w:pPr>
            <w:r>
              <w:rPr>
                <w:sz w:val="19"/>
              </w:rPr>
              <w:t>security-auditor, tester</w:t>
            </w:r>
          </w:p>
        </w:tc>
        <w:tc>
          <w:tcPr>
            <w:tcW w:type="dxa" w:w="4752"/>
          </w:tcPr>
          <w:p>
            <w:pPr>
              <w:spacing w:after="40"/>
            </w:pPr>
            <w:r>
              <w:rPr>
                <w:sz w:val="19"/>
              </w:rPr>
              <w:t>Auditoría de seguridad y estrategia de pruebas por tarea</w:t>
            </w:r>
          </w:p>
        </w:tc>
      </w:tr>
    </w:tbl>
    <w:p/>
    <w:p>
      <w:pPr>
        <w:pStyle w:val="Heading2"/>
      </w:pPr>
      <w:r>
        <w:rPr>
          <w:color w:val="1A233A"/>
        </w:rPr>
        <w:t>1.2 Estado actual (a la fecha de este documento)</w:t>
      </w:r>
    </w:p>
    <w:tbl>
      <w:tblPr>
        <w:tblStyle w:val="LightGrid-Accent1"/>
        <w:tblW w:type="auto" w:w="0"/>
        <w:jc w:val="center"/>
        <w:tblLook w:firstColumn="1" w:firstRow="1" w:lastColumn="0" w:lastRow="0" w:noHBand="0" w:noVBand="1" w:val="04A0"/>
      </w:tblPr>
      <w:tblGrid>
        <w:gridCol w:w="4320"/>
        <w:gridCol w:w="4320"/>
      </w:tblGrid>
      <w:tr>
        <w:tc>
          <w:tcPr>
            <w:tcW w:type="dxa" w:w="5040"/>
            <w:shd w:fill="1a233a"/>
          </w:tcPr>
          <w:p>
            <w:r>
              <w:rPr>
                <w:b/>
                <w:color w:val="FFFFFF"/>
                <w:sz w:val="19"/>
              </w:rPr>
              <w:t>Indicador</w:t>
            </w:r>
          </w:p>
        </w:tc>
        <w:tc>
          <w:tcPr>
            <w:tcW w:type="dxa" w:w="5040"/>
            <w:shd w:fill="1a233a"/>
          </w:tcPr>
          <w:p>
            <w:r>
              <w:rPr>
                <w:b/>
                <w:color w:val="FFFFFF"/>
                <w:sz w:val="19"/>
              </w:rPr>
              <w:t>Valor</w:t>
            </w:r>
          </w:p>
        </w:tc>
      </w:tr>
      <w:tr>
        <w:tc>
          <w:tcPr>
            <w:tcW w:type="dxa" w:w="5040"/>
          </w:tcPr>
          <w:p>
            <w:pPr>
              <w:spacing w:after="40"/>
            </w:pPr>
            <w:r>
              <w:rPr>
                <w:sz w:val="19"/>
              </w:rPr>
              <w:t>Tareas del blueprint original (Epics 01-02)</w:t>
            </w:r>
          </w:p>
        </w:tc>
        <w:tc>
          <w:tcPr>
            <w:tcW w:type="dxa" w:w="5040"/>
          </w:tcPr>
          <w:p>
            <w:pPr>
              <w:spacing w:after="40"/>
            </w:pPr>
            <w:r>
              <w:rPr>
                <w:sz w:val="19"/>
              </w:rPr>
              <w:t>16/16 done, mergeadas a main</w:t>
            </w:r>
          </w:p>
        </w:tc>
      </w:tr>
      <w:tr>
        <w:tc>
          <w:tcPr>
            <w:tcW w:type="dxa" w:w="5040"/>
          </w:tcPr>
          <w:p>
            <w:pPr>
              <w:spacing w:after="40"/>
            </w:pPr>
            <w:r>
              <w:rPr>
                <w:sz w:val="19"/>
              </w:rPr>
              <w:t>Tests automatizados</w:t>
            </w:r>
          </w:p>
        </w:tc>
        <w:tc>
          <w:tcPr>
            <w:tcW w:type="dxa" w:w="5040"/>
          </w:tcPr>
          <w:p>
            <w:pPr>
              <w:spacing w:after="40"/>
            </w:pPr>
            <w:r>
              <w:rPr>
                <w:sz w:val="19"/>
              </w:rPr>
              <w:t>381/381 pasando (0 skipped)</w:t>
            </w:r>
          </w:p>
        </w:tc>
      </w:tr>
      <w:tr>
        <w:tc>
          <w:tcPr>
            <w:tcW w:type="dxa" w:w="5040"/>
          </w:tcPr>
          <w:p>
            <w:pPr>
              <w:spacing w:after="40"/>
            </w:pPr>
            <w:r>
              <w:rPr>
                <w:sz w:val="19"/>
              </w:rPr>
              <w:t>Build</w:t>
            </w:r>
          </w:p>
        </w:tc>
        <w:tc>
          <w:tcPr>
            <w:tcW w:type="dxa" w:w="5040"/>
          </w:tcPr>
          <w:p>
            <w:pPr>
              <w:spacing w:after="40"/>
            </w:pPr>
            <w:r>
              <w:rPr>
                <w:sz w:val="19"/>
              </w:rPr>
              <w:t>`dotnet build -warnaserror` — 0 warnings</w:t>
            </w:r>
          </w:p>
        </w:tc>
      </w:tr>
      <w:tr>
        <w:tc>
          <w:tcPr>
            <w:tcW w:type="dxa" w:w="5040"/>
          </w:tcPr>
          <w:p>
            <w:pPr>
              <w:spacing w:after="40"/>
            </w:pPr>
            <w:r>
              <w:rPr>
                <w:sz w:val="19"/>
              </w:rPr>
              <w:t>Despliegue</w:t>
            </w:r>
          </w:p>
        </w:tc>
        <w:tc>
          <w:tcPr>
            <w:tcW w:type="dxa" w:w="5040"/>
          </w:tcPr>
          <w:p>
            <w:pPr>
              <w:spacing w:after="40"/>
            </w:pPr>
            <w:r>
              <w:rPr>
                <w:sz w:val="19"/>
              </w:rPr>
              <w:t>LXC Debian 13 (10.11.1.41) — LicensingAdmin (HTTPS, cert autofirmado) + LicensingApi</w:t>
            </w:r>
          </w:p>
        </w:tc>
      </w:tr>
      <w:tr>
        <w:tc>
          <w:tcPr>
            <w:tcW w:type="dxa" w:w="5040"/>
          </w:tcPr>
          <w:p>
            <w:pPr>
              <w:spacing w:after="40"/>
            </w:pPr>
            <w:r>
              <w:rPr>
                <w:sz w:val="19"/>
              </w:rPr>
              <w:t>Repositorio</w:t>
            </w:r>
          </w:p>
        </w:tc>
        <w:tc>
          <w:tcPr>
            <w:tcW w:type="dxa" w:w="5040"/>
          </w:tcPr>
          <w:p>
            <w:pPr>
              <w:spacing w:after="40"/>
            </w:pPr>
            <w:r>
              <w:rPr>
                <w:sz w:val="19"/>
              </w:rPr>
              <w:t>GitHub privado (github.com/comarcat/licensing-system), main actualizado 2026-09-13</w:t>
            </w:r>
          </w:p>
        </w:tc>
      </w:tr>
      <w:tr>
        <w:tc>
          <w:tcPr>
            <w:tcW w:type="dxa" w:w="5040"/>
          </w:tcPr>
          <w:p>
            <w:pPr>
              <w:spacing w:after="40"/>
            </w:pPr>
            <w:r>
              <w:rPr>
                <w:sz w:val="19"/>
              </w:rPr>
              <w:t>Change Requests post-cierre de slice 1</w:t>
            </w:r>
          </w:p>
        </w:tc>
        <w:tc>
          <w:tcPr>
            <w:tcW w:type="dxa" w:w="5040"/>
          </w:tcPr>
          <w:p>
            <w:pPr>
              <w:spacing w:after="40"/>
            </w:pPr>
            <w:r>
              <w:rPr>
                <w:sz w:val="19"/>
              </w:rPr>
              <w:t>5 (ver §4)</w:t>
            </w:r>
          </w:p>
        </w:tc>
      </w:tr>
      <w:tr>
        <w:tc>
          <w:tcPr>
            <w:tcW w:type="dxa" w:w="5040"/>
          </w:tcPr>
          <w:p>
            <w:pPr>
              <w:spacing w:after="40"/>
            </w:pPr>
            <w:r>
              <w:rPr>
                <w:sz w:val="19"/>
              </w:rPr>
              <w:t>Defectos reales encontrados y corregidos</w:t>
            </w:r>
          </w:p>
        </w:tc>
        <w:tc>
          <w:tcPr>
            <w:tcW w:type="dxa" w:w="5040"/>
          </w:tcPr>
          <w:p>
            <w:pPr>
              <w:spacing w:after="40"/>
            </w:pPr>
            <w:r>
              <w:rPr>
                <w:sz w:val="19"/>
              </w:rPr>
              <w:t>9 (ver §5)</w:t>
            </w:r>
          </w:p>
        </w:tc>
      </w:tr>
    </w:tbl>
    <w:p/>
    <w:p>
      <w:r>
        <w:br w:type="page"/>
      </w:r>
    </w:p>
    <w:p>
      <w:pPr>
        <w:pStyle w:val="Heading1"/>
      </w:pPr>
      <w:r>
        <w:rPr>
          <w:color w:val="1A233A"/>
        </w:rPr>
        <w:t>2. Scope Statement — SoW Original (Slice 1)</w:t>
      </w:r>
    </w:p>
    <w:p>
      <w:r>
        <w:t>Extraído literalmente de docs/blueprint/blueprint.md (generado por el Arquitecto, 2026-09-02). Este es el contrato de alcance contra el que se juzga el slice 1.</w:t>
      </w:r>
    </w:p>
    <w:p>
      <w:pPr>
        <w:pStyle w:val="Heading2"/>
      </w:pPr>
      <w:r>
        <w:rPr>
          <w:color w:val="1A233A"/>
        </w:rPr>
        <w:t>2.1 Alcance declarado</w:t>
      </w:r>
    </w:p>
    <w:p>
      <w:pPr>
        <w:pStyle w:val="ListBullet"/>
      </w:pPr>
      <w:r>
        <w:t>Sacar la credencial de base de datos en texto plano de ambos appsettings.json y de los README.</w:t>
      </w:r>
    </w:p>
    <w:p>
      <w:pPr>
        <w:pStyle w:val="ListBullet"/>
      </w:pPr>
      <w:r>
        <w:t>Autenticación real de administradores contra la tabla admin_users existente, con autorización server-side en cada pantalla y cada acción que muta datos.</w:t>
      </w:r>
    </w:p>
    <w:p>
      <w:pPr>
        <w:pStyle w:val="ListBullet"/>
      </w:pPr>
      <w:r>
        <w:t>Una pantalla "Generar nueva licencia" que emite una clave firmada (RSA-SHA256) verificable sin conexión.</w:t>
      </w:r>
    </w:p>
    <w:p>
      <w:pPr>
        <w:pStyle w:val="ListBullet"/>
      </w:pPr>
      <w:r>
        <w:t>Seed de arranque del primer administrador + pantalla de gestión de administradores restringida a SuperAdmin.</w:t>
      </w:r>
    </w:p>
    <w:p>
      <w:r>
        <w:t>El blueprint es explícito: "El slice es aditivo: no cambia el esquema de base de datos ni ningún contrato de cara al DLL de activación."</w:t>
      </w:r>
    </w:p>
    <w:p>
      <w:pPr>
        <w:pStyle w:val="Heading2"/>
      </w:pPr>
      <w:r>
        <w:rPr>
          <w:color w:val="1A233A"/>
        </w:rPr>
        <w:t>2.2 Non-Goals explícitos del slice 1</w:t>
      </w:r>
    </w:p>
    <w:p>
      <w:r>
        <w:t>Estos ítems fueron deliberadamente excluidos del alcance original. Dos de ellos (marcados *) se convirtieron después en Change Requests reales — ver §4.</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fill="1a233a"/>
          </w:tcPr>
          <w:p>
            <w:r>
              <w:rPr>
                <w:b/>
                <w:color w:val="FFFFFF"/>
                <w:sz w:val="19"/>
              </w:rPr>
              <w:t>No se construía</w:t>
            </w:r>
          </w:p>
        </w:tc>
        <w:tc>
          <w:tcPr>
            <w:tcW w:type="dxa" w:w="3456"/>
            <w:shd w:fill="1a233a"/>
          </w:tcPr>
          <w:p>
            <w:r>
              <w:rPr>
                <w:b/>
                <w:color w:val="FFFFFF"/>
                <w:sz w:val="19"/>
              </w:rPr>
              <w:t>Por qué no entonces</w:t>
            </w:r>
          </w:p>
        </w:tc>
        <w:tc>
          <w:tcPr>
            <w:tcW w:type="dxa" w:w="2880"/>
            <w:shd w:fill="1a233a"/>
          </w:tcPr>
          <w:p>
            <w:r>
              <w:rPr>
                <w:b/>
                <w:color w:val="FFFFFF"/>
                <w:sz w:val="19"/>
              </w:rPr>
              <w:t>Revisar cuando</w:t>
            </w:r>
          </w:p>
        </w:tc>
      </w:tr>
      <w:tr>
        <w:tc>
          <w:tcPr>
            <w:tcW w:type="dxa" w:w="3744"/>
          </w:tcPr>
          <w:p>
            <w:pPr>
              <w:spacing w:after="40"/>
            </w:pPr>
            <w:r>
              <w:rPr>
                <w:sz w:val="19"/>
              </w:rPr>
              <w:t>Pantalla de Reportes / exportación PDF·XLS *</w:t>
            </w:r>
          </w:p>
        </w:tc>
        <w:tc>
          <w:tcPr>
            <w:tcW w:type="dxa" w:w="3456"/>
          </w:tcPr>
          <w:p>
            <w:pPr>
              <w:spacing w:after="40"/>
            </w:pPr>
            <w:r>
              <w:rPr>
                <w:sz w:val="19"/>
              </w:rPr>
              <w:t>Nadie la había pedido con datos concretos</w:t>
            </w:r>
          </w:p>
        </w:tc>
        <w:tc>
          <w:tcPr>
            <w:tcW w:type="dxa" w:w="2880"/>
          </w:tcPr>
          <w:p>
            <w:pPr>
              <w:spacing w:after="40"/>
            </w:pPr>
            <w:r>
              <w:rPr>
                <w:sz w:val="19"/>
              </w:rPr>
              <w:t>Compliance pida exportaciones</w:t>
            </w:r>
          </w:p>
        </w:tc>
      </w:tr>
      <w:tr>
        <w:tc>
          <w:tcPr>
            <w:tcW w:type="dxa" w:w="3744"/>
          </w:tcPr>
          <w:p>
            <w:pPr>
              <w:spacing w:after="40"/>
            </w:pPr>
            <w:r>
              <w:rPr>
                <w:sz w:val="19"/>
              </w:rPr>
              <w:t>Pantalla de Notification Settings (SMTP) *</w:t>
            </w:r>
          </w:p>
        </w:tc>
        <w:tc>
          <w:tcPr>
            <w:tcW w:type="dxa" w:w="3456"/>
          </w:tcPr>
          <w:p>
            <w:pPr>
              <w:spacing w:after="40"/>
            </w:pPr>
            <w:r>
              <w:rPr>
                <w:sz w:val="19"/>
              </w:rPr>
              <w:t>El envío de correos no estaba priorizado</w:t>
            </w:r>
          </w:p>
        </w:tc>
        <w:tc>
          <w:tcPr>
            <w:tcW w:type="dxa" w:w="2880"/>
          </w:tcPr>
          <w:p>
            <w:pPr>
              <w:spacing w:after="40"/>
            </w:pPr>
            <w:r>
              <w:rPr>
                <w:sz w:val="19"/>
              </w:rPr>
              <w:t>Se prioricen las notificaciones</w:t>
            </w:r>
          </w:p>
        </w:tc>
      </w:tr>
      <w:tr>
        <w:tc>
          <w:tcPr>
            <w:tcW w:type="dxa" w:w="3744"/>
          </w:tcPr>
          <w:p>
            <w:pPr>
              <w:spacing w:after="40"/>
            </w:pPr>
            <w:r>
              <w:rPr>
                <w:sz w:val="19"/>
              </w:rPr>
              <w:t>Rate limiting en /api/activate y /api/checkin</w:t>
            </w:r>
          </w:p>
        </w:tc>
        <w:tc>
          <w:tcPr>
            <w:tcW w:type="dxa" w:w="3456"/>
          </w:tcPr>
          <w:p>
            <w:pPr>
              <w:spacing w:after="40"/>
            </w:pPr>
            <w:r>
              <w:rPr>
                <w:sz w:val="19"/>
              </w:rPr>
              <w:t>API aún no expuesta a internet</w:t>
            </w:r>
          </w:p>
        </w:tc>
        <w:tc>
          <w:tcPr>
            <w:tcW w:type="dxa" w:w="2880"/>
          </w:tcPr>
          <w:p>
            <w:pPr>
              <w:spacing w:after="40"/>
            </w:pPr>
            <w:r>
              <w:rPr>
                <w:sz w:val="19"/>
              </w:rPr>
              <w:t>Antes de exponer la API a internet</w:t>
            </w:r>
          </w:p>
        </w:tc>
      </w:tr>
      <w:tr>
        <w:tc>
          <w:tcPr>
            <w:tcW w:type="dxa" w:w="3744"/>
          </w:tcPr>
          <w:p>
            <w:pPr>
              <w:spacing w:after="40"/>
            </w:pPr>
            <w:r>
              <w:rPr>
                <w:sz w:val="19"/>
              </w:rPr>
              <w:t>Admin llamando a endpoints de la API en vez de la BD directo</w:t>
            </w:r>
          </w:p>
        </w:tc>
        <w:tc>
          <w:tcPr>
            <w:tcW w:type="dxa" w:w="3456"/>
          </w:tcPr>
          <w:p>
            <w:pPr>
              <w:spacing w:after="40"/>
            </w:pPr>
            <w:r>
              <w:rPr>
                <w:sz w:val="19"/>
              </w:rPr>
              <w:t>Ambas apps comparten host</w:t>
            </w:r>
          </w:p>
        </w:tc>
        <w:tc>
          <w:tcPr>
            <w:tcW w:type="dxa" w:w="2880"/>
          </w:tcPr>
          <w:p>
            <w:pPr>
              <w:spacing w:after="40"/>
            </w:pPr>
            <w:r>
              <w:rPr>
                <w:sz w:val="19"/>
              </w:rPr>
              <w:t>Admin y API se separen de host</w:t>
            </w:r>
          </w:p>
        </w:tc>
      </w:tr>
      <w:tr>
        <w:tc>
          <w:tcPr>
            <w:tcW w:type="dxa" w:w="3744"/>
          </w:tcPr>
          <w:p>
            <w:pPr>
              <w:spacing w:after="40"/>
            </w:pPr>
            <w:r>
              <w:rPr>
                <w:sz w:val="19"/>
              </w:rPr>
              <w:t>Migraciones EF Core reales (vs. SQL a mano)</w:t>
            </w:r>
          </w:p>
        </w:tc>
        <w:tc>
          <w:tcPr>
            <w:tcW w:type="dxa" w:w="3456"/>
          </w:tcPr>
          <w:p>
            <w:pPr>
              <w:spacing w:after="40"/>
            </w:pPr>
            <w:r>
              <w:rPr>
                <w:sz w:val="19"/>
              </w:rPr>
              <w:t>Este slice no cambia el esquema</w:t>
            </w:r>
          </w:p>
        </w:tc>
        <w:tc>
          <w:tcPr>
            <w:tcW w:type="dxa" w:w="2880"/>
          </w:tcPr>
          <w:p>
            <w:pPr>
              <w:spacing w:after="40"/>
            </w:pPr>
            <w:r>
              <w:rPr>
                <w:sz w:val="19"/>
              </w:rPr>
              <w:t>Un slice necesite cambio de esquema real</w:t>
            </w:r>
          </w:p>
        </w:tc>
      </w:tr>
      <w:tr>
        <w:tc>
          <w:tcPr>
            <w:tcW w:type="dxa" w:w="3744"/>
          </w:tcPr>
          <w:p>
            <w:pPr>
              <w:spacing w:after="40"/>
            </w:pPr>
            <w:r>
              <w:rPr>
                <w:sz w:val="19"/>
              </w:rPr>
              <w:t>Cambios al contrato /activate, /checkin, ResultCode, license file, regex de clave</w:t>
            </w:r>
          </w:p>
        </w:tc>
        <w:tc>
          <w:tcPr>
            <w:tcW w:type="dxa" w:w="3456"/>
          </w:tcPr>
          <w:p>
            <w:pPr>
              <w:spacing w:after="40"/>
            </w:pPr>
            <w:r>
              <w:rPr>
                <w:sz w:val="19"/>
              </w:rPr>
              <w:t>Contrato de cable congelado con el DLL cliente</w:t>
            </w:r>
          </w:p>
        </w:tc>
        <w:tc>
          <w:tcPr>
            <w:tcW w:type="dxa" w:w="2880"/>
          </w:tcPr>
          <w:p>
            <w:pPr>
              <w:spacing w:after="40"/>
            </w:pPr>
            <w:r>
              <w:rPr>
                <w:sz w:val="19"/>
              </w:rPr>
              <w:t>Nunca dentro de este slice</w:t>
            </w:r>
          </w:p>
        </w:tc>
      </w:tr>
      <w:tr>
        <w:tc>
          <w:tcPr>
            <w:tcW w:type="dxa" w:w="3744"/>
          </w:tcPr>
          <w:p>
            <w:pPr>
              <w:spacing w:after="40"/>
            </w:pPr>
            <w:r>
              <w:rPr>
                <w:sz w:val="19"/>
              </w:rPr>
              <w:t>Suite automatizada de accesibilidad</w:t>
            </w:r>
          </w:p>
        </w:tc>
        <w:tc>
          <w:tcPr>
            <w:tcW w:type="dxa" w:w="3456"/>
          </w:tcPr>
          <w:p>
            <w:pPr>
              <w:spacing w:after="40"/>
            </w:pPr>
            <w:r>
              <w:rPr>
                <w:sz w:val="19"/>
              </w:rPr>
              <w:t>Coste alto para el valor de este slice</w:t>
            </w:r>
          </w:p>
        </w:tc>
        <w:tc>
          <w:tcPr>
            <w:tcW w:type="dxa" w:w="2880"/>
          </w:tcPr>
          <w:p>
            <w:pPr>
              <w:spacing w:after="40"/>
            </w:pPr>
            <w:r>
              <w:rPr>
                <w:sz w:val="19"/>
              </w:rPr>
              <w:t>El panel crezca a un público más amplio</w:t>
            </w:r>
          </w:p>
        </w:tc>
      </w:tr>
      <w:tr>
        <w:tc>
          <w:tcPr>
            <w:tcW w:type="dxa" w:w="3744"/>
          </w:tcPr>
          <w:p>
            <w:pPr>
              <w:spacing w:after="40"/>
            </w:pPr>
            <w:r>
              <w:rPr>
                <w:sz w:val="19"/>
              </w:rPr>
              <w:t>Tests de integración contra Postgres real</w:t>
            </w:r>
          </w:p>
        </w:tc>
        <w:tc>
          <w:tcPr>
            <w:tcW w:type="dxa" w:w="3456"/>
          </w:tcPr>
          <w:p>
            <w:pPr>
              <w:spacing w:after="40"/>
            </w:pPr>
            <w:r>
              <w:rPr>
                <w:sz w:val="19"/>
              </w:rPr>
              <w:t>Se prefirió tests unitarios + fakes</w:t>
            </w:r>
          </w:p>
        </w:tc>
        <w:tc>
          <w:tcPr>
            <w:tcW w:type="dxa" w:w="2880"/>
          </w:tcPr>
          <w:p>
            <w:pPr>
              <w:spacing w:after="40"/>
            </w:pPr>
            <w:r>
              <w:rPr>
                <w:sz w:val="19"/>
              </w:rPr>
              <w:t>Un slice necesite garantías end-to-end</w:t>
            </w:r>
          </w:p>
        </w:tc>
      </w:tr>
    </w:tbl>
    <w:p/>
    <w:p>
      <w:pPr>
        <w:pStyle w:val="Heading2"/>
      </w:pPr>
      <w:r>
        <w:rPr>
          <w:color w:val="1A233A"/>
        </w:rPr>
        <w:t>2.3 Métricas de éxito declaradas</w:t>
      </w:r>
    </w:p>
    <w:tbl>
      <w:tblPr>
        <w:tblStyle w:val="LightGrid-Accent1"/>
        <w:tblW w:type="auto" w:w="0"/>
        <w:jc w:val="center"/>
        <w:tblLook w:firstColumn="1" w:firstRow="1" w:lastColumn="0" w:lastRow="0" w:noHBand="0" w:noVBand="1" w:val="04A0"/>
      </w:tblPr>
      <w:tblGrid>
        <w:gridCol w:w="2880"/>
        <w:gridCol w:w="2880"/>
        <w:gridCol w:w="2880"/>
      </w:tblGrid>
      <w:tr>
        <w:tc>
          <w:tcPr>
            <w:tcW w:type="dxa" w:w="4608"/>
            <w:shd w:fill="1a233a"/>
          </w:tcPr>
          <w:p>
            <w:r>
              <w:rPr>
                <w:b/>
                <w:color w:val="FFFFFF"/>
                <w:sz w:val="19"/>
              </w:rPr>
              <w:t>Métrica</w:t>
            </w:r>
          </w:p>
        </w:tc>
        <w:tc>
          <w:tcPr>
            <w:tcW w:type="dxa" w:w="1872"/>
            <w:shd w:fill="1a233a"/>
          </w:tcPr>
          <w:p>
            <w:r>
              <w:rPr>
                <w:b/>
                <w:color w:val="FFFFFF"/>
                <w:sz w:val="19"/>
              </w:rPr>
              <w:t>Objetivo</w:t>
            </w:r>
          </w:p>
        </w:tc>
        <w:tc>
          <w:tcPr>
            <w:tcW w:type="dxa" w:w="3600"/>
            <w:shd w:fill="1a233a"/>
          </w:tcPr>
          <w:p>
            <w:r>
              <w:rPr>
                <w:b/>
                <w:color w:val="FFFFFF"/>
                <w:sz w:val="19"/>
              </w:rPr>
              <w:t>Resultado real al cierre</w:t>
            </w:r>
          </w:p>
        </w:tc>
      </w:tr>
      <w:tr>
        <w:tc>
          <w:tcPr>
            <w:tcW w:type="dxa" w:w="4608"/>
          </w:tcPr>
          <w:p>
            <w:pPr>
              <w:spacing w:after="40"/>
            </w:pPr>
            <w:r>
              <w:rPr>
                <w:sz w:val="19"/>
              </w:rPr>
              <w:t>Credenciales en texto plano en archivos rastreados</w:t>
            </w:r>
          </w:p>
        </w:tc>
        <w:tc>
          <w:tcPr>
            <w:tcW w:type="dxa" w:w="1872"/>
          </w:tcPr>
          <w:p>
            <w:pPr>
              <w:spacing w:after="40"/>
            </w:pPr>
            <w:r>
              <w:rPr>
                <w:sz w:val="19"/>
              </w:rPr>
              <w:t>0</w:t>
            </w:r>
          </w:p>
        </w:tc>
        <w:tc>
          <w:tcPr>
            <w:tcW w:type="dxa" w:w="3600"/>
          </w:tcPr>
          <w:p>
            <w:pPr>
              <w:spacing w:after="40"/>
            </w:pPr>
            <w:r>
              <w:rPr>
                <w:sz w:val="19"/>
              </w:rPr>
              <w:t>0 — `git grep` exit 1</w:t>
            </w:r>
          </w:p>
        </w:tc>
      </w:tr>
      <w:tr>
        <w:tc>
          <w:tcPr>
            <w:tcW w:type="dxa" w:w="4608"/>
          </w:tcPr>
          <w:p>
            <w:pPr>
              <w:spacing w:after="40"/>
            </w:pPr>
            <w:r>
              <w:rPr>
                <w:sz w:val="19"/>
              </w:rPr>
              <w:t>Acciones admin que mutan datos sin AuditLogEntry</w:t>
            </w:r>
          </w:p>
        </w:tc>
        <w:tc>
          <w:tcPr>
            <w:tcW w:type="dxa" w:w="1872"/>
          </w:tcPr>
          <w:p>
            <w:pPr>
              <w:spacing w:after="40"/>
            </w:pPr>
            <w:r>
              <w:rPr>
                <w:sz w:val="19"/>
              </w:rPr>
              <w:t>0</w:t>
            </w:r>
          </w:p>
        </w:tc>
        <w:tc>
          <w:tcPr>
            <w:tcW w:type="dxa" w:w="3600"/>
          </w:tcPr>
          <w:p>
            <w:pPr>
              <w:spacing w:after="40"/>
            </w:pPr>
            <w:r>
              <w:rPr>
                <w:sz w:val="19"/>
              </w:rPr>
              <w:t>0 — verificado por revisión + tests</w:t>
            </w:r>
          </w:p>
        </w:tc>
      </w:tr>
      <w:tr>
        <w:tc>
          <w:tcPr>
            <w:tcW w:type="dxa" w:w="4608"/>
          </w:tcPr>
          <w:p>
            <w:pPr>
              <w:spacing w:after="40"/>
            </w:pPr>
            <w:r>
              <w:rPr>
                <w:sz w:val="19"/>
              </w:rPr>
              <w:t>Aprobaciones con revisor literal "support-staff@vendor.com"</w:t>
            </w:r>
          </w:p>
        </w:tc>
        <w:tc>
          <w:tcPr>
            <w:tcW w:type="dxa" w:w="1872"/>
          </w:tcPr>
          <w:p>
            <w:pPr>
              <w:spacing w:after="40"/>
            </w:pPr>
            <w:r>
              <w:rPr>
                <w:sz w:val="19"/>
              </w:rPr>
              <w:t>0</w:t>
            </w:r>
          </w:p>
        </w:tc>
        <w:tc>
          <w:tcPr>
            <w:tcW w:type="dxa" w:w="3600"/>
          </w:tcPr>
          <w:p>
            <w:pPr>
              <w:spacing w:after="40"/>
            </w:pPr>
            <w:r>
              <w:rPr>
                <w:sz w:val="19"/>
              </w:rPr>
              <w:t>0 — reemplazado por email real del admin autenticado</w:t>
            </w:r>
          </w:p>
        </w:tc>
      </w:tr>
      <w:tr>
        <w:tc>
          <w:tcPr>
            <w:tcW w:type="dxa" w:w="4608"/>
          </w:tcPr>
          <w:p>
            <w:pPr>
              <w:spacing w:after="40"/>
            </w:pPr>
            <w:r>
              <w:rPr>
                <w:sz w:val="19"/>
              </w:rPr>
              <w:t>Rutas protegidas que sirven contenido anónimo</w:t>
            </w:r>
          </w:p>
        </w:tc>
        <w:tc>
          <w:tcPr>
            <w:tcW w:type="dxa" w:w="1872"/>
          </w:tcPr>
          <w:p>
            <w:pPr>
              <w:spacing w:after="40"/>
            </w:pPr>
            <w:r>
              <w:rPr>
                <w:sz w:val="19"/>
              </w:rPr>
              <w:t>0</w:t>
            </w:r>
          </w:p>
        </w:tc>
        <w:tc>
          <w:tcPr>
            <w:tcW w:type="dxa" w:w="3600"/>
          </w:tcPr>
          <w:p>
            <w:pPr>
              <w:spacing w:after="40"/>
            </w:pPr>
            <w:r>
              <w:rPr>
                <w:sz w:val="19"/>
              </w:rPr>
              <w:t>0 — AuthorizationPipelineTests</w:t>
            </w:r>
          </w:p>
        </w:tc>
      </w:tr>
    </w:tbl>
    <w:p/>
    <w:p>
      <w:r>
        <w:br w:type="page"/>
      </w:r>
    </w:p>
    <w:p>
      <w:pPr>
        <w:pStyle w:val="Heading1"/>
      </w:pPr>
      <w:r>
        <w:rPr>
          <w:color w:val="1A233A"/>
        </w:rPr>
        <w:t>3. Work Breakdown Structure (WBS)</w:t>
      </w:r>
    </w:p>
    <w:p>
      <w:pPr>
        <w:pStyle w:val="Heading2"/>
      </w:pPr>
      <w:r>
        <w:rPr>
          <w:color w:val="1A233A"/>
        </w:rPr>
        <w:t>3.1 Epic 01 — Fundamentos (8 tareas, todas done)</w:t>
      </w:r>
    </w:p>
    <w:tbl>
      <w:tblPr>
        <w:tblStyle w:val="LightGrid-Accent1"/>
        <w:tblW w:type="auto" w:w="0"/>
        <w:jc w:val="center"/>
        <w:tblLook w:firstColumn="1" w:firstRow="1" w:lastColumn="0" w:lastRow="0" w:noHBand="0" w:noVBand="1" w:val="04A0"/>
      </w:tblPr>
      <w:tblGrid>
        <w:gridCol w:w="4320"/>
        <w:gridCol w:w="4320"/>
      </w:tblGrid>
      <w:tr>
        <w:tc>
          <w:tcPr>
            <w:tcW w:type="dxa" w:w="1440"/>
            <w:shd w:fill="1a233a"/>
          </w:tcPr>
          <w:p>
            <w:r>
              <w:rPr>
                <w:b/>
                <w:color w:val="FFFFFF"/>
                <w:sz w:val="19"/>
              </w:rPr>
              <w:t>ID</w:t>
            </w:r>
          </w:p>
        </w:tc>
        <w:tc>
          <w:tcPr>
            <w:tcW w:type="dxa" w:w="8640"/>
            <w:shd w:fill="1a233a"/>
          </w:tcPr>
          <w:p>
            <w:r>
              <w:rPr>
                <w:b/>
                <w:color w:val="FFFFFF"/>
                <w:sz w:val="19"/>
              </w:rPr>
              <w:t>Tarea</w:t>
            </w:r>
          </w:p>
        </w:tc>
      </w:tr>
      <w:tr>
        <w:tc>
          <w:tcPr>
            <w:tcW w:type="dxa" w:w="1440"/>
          </w:tcPr>
          <w:p>
            <w:pPr>
              <w:spacing w:after="40"/>
            </w:pPr>
            <w:r>
              <w:rPr>
                <w:sz w:val="19"/>
              </w:rPr>
              <w:t>E1-T1</w:t>
            </w:r>
          </w:p>
        </w:tc>
        <w:tc>
          <w:tcPr>
            <w:tcW w:type="dxa" w:w="8640"/>
          </w:tcPr>
          <w:p>
            <w:pPr>
              <w:spacing w:after="40"/>
            </w:pPr>
            <w:r>
              <w:rPr>
                <w:sz w:val="19"/>
              </w:rPr>
              <w:t>Scaffold LicensingSystem.Tests y wiring en la solución</w:t>
            </w:r>
          </w:p>
        </w:tc>
      </w:tr>
      <w:tr>
        <w:tc>
          <w:tcPr>
            <w:tcW w:type="dxa" w:w="1440"/>
          </w:tcPr>
          <w:p>
            <w:pPr>
              <w:spacing w:after="40"/>
            </w:pPr>
            <w:r>
              <w:rPr>
                <w:sz w:val="19"/>
              </w:rPr>
              <w:t>E1-T2</w:t>
            </w:r>
          </w:p>
        </w:tc>
        <w:tc>
          <w:tcPr>
            <w:tcW w:type="dxa" w:w="8640"/>
          </w:tcPr>
          <w:p>
            <w:pPr>
              <w:spacing w:after="40"/>
            </w:pPr>
            <w:r>
              <w:rPr>
                <w:sz w:val="19"/>
              </w:rPr>
              <w:t>Guardián de cadena de conexión (fail-closed al arranque)</w:t>
            </w:r>
          </w:p>
        </w:tc>
      </w:tr>
      <w:tr>
        <w:tc>
          <w:tcPr>
            <w:tcW w:type="dxa" w:w="1440"/>
          </w:tcPr>
          <w:p>
            <w:pPr>
              <w:spacing w:after="40"/>
            </w:pPr>
            <w:r>
              <w:rPr>
                <w:sz w:val="19"/>
              </w:rPr>
              <w:t>E1-T3</w:t>
            </w:r>
          </w:p>
        </w:tc>
        <w:tc>
          <w:tcPr>
            <w:tcW w:type="dxa" w:w="8640"/>
          </w:tcPr>
          <w:p>
            <w:pPr>
              <w:spacing w:after="40"/>
            </w:pPr>
            <w:r>
              <w:rPr>
                <w:sz w:val="19"/>
              </w:rPr>
              <w:t>Sacar la credencial en texto plano del repo</w:t>
            </w:r>
          </w:p>
        </w:tc>
      </w:tr>
      <w:tr>
        <w:tc>
          <w:tcPr>
            <w:tcW w:type="dxa" w:w="1440"/>
          </w:tcPr>
          <w:p>
            <w:pPr>
              <w:spacing w:after="40"/>
            </w:pPr>
            <w:r>
              <w:rPr>
                <w:sz w:val="19"/>
              </w:rPr>
              <w:t>E1-T4</w:t>
            </w:r>
          </w:p>
        </w:tc>
        <w:tc>
          <w:tcPr>
            <w:tcW w:type="dxa" w:w="8640"/>
          </w:tcPr>
          <w:p>
            <w:pPr>
              <w:spacing w:after="40"/>
            </w:pPr>
            <w:r>
              <w:rPr>
                <w:sz w:val="19"/>
              </w:rPr>
              <w:t>Generador de clave de licencia (LicensingCore)</w:t>
            </w:r>
          </w:p>
        </w:tc>
      </w:tr>
      <w:tr>
        <w:tc>
          <w:tcPr>
            <w:tcW w:type="dxa" w:w="1440"/>
          </w:tcPr>
          <w:p>
            <w:pPr>
              <w:spacing w:after="40"/>
            </w:pPr>
            <w:r>
              <w:rPr>
                <w:sz w:val="19"/>
              </w:rPr>
              <w:t>E1-T5</w:t>
            </w:r>
          </w:p>
        </w:tc>
        <w:tc>
          <w:tcPr>
            <w:tcW w:type="dxa" w:w="8640"/>
          </w:tcPr>
          <w:p>
            <w:pPr>
              <w:spacing w:after="40"/>
            </w:pPr>
            <w:r>
              <w:rPr>
                <w:sz w:val="19"/>
              </w:rPr>
              <w:t>Firmador de licencia RSA-SHA256 (LicensingCore)</w:t>
            </w:r>
          </w:p>
        </w:tc>
      </w:tr>
      <w:tr>
        <w:tc>
          <w:tcPr>
            <w:tcW w:type="dxa" w:w="1440"/>
          </w:tcPr>
          <w:p>
            <w:pPr>
              <w:spacing w:after="40"/>
            </w:pPr>
            <w:r>
              <w:rPr>
                <w:sz w:val="19"/>
              </w:rPr>
              <w:t>E1-T6</w:t>
            </w:r>
          </w:p>
        </w:tc>
        <w:tc>
          <w:tcPr>
            <w:tcW w:type="dxa" w:w="8640"/>
          </w:tcPr>
          <w:p>
            <w:pPr>
              <w:spacing w:after="40"/>
            </w:pPr>
            <w:r>
              <w:rPr>
                <w:sz w:val="19"/>
              </w:rPr>
              <w:t>Cablear firmador + configuración cripto en LicensingAdmin</w:t>
            </w:r>
          </w:p>
        </w:tc>
      </w:tr>
      <w:tr>
        <w:tc>
          <w:tcPr>
            <w:tcW w:type="dxa" w:w="1440"/>
          </w:tcPr>
          <w:p>
            <w:pPr>
              <w:spacing w:after="40"/>
            </w:pPr>
            <w:r>
              <w:rPr>
                <w:sz w:val="19"/>
              </w:rPr>
              <w:t>E1-T7</w:t>
            </w:r>
          </w:p>
        </w:tc>
        <w:tc>
          <w:tcPr>
            <w:tcW w:type="dxa" w:w="8640"/>
          </w:tcPr>
          <w:p>
            <w:pPr>
              <w:spacing w:after="40"/>
            </w:pPr>
            <w:r>
              <w:rPr>
                <w:sz w:val="19"/>
              </w:rPr>
              <w:t>Servicio de hashing de contraseñas (PBKDF2, 210k iteraciones)</w:t>
            </w:r>
          </w:p>
        </w:tc>
      </w:tr>
      <w:tr>
        <w:tc>
          <w:tcPr>
            <w:tcW w:type="dxa" w:w="1440"/>
          </w:tcPr>
          <w:p>
            <w:pPr>
              <w:spacing w:after="40"/>
            </w:pPr>
            <w:r>
              <w:rPr>
                <w:sz w:val="19"/>
              </w:rPr>
              <w:t>E1-T8</w:t>
            </w:r>
          </w:p>
        </w:tc>
        <w:tc>
          <w:tcPr>
            <w:tcW w:type="dxa" w:w="8640"/>
          </w:tcPr>
          <w:p>
            <w:pPr>
              <w:spacing w:after="40"/>
            </w:pPr>
            <w:r>
              <w:rPr>
                <w:sz w:val="19"/>
              </w:rPr>
              <w:t>Cookie auth + políticas + fallback policy + shell de autenticación</w:t>
            </w:r>
          </w:p>
        </w:tc>
      </w:tr>
    </w:tbl>
    <w:p/>
    <w:p>
      <w:pPr>
        <w:pStyle w:val="Heading2"/>
      </w:pPr>
      <w:r>
        <w:rPr>
          <w:color w:val="1A233A"/>
        </w:rPr>
        <w:t>3.2 Epic 02 — Autenticación y Licencias (8 tareas, todas done)</w:t>
      </w:r>
    </w:p>
    <w:tbl>
      <w:tblPr>
        <w:tblStyle w:val="LightGrid-Accent1"/>
        <w:tblW w:type="auto" w:w="0"/>
        <w:jc w:val="center"/>
        <w:tblLook w:firstColumn="1" w:firstRow="1" w:lastColumn="0" w:lastRow="0" w:noHBand="0" w:noVBand="1" w:val="04A0"/>
      </w:tblPr>
      <w:tblGrid>
        <w:gridCol w:w="4320"/>
        <w:gridCol w:w="4320"/>
      </w:tblGrid>
      <w:tr>
        <w:tc>
          <w:tcPr>
            <w:tcW w:type="dxa" w:w="1440"/>
            <w:shd w:fill="1a233a"/>
          </w:tcPr>
          <w:p>
            <w:r>
              <w:rPr>
                <w:b/>
                <w:color w:val="FFFFFF"/>
                <w:sz w:val="19"/>
              </w:rPr>
              <w:t>ID</w:t>
            </w:r>
          </w:p>
        </w:tc>
        <w:tc>
          <w:tcPr>
            <w:tcW w:type="dxa" w:w="8640"/>
            <w:shd w:fill="1a233a"/>
          </w:tcPr>
          <w:p>
            <w:r>
              <w:rPr>
                <w:b/>
                <w:color w:val="FFFFFF"/>
                <w:sz w:val="19"/>
              </w:rPr>
              <w:t>Tarea</w:t>
            </w:r>
          </w:p>
        </w:tc>
      </w:tr>
      <w:tr>
        <w:tc>
          <w:tcPr>
            <w:tcW w:type="dxa" w:w="1440"/>
          </w:tcPr>
          <w:p>
            <w:pPr>
              <w:spacing w:after="40"/>
            </w:pPr>
            <w:r>
              <w:rPr>
                <w:sz w:val="19"/>
              </w:rPr>
              <w:t>E2-T1</w:t>
            </w:r>
          </w:p>
        </w:tc>
        <w:tc>
          <w:tcPr>
            <w:tcW w:type="dxa" w:w="8640"/>
          </w:tcPr>
          <w:p>
            <w:pPr>
              <w:spacing w:after="40"/>
            </w:pPr>
            <w:r>
              <w:rPr>
                <w:sz w:val="19"/>
              </w:rPr>
              <w:t>Auth-state provider + servicio de credenciales</w:t>
            </w:r>
          </w:p>
        </w:tc>
      </w:tr>
      <w:tr>
        <w:tc>
          <w:tcPr>
            <w:tcW w:type="dxa" w:w="1440"/>
          </w:tcPr>
          <w:p>
            <w:pPr>
              <w:spacing w:after="40"/>
            </w:pPr>
            <w:r>
              <w:rPr>
                <w:sz w:val="19"/>
              </w:rPr>
              <w:t>E2-T2</w:t>
            </w:r>
          </w:p>
        </w:tc>
        <w:tc>
          <w:tcPr>
            <w:tcW w:type="dxa" w:w="8640"/>
          </w:tcPr>
          <w:p>
            <w:pPr>
              <w:spacing w:after="40"/>
            </w:pPr>
            <w:r>
              <w:rPr>
                <w:sz w:val="19"/>
              </w:rPr>
              <w:t>Páginas Razor de login/logout + test de pipeline de autorización</w:t>
            </w:r>
          </w:p>
        </w:tc>
      </w:tr>
      <w:tr>
        <w:tc>
          <w:tcPr>
            <w:tcW w:type="dxa" w:w="1440"/>
          </w:tcPr>
          <w:p>
            <w:pPr>
              <w:spacing w:after="40"/>
            </w:pPr>
            <w:r>
              <w:rPr>
                <w:sz w:val="19"/>
              </w:rPr>
              <w:t>E2-T3</w:t>
            </w:r>
          </w:p>
        </w:tc>
        <w:tc>
          <w:tcPr>
            <w:tcW w:type="dxa" w:w="8640"/>
          </w:tcPr>
          <w:p>
            <w:pPr>
              <w:spacing w:after="40"/>
            </w:pPr>
            <w:r>
              <w:rPr>
                <w:sz w:val="19"/>
              </w:rPr>
              <w:t>Seeder del primer SuperAdmin</w:t>
            </w:r>
          </w:p>
        </w:tc>
      </w:tr>
      <w:tr>
        <w:tc>
          <w:tcPr>
            <w:tcW w:type="dxa" w:w="1440"/>
          </w:tcPr>
          <w:p>
            <w:pPr>
              <w:spacing w:after="40"/>
            </w:pPr>
            <w:r>
              <w:rPr>
                <w:sz w:val="19"/>
              </w:rPr>
              <w:t>E2-T4</w:t>
            </w:r>
          </w:p>
        </w:tc>
        <w:tc>
          <w:tcPr>
            <w:tcW w:type="dxa" w:w="8640"/>
          </w:tcPr>
          <w:p>
            <w:pPr>
              <w:spacing w:after="40"/>
            </w:pPr>
            <w:r>
              <w:rPr>
                <w:sz w:val="19"/>
              </w:rPr>
              <w:t>Proteger pantallas existentes + revisor real (no más literal hardcodeado)</w:t>
            </w:r>
          </w:p>
        </w:tc>
      </w:tr>
      <w:tr>
        <w:tc>
          <w:tcPr>
            <w:tcW w:type="dxa" w:w="1440"/>
          </w:tcPr>
          <w:p>
            <w:pPr>
              <w:spacing w:after="40"/>
            </w:pPr>
            <w:r>
              <w:rPr>
                <w:sz w:val="19"/>
              </w:rPr>
              <w:t>E2-T5</w:t>
            </w:r>
          </w:p>
        </w:tc>
        <w:tc>
          <w:tcPr>
            <w:tcW w:type="dxa" w:w="8640"/>
          </w:tcPr>
          <w:p>
            <w:pPr>
              <w:spacing w:after="40"/>
            </w:pPr>
            <w:r>
              <w:rPr>
                <w:sz w:val="19"/>
              </w:rPr>
              <w:t>Servicio de emisión de licencias</w:t>
            </w:r>
          </w:p>
        </w:tc>
      </w:tr>
      <w:tr>
        <w:tc>
          <w:tcPr>
            <w:tcW w:type="dxa" w:w="1440"/>
          </w:tcPr>
          <w:p>
            <w:pPr>
              <w:spacing w:after="40"/>
            </w:pPr>
            <w:r>
              <w:rPr>
                <w:sz w:val="19"/>
              </w:rPr>
              <w:t>E2-T6</w:t>
            </w:r>
          </w:p>
        </w:tc>
        <w:tc>
          <w:tcPr>
            <w:tcW w:type="dxa" w:w="8640"/>
          </w:tcPr>
          <w:p>
            <w:pPr>
              <w:spacing w:after="40"/>
            </w:pPr>
            <w:r>
              <w:rPr>
                <w:sz w:val="19"/>
              </w:rPr>
              <w:t>Pantalla "Generar nueva licencia" + shell de MainLayout</w:t>
            </w:r>
          </w:p>
        </w:tc>
      </w:tr>
      <w:tr>
        <w:tc>
          <w:tcPr>
            <w:tcW w:type="dxa" w:w="1440"/>
          </w:tcPr>
          <w:p>
            <w:pPr>
              <w:spacing w:after="40"/>
            </w:pPr>
            <w:r>
              <w:rPr>
                <w:sz w:val="19"/>
              </w:rPr>
              <w:t>E2-T7</w:t>
            </w:r>
          </w:p>
        </w:tc>
        <w:tc>
          <w:tcPr>
            <w:tcW w:type="dxa" w:w="8640"/>
          </w:tcPr>
          <w:p>
            <w:pPr>
              <w:spacing w:after="40"/>
            </w:pPr>
            <w:r>
              <w:rPr>
                <w:sz w:val="19"/>
              </w:rPr>
              <w:t>Pantalla de administradores</w:t>
            </w:r>
          </w:p>
        </w:tc>
      </w:tr>
      <w:tr>
        <w:tc>
          <w:tcPr>
            <w:tcW w:type="dxa" w:w="1440"/>
          </w:tcPr>
          <w:p>
            <w:pPr>
              <w:spacing w:after="40"/>
            </w:pPr>
            <w:r>
              <w:rPr>
                <w:sz w:val="19"/>
              </w:rPr>
              <w:t>E2-T8</w:t>
            </w:r>
          </w:p>
        </w:tc>
        <w:tc>
          <w:tcPr>
            <w:tcW w:type="dxa" w:w="8640"/>
          </w:tcPr>
          <w:p>
            <w:pPr>
              <w:spacing w:after="40"/>
            </w:pPr>
            <w:r>
              <w:rPr>
                <w:sz w:val="19"/>
              </w:rPr>
              <w:t>Smoke de solución + regresión + auditoría de checkpoints (cierre del slice)</w:t>
            </w:r>
          </w:p>
        </w:tc>
      </w:tr>
    </w:tbl>
    <w:p/>
    <w:p>
      <w:pPr>
        <w:pStyle w:val="Heading2"/>
      </w:pPr>
      <w:r>
        <w:rPr>
          <w:color w:val="1A233A"/>
        </w:rPr>
        <w:t>3.3 Trabajo posterior al cierre del slice 1 (fuera del blueprint original)</w:t>
      </w:r>
    </w:p>
    <w:tbl>
      <w:tblPr>
        <w:tblStyle w:val="LightGrid-Accent1"/>
        <w:tblW w:type="auto" w:w="0"/>
        <w:jc w:val="center"/>
        <w:tblLook w:firstColumn="1" w:firstRow="1" w:lastColumn="0" w:lastRow="0" w:noHBand="0" w:noVBand="1" w:val="04A0"/>
      </w:tblPr>
      <w:tblGrid>
        <w:gridCol w:w="4320"/>
        <w:gridCol w:w="4320"/>
      </w:tblGrid>
      <w:tr>
        <w:tc>
          <w:tcPr>
            <w:tcW w:type="dxa" w:w="3312"/>
            <w:shd w:fill="1a233a"/>
          </w:tcPr>
          <w:p>
            <w:r>
              <w:rPr>
                <w:b/>
                <w:color w:val="FFFFFF"/>
                <w:sz w:val="19"/>
              </w:rPr>
              <w:t>Bloque</w:t>
            </w:r>
          </w:p>
        </w:tc>
        <w:tc>
          <w:tcPr>
            <w:tcW w:type="dxa" w:w="6768"/>
            <w:shd w:fill="1a233a"/>
          </w:tcPr>
          <w:p>
            <w:r>
              <w:rPr>
                <w:b/>
                <w:color w:val="FFFFFF"/>
                <w:sz w:val="19"/>
              </w:rPr>
              <w:t>Entregable principal</w:t>
            </w:r>
          </w:p>
        </w:tc>
      </w:tr>
      <w:tr>
        <w:tc>
          <w:tcPr>
            <w:tcW w:type="dxa" w:w="3312"/>
          </w:tcPr>
          <w:p>
            <w:pPr>
              <w:spacing w:after="40"/>
            </w:pPr>
            <w:r>
              <w:rPr>
                <w:sz w:val="19"/>
              </w:rPr>
              <w:t>Migración a GitHub</w:t>
            </w:r>
          </w:p>
        </w:tc>
        <w:tc>
          <w:tcPr>
            <w:tcW w:type="dxa" w:w="6768"/>
          </w:tcPr>
          <w:p>
            <w:pPr>
              <w:spacing w:after="40"/>
            </w:pPr>
            <w:r>
              <w:rPr>
                <w:sz w:val="19"/>
              </w:rPr>
              <w:t>Historial purgado (git filter-repo), 16 tags reconstruidos, checkout canónico movido</w:t>
            </w:r>
          </w:p>
        </w:tc>
      </w:tr>
      <w:tr>
        <w:tc>
          <w:tcPr>
            <w:tcW w:type="dxa" w:w="3312"/>
          </w:tcPr>
          <w:p>
            <w:pPr>
              <w:spacing w:after="40"/>
            </w:pPr>
            <w:r>
              <w:rPr>
                <w:sz w:val="19"/>
              </w:rPr>
              <w:t>Verificación manual (paso 14)</w:t>
            </w:r>
          </w:p>
        </w:tc>
        <w:tc>
          <w:tcPr>
            <w:tcW w:type="dxa" w:w="6768"/>
          </w:tcPr>
          <w:p>
            <w:pPr>
              <w:spacing w:after="40"/>
            </w:pPr>
            <w:r>
              <w:rPr>
                <w:sz w:val="19"/>
              </w:rPr>
              <w:t>Seed + login + emisión de licencia + rutas por rol, contra Postgres real</w:t>
            </w:r>
          </w:p>
        </w:tc>
      </w:tr>
      <w:tr>
        <w:tc>
          <w:tcPr>
            <w:tcW w:type="dxa" w:w="3312"/>
          </w:tcPr>
          <w:p>
            <w:pPr>
              <w:spacing w:after="40"/>
            </w:pPr>
            <w:r>
              <w:rPr>
                <w:sz w:val="19"/>
              </w:rPr>
              <w:t>Tema visual "Lustro"</w:t>
            </w:r>
          </w:p>
        </w:tc>
        <w:tc>
          <w:tcPr>
            <w:tcW w:type="dxa" w:w="6768"/>
          </w:tcPr>
          <w:p>
            <w:pPr>
              <w:spacing w:after="40"/>
            </w:pPr>
            <w:r>
              <w:rPr>
                <w:sz w:val="19"/>
              </w:rPr>
              <w:t>MudTheme dark glassmorphism, tipografía Space Grotesk/DM Sans/JetBrains Mono</w:t>
            </w:r>
          </w:p>
        </w:tc>
      </w:tr>
      <w:tr>
        <w:tc>
          <w:tcPr>
            <w:tcW w:type="dxa" w:w="3312"/>
          </w:tcPr>
          <w:p>
            <w:pPr>
              <w:spacing w:after="40"/>
            </w:pPr>
            <w:r>
              <w:rPr>
                <w:sz w:val="19"/>
              </w:rPr>
              <w:t>Despliegue Debian LXC</w:t>
            </w:r>
          </w:p>
        </w:tc>
        <w:tc>
          <w:tcPr>
            <w:tcW w:type="dxa" w:w="6768"/>
          </w:tcPr>
          <w:p>
            <w:pPr>
              <w:spacing w:after="40"/>
            </w:pPr>
            <w:r>
              <w:rPr>
                <w:sz w:val="19"/>
              </w:rPr>
              <w:t>Provisioning, nginx+TLS, systemd, LicensingAdmin+LicensingApi corriendo en 10.11.1.41</w:t>
            </w:r>
          </w:p>
        </w:tc>
      </w:tr>
      <w:tr>
        <w:tc>
          <w:tcPr>
            <w:tcW w:type="dxa" w:w="3312"/>
          </w:tcPr>
          <w:p>
            <w:pPr>
              <w:spacing w:after="40"/>
            </w:pPr>
            <w:r>
              <w:rPr>
                <w:sz w:val="19"/>
              </w:rPr>
              <w:t>Paquete de usabilidad E3 (7 ítems)</w:t>
            </w:r>
          </w:p>
        </w:tc>
        <w:tc>
          <w:tcPr>
            <w:tcW w:type="dxa" w:w="6768"/>
          </w:tcPr>
          <w:p>
            <w:pPr>
              <w:spacing w:after="40"/>
            </w:pPr>
            <w:r>
              <w:rPr>
                <w:sz w:val="19"/>
              </w:rPr>
              <w:t>Ver detalle en §3.4</w:t>
            </w:r>
          </w:p>
        </w:tc>
      </w:tr>
    </w:tbl>
    <w:p/>
    <w:p>
      <w:pPr>
        <w:pStyle w:val="Heading2"/>
      </w:pPr>
      <w:r>
        <w:rPr>
          <w:color w:val="1A233A"/>
        </w:rPr>
        <w:t>3.4 Paquete E3 — Mejoras de usabilidad (2026-09-13)</w:t>
      </w:r>
    </w:p>
    <w:tbl>
      <w:tblPr>
        <w:tblStyle w:val="LightGrid-Accent1"/>
        <w:tblW w:type="auto" w:w="0"/>
        <w:jc w:val="center"/>
        <w:tblLook w:firstColumn="1" w:firstRow="1" w:lastColumn="0" w:lastRow="0" w:noHBand="0" w:noVBand="1" w:val="04A0"/>
      </w:tblPr>
      <w:tblGrid>
        <w:gridCol w:w="2880"/>
        <w:gridCol w:w="2880"/>
        <w:gridCol w:w="2880"/>
      </w:tblGrid>
      <w:tr>
        <w:tc>
          <w:tcPr>
            <w:tcW w:type="dxa" w:w="576"/>
            <w:shd w:fill="1a233a"/>
          </w:tcPr>
          <w:p>
            <w:r>
              <w:rPr>
                <w:b/>
                <w:color w:val="FFFFFF"/>
                <w:sz w:val="19"/>
              </w:rPr>
              <w:t>#</w:t>
            </w:r>
          </w:p>
        </w:tc>
        <w:tc>
          <w:tcPr>
            <w:tcW w:type="dxa" w:w="3312"/>
            <w:shd w:fill="1a233a"/>
          </w:tcPr>
          <w:p>
            <w:r>
              <w:rPr>
                <w:b/>
                <w:color w:val="FFFFFF"/>
                <w:sz w:val="19"/>
              </w:rPr>
              <w:t>Ítem</w:t>
            </w:r>
          </w:p>
        </w:tc>
        <w:tc>
          <w:tcPr>
            <w:tcW w:type="dxa" w:w="6192"/>
            <w:shd w:fill="1a233a"/>
          </w:tcPr>
          <w:p>
            <w:r>
              <w:rPr>
                <w:b/>
                <w:color w:val="FFFFFF"/>
                <w:sz w:val="19"/>
              </w:rPr>
              <w:t>Entregable</w:t>
            </w:r>
          </w:p>
        </w:tc>
      </w:tr>
      <w:tr>
        <w:tc>
          <w:tcPr>
            <w:tcW w:type="dxa" w:w="576"/>
          </w:tcPr>
          <w:p>
            <w:pPr>
              <w:spacing w:after="40"/>
            </w:pPr>
            <w:r>
              <w:rPr>
                <w:sz w:val="19"/>
              </w:rPr>
              <w:t>1</w:t>
            </w:r>
          </w:p>
        </w:tc>
        <w:tc>
          <w:tcPr>
            <w:tcW w:type="dxa" w:w="3312"/>
          </w:tcPr>
          <w:p>
            <w:pPr>
              <w:spacing w:after="40"/>
            </w:pPr>
            <w:r>
              <w:rPr>
                <w:sz w:val="19"/>
              </w:rPr>
              <w:t>Autoservicio de cuenta</w:t>
            </w:r>
          </w:p>
        </w:tc>
        <w:tc>
          <w:tcPr>
            <w:tcW w:type="dxa" w:w="6192"/>
          </w:tcPr>
          <w:p>
            <w:pPr>
              <w:spacing w:after="40"/>
            </w:pPr>
            <w:r>
              <w:rPr>
                <w:sz w:val="19"/>
              </w:rPr>
              <w:t>/account/profile — cambiar correo/contraseña propios</w:t>
            </w:r>
          </w:p>
        </w:tc>
      </w:tr>
      <w:tr>
        <w:tc>
          <w:tcPr>
            <w:tcW w:type="dxa" w:w="576"/>
          </w:tcPr>
          <w:p>
            <w:pPr>
              <w:spacing w:after="40"/>
            </w:pPr>
            <w:r>
              <w:rPr>
                <w:sz w:val="19"/>
              </w:rPr>
              <w:t>2</w:t>
            </w:r>
          </w:p>
        </w:tc>
        <w:tc>
          <w:tcPr>
            <w:tcW w:type="dxa" w:w="3312"/>
          </w:tcPr>
          <w:p>
            <w:pPr>
              <w:spacing w:after="40"/>
            </w:pPr>
            <w:r>
              <w:rPr>
                <w:sz w:val="19"/>
              </w:rPr>
              <w:t>Configuración SMTP</w:t>
            </w:r>
          </w:p>
        </w:tc>
        <w:tc>
          <w:tcPr>
            <w:tcW w:type="dxa" w:w="6192"/>
          </w:tcPr>
          <w:p>
            <w:pPr>
              <w:spacing w:after="40"/>
            </w:pPr>
            <w:r>
              <w:rPr>
                <w:sz w:val="19"/>
              </w:rPr>
              <w:t>/admin/notifications — antes un Non-Goal explícito del SoW</w:t>
            </w:r>
          </w:p>
        </w:tc>
      </w:tr>
      <w:tr>
        <w:tc>
          <w:tcPr>
            <w:tcW w:type="dxa" w:w="576"/>
          </w:tcPr>
          <w:p>
            <w:pPr>
              <w:spacing w:after="40"/>
            </w:pPr>
            <w:r>
              <w:rPr>
                <w:sz w:val="19"/>
              </w:rPr>
              <w:t>3</w:t>
            </w:r>
          </w:p>
        </w:tc>
        <w:tc>
          <w:tcPr>
            <w:tcW w:type="dxa" w:w="3312"/>
          </w:tcPr>
          <w:p>
            <w:pPr>
              <w:spacing w:after="40"/>
            </w:pPr>
            <w:r>
              <w:rPr>
                <w:sz w:val="19"/>
              </w:rPr>
              <w:t>Búsqueda + datos de cliente</w:t>
            </w:r>
          </w:p>
        </w:tc>
        <w:tc>
          <w:tcPr>
            <w:tcW w:type="dxa" w:w="6192"/>
          </w:tcPr>
          <w:p>
            <w:pPr>
              <w:spacing w:after="40"/>
            </w:pPr>
            <w:r>
              <w:rPr>
                <w:sz w:val="19"/>
              </w:rPr>
              <w:t>Licenses.razor y PendingReview.razor</w:t>
            </w:r>
          </w:p>
        </w:tc>
      </w:tr>
      <w:tr>
        <w:tc>
          <w:tcPr>
            <w:tcW w:type="dxa" w:w="576"/>
          </w:tcPr>
          <w:p>
            <w:pPr>
              <w:spacing w:after="40"/>
            </w:pPr>
            <w:r>
              <w:rPr>
                <w:sz w:val="19"/>
              </w:rPr>
              <w:t>4</w:t>
            </w:r>
          </w:p>
        </w:tc>
        <w:tc>
          <w:tcPr>
            <w:tcW w:type="dxa" w:w="3312"/>
          </w:tcPr>
          <w:p>
            <w:pPr>
              <w:spacing w:after="40"/>
            </w:pPr>
            <w:r>
              <w:rPr>
                <w:sz w:val="19"/>
              </w:rPr>
              <w:t>Referencia de integración DLL</w:t>
            </w:r>
          </w:p>
        </w:tc>
        <w:tc>
          <w:tcPr>
            <w:tcW w:type="dxa" w:w="6192"/>
          </w:tcPr>
          <w:p>
            <w:pPr>
              <w:spacing w:after="40"/>
            </w:pPr>
            <w:r>
              <w:rPr>
                <w:sz w:val="19"/>
              </w:rPr>
              <w:t>docs/activation-dll-integration-reference.md</w:t>
            </w:r>
          </w:p>
        </w:tc>
      </w:tr>
      <w:tr>
        <w:tc>
          <w:tcPr>
            <w:tcW w:type="dxa" w:w="576"/>
          </w:tcPr>
          <w:p>
            <w:pPr>
              <w:spacing w:after="40"/>
            </w:pPr>
            <w:r>
              <w:rPr>
                <w:sz w:val="19"/>
              </w:rPr>
              <w:t>5</w:t>
            </w:r>
          </w:p>
        </w:tc>
        <w:tc>
          <w:tcPr>
            <w:tcW w:type="dxa" w:w="3312"/>
          </w:tcPr>
          <w:p>
            <w:pPr>
              <w:spacing w:after="40"/>
            </w:pPr>
            <w:r>
              <w:rPr>
                <w:sz w:val="19"/>
              </w:rPr>
              <w:t>Dashboard: vencimientos + export</w:t>
            </w:r>
          </w:p>
        </w:tc>
        <w:tc>
          <w:tcPr>
            <w:tcW w:type="dxa" w:w="6192"/>
          </w:tcPr>
          <w:p>
            <w:pPr>
              <w:spacing w:after="40"/>
            </w:pPr>
            <w:r>
              <w:rPr>
                <w:sz w:val="19"/>
              </w:rPr>
              <w:t>Widget 30 días + export completo a Excel — antes un Non-Goal explícito</w:t>
            </w:r>
          </w:p>
        </w:tc>
      </w:tr>
      <w:tr>
        <w:tc>
          <w:tcPr>
            <w:tcW w:type="dxa" w:w="576"/>
          </w:tcPr>
          <w:p>
            <w:pPr>
              <w:spacing w:after="40"/>
            </w:pPr>
            <w:r>
              <w:rPr>
                <w:sz w:val="19"/>
              </w:rPr>
              <w:t>6</w:t>
            </w:r>
          </w:p>
        </w:tc>
        <w:tc>
          <w:tcPr>
            <w:tcW w:type="dxa" w:w="3312"/>
          </w:tcPr>
          <w:p>
            <w:pPr>
              <w:spacing w:after="40"/>
            </w:pPr>
            <w:r>
              <w:rPr>
                <w:sz w:val="19"/>
              </w:rPr>
              <w:t>Landing pública</w:t>
            </w:r>
          </w:p>
        </w:tc>
        <w:tc>
          <w:tcPr>
            <w:tcW w:type="dxa" w:w="6192"/>
          </w:tcPr>
          <w:p>
            <w:pPr>
              <w:spacing w:after="40"/>
            </w:pPr>
            <w:r>
              <w:rPr>
                <w:sz w:val="19"/>
              </w:rPr>
              <w:t>"/" — bienvenida + login; Dashboard movido a "/dashboard"</w:t>
            </w:r>
          </w:p>
        </w:tc>
      </w:tr>
      <w:tr>
        <w:tc>
          <w:tcPr>
            <w:tcW w:type="dxa" w:w="576"/>
          </w:tcPr>
          <w:p>
            <w:pPr>
              <w:spacing w:after="40"/>
            </w:pPr>
            <w:r>
              <w:rPr>
                <w:sz w:val="19"/>
              </w:rPr>
              <w:t>7</w:t>
            </w:r>
          </w:p>
        </w:tc>
        <w:tc>
          <w:tcPr>
            <w:tcW w:type="dxa" w:w="3312"/>
          </w:tcPr>
          <w:p>
            <w:pPr>
              <w:spacing w:after="40"/>
            </w:pPr>
            <w:r>
              <w:rPr>
                <w:sz w:val="19"/>
              </w:rPr>
              <w:t>Este documento</w:t>
            </w:r>
          </w:p>
        </w:tc>
        <w:tc>
          <w:tcPr>
            <w:tcW w:type="dxa" w:w="6192"/>
          </w:tcPr>
          <w:p>
            <w:pPr>
              <w:spacing w:after="40"/>
            </w:pPr>
            <w:r>
              <w:rPr>
                <w:sz w:val="19"/>
              </w:rPr>
              <w:t>Documentación de proyecto estilo PMI</w:t>
            </w:r>
          </w:p>
        </w:tc>
      </w:tr>
    </w:tbl>
    <w:p/>
    <w:p>
      <w:r>
        <w:br w:type="page"/>
      </w:r>
    </w:p>
    <w:p>
      <w:pPr>
        <w:pStyle w:val="Heading1"/>
      </w:pPr>
      <w:r>
        <w:rPr>
          <w:color w:val="1A233A"/>
        </w:rPr>
        <w:t>4. Change Request Log</w:t>
      </w:r>
    </w:p>
    <w:p>
      <w:r>
        <w:t>Toda instrucción del sponsor que alteró el alcance, la infraestructura o el comportamiento del sistema después del cierre formal del slice 1 (2026-09-03), en orden cronológico.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864"/>
            <w:shd w:fill="1a233a"/>
          </w:tcPr>
          <w:p>
            <w:r>
              <w:rPr>
                <w:b/>
                <w:color w:val="FFFFFF"/>
                <w:sz w:val="19"/>
              </w:rPr>
              <w:t>ID</w:t>
            </w:r>
          </w:p>
        </w:tc>
        <w:tc>
          <w:tcPr>
            <w:tcW w:type="dxa" w:w="1152"/>
            <w:shd w:fill="1a233a"/>
          </w:tcPr>
          <w:p>
            <w:r>
              <w:rPr>
                <w:b/>
                <w:color w:val="FFFFFF"/>
                <w:sz w:val="19"/>
              </w:rPr>
              <w:t>Fecha</w:t>
            </w:r>
          </w:p>
        </w:tc>
        <w:tc>
          <w:tcPr>
            <w:tcW w:type="dxa" w:w="2160"/>
            <w:shd w:fill="1a233a"/>
          </w:tcPr>
          <w:p>
            <w:r>
              <w:rPr>
                <w:b/>
                <w:color w:val="FFFFFF"/>
                <w:sz w:val="19"/>
              </w:rPr>
              <w:t>Título</w:t>
            </w:r>
          </w:p>
        </w:tc>
        <w:tc>
          <w:tcPr>
            <w:tcW w:type="dxa" w:w="5472"/>
            <w:shd w:fill="1a233a"/>
          </w:tcPr>
          <w:p>
            <w:r>
              <w:rPr>
                <w:b/>
                <w:color w:val="FFFFFF"/>
                <w:sz w:val="19"/>
              </w:rPr>
              <w:t>Descripción</w:t>
            </w:r>
          </w:p>
        </w:tc>
        <w:tc>
          <w:tcPr>
            <w:tcW w:type="dxa" w:w="1152"/>
            <w:shd w:fill="1a233a"/>
          </w:tcPr>
          <w:p>
            <w:r>
              <w:rPr>
                <w:b/>
                <w:color w:val="FFFFFF"/>
                <w:sz w:val="19"/>
              </w:rPr>
              <w:t>Estado</w:t>
            </w:r>
          </w:p>
        </w:tc>
      </w:tr>
      <w:tr>
        <w:tc>
          <w:tcPr>
            <w:tcW w:type="dxa" w:w="864"/>
          </w:tcPr>
          <w:p>
            <w:pPr>
              <w:spacing w:after="40"/>
            </w:pPr>
            <w:r>
              <w:rPr>
                <w:sz w:val="19"/>
              </w:rPr>
              <w:t>CR-01</w:t>
            </w:r>
          </w:p>
        </w:tc>
        <w:tc>
          <w:tcPr>
            <w:tcW w:type="dxa" w:w="1152"/>
          </w:tcPr>
          <w:p>
            <w:pPr>
              <w:spacing w:after="40"/>
            </w:pPr>
            <w:r>
              <w:rPr>
                <w:sz w:val="19"/>
              </w:rPr>
              <w:t>2026-09-XX</w:t>
            </w:r>
          </w:p>
        </w:tc>
        <w:tc>
          <w:tcPr>
            <w:tcW w:type="dxa" w:w="2160"/>
          </w:tcPr>
          <w:p>
            <w:pPr>
              <w:spacing w:after="40"/>
            </w:pPr>
            <w:r>
              <w:rPr>
                <w:sz w:val="19"/>
              </w:rPr>
              <w:t>Migrar a GitHub</w:t>
            </w:r>
          </w:p>
        </w:tc>
        <w:tc>
          <w:tcPr>
            <w:tcW w:type="dxa" w:w="5472"/>
          </w:tcPr>
          <w:p>
            <w:pPr>
              <w:spacing w:after="40"/>
            </w:pPr>
            <w:r>
              <w:rPr>
                <w:sz w:val="19"/>
              </w:rPr>
              <w:t>El repo pasa de un bare-git LAN a GitHub privado (github.com/comarcat/licensing-system). Se purgó la credencial histórica Test2020# del historial completo (git filter-repo) antes del push. Se reconstruyeron los 16 tags de checkpoint (el push inicial solo llevó main) emparejando por subject de commit. El checkout de GitHub pasa a ser el canónico de trabajo, reemplazando el checkout LAN.</w:t>
            </w:r>
          </w:p>
        </w:tc>
        <w:tc>
          <w:tcPr>
            <w:tcW w:type="dxa" w:w="1152"/>
          </w:tcPr>
          <w:p>
            <w:pPr>
              <w:spacing w:after="40"/>
            </w:pPr>
            <w:r>
              <w:rPr>
                <w:sz w:val="19"/>
              </w:rPr>
              <w:t>Cerrado</w:t>
            </w:r>
          </w:p>
        </w:tc>
      </w:tr>
      <w:tr>
        <w:tc>
          <w:tcPr>
            <w:tcW w:type="dxa" w:w="864"/>
          </w:tcPr>
          <w:p>
            <w:pPr>
              <w:spacing w:after="40"/>
            </w:pPr>
            <w:r>
              <w:rPr>
                <w:sz w:val="19"/>
              </w:rPr>
              <w:t>CR-02</w:t>
            </w:r>
          </w:p>
        </w:tc>
        <w:tc>
          <w:tcPr>
            <w:tcW w:type="dxa" w:w="1152"/>
          </w:tcPr>
          <w:p>
            <w:pPr>
              <w:spacing w:after="40"/>
            </w:pPr>
            <w:r>
              <w:rPr>
                <w:sz w:val="19"/>
              </w:rPr>
              <w:t>2026-09-13</w:t>
            </w:r>
          </w:p>
        </w:tc>
        <w:tc>
          <w:tcPr>
            <w:tcW w:type="dxa" w:w="2160"/>
          </w:tcPr>
          <w:p>
            <w:pPr>
              <w:spacing w:after="40"/>
            </w:pPr>
            <w:r>
              <w:rPr>
                <w:sz w:val="19"/>
              </w:rPr>
              <w:t>Tema visual "Lustro"</w:t>
            </w:r>
          </w:p>
        </w:tc>
        <w:tc>
          <w:tcPr>
            <w:tcW w:type="dxa" w:w="5472"/>
          </w:tcPr>
          <w:p>
            <w:pPr>
              <w:spacing w:after="40"/>
            </w:pPr>
            <w:r>
              <w:rPr>
                <w:sz w:val="19"/>
              </w:rPr>
              <w:t>A partir de un template de referencia (templatemo_624_lustro_slideshow) usado como guía de diseño (no código a copiar), se restyleó LicensingAdmin completo: MudTheme dark glassmorphism, tipografía Space Grotesk/DM Sans/JetBrains Mono, fondo ambiental con gradientes radiales, tarjetas con efecto vidrio.</w:t>
            </w:r>
          </w:p>
        </w:tc>
        <w:tc>
          <w:tcPr>
            <w:tcW w:type="dxa" w:w="1152"/>
          </w:tcPr>
          <w:p>
            <w:pPr>
              <w:spacing w:after="40"/>
            </w:pPr>
            <w:r>
              <w:rPr>
                <w:sz w:val="19"/>
              </w:rPr>
              <w:t>Cerrado</w:t>
            </w:r>
          </w:p>
        </w:tc>
      </w:tr>
      <w:tr>
        <w:tc>
          <w:tcPr>
            <w:tcW w:type="dxa" w:w="864"/>
          </w:tcPr>
          <w:p>
            <w:pPr>
              <w:spacing w:after="40"/>
            </w:pPr>
            <w:r>
              <w:rPr>
                <w:sz w:val="19"/>
              </w:rPr>
              <w:t>CR-03</w:t>
            </w:r>
          </w:p>
        </w:tc>
        <w:tc>
          <w:tcPr>
            <w:tcW w:type="dxa" w:w="1152"/>
          </w:tcPr>
          <w:p>
            <w:pPr>
              <w:spacing w:after="40"/>
            </w:pPr>
            <w:r>
              <w:rPr>
                <w:sz w:val="19"/>
              </w:rPr>
              <w:t>2026-09-13</w:t>
            </w:r>
          </w:p>
        </w:tc>
        <w:tc>
          <w:tcPr>
            <w:tcW w:type="dxa" w:w="2160"/>
          </w:tcPr>
          <w:p>
            <w:pPr>
              <w:spacing w:after="40"/>
            </w:pPr>
            <w:r>
              <w:rPr>
                <w:sz w:val="19"/>
              </w:rPr>
              <w:t>Despliegue en LXC Debian 13</w:t>
            </w:r>
          </w:p>
        </w:tc>
        <w:tc>
          <w:tcPr>
            <w:tcW w:type="dxa" w:w="5472"/>
          </w:tcPr>
          <w:p>
            <w:pPr>
              <w:spacing w:after="40"/>
            </w:pPr>
            <w:r>
              <w:rPr>
                <w:sz w:val="19"/>
              </w:rPr>
              <w:t>Primer despliegue a infraestructura real: contenedor Debian 13 (trixie) en 10.11.1.41, hospedando LicensingAdmin (HTTPS, cert autofirmado) y LicensingApi lado a lado, ambos contra el Postgres remoto ya existente. Scripts de provisioning y despliegue añadidos a infra/.</w:t>
            </w:r>
          </w:p>
        </w:tc>
        <w:tc>
          <w:tcPr>
            <w:tcW w:type="dxa" w:w="1152"/>
          </w:tcPr>
          <w:p>
            <w:pPr>
              <w:spacing w:after="40"/>
            </w:pPr>
            <w:r>
              <w:rPr>
                <w:sz w:val="19"/>
              </w:rPr>
              <w:t>Cerrado</w:t>
            </w:r>
          </w:p>
        </w:tc>
      </w:tr>
      <w:tr>
        <w:tc>
          <w:tcPr>
            <w:tcW w:type="dxa" w:w="864"/>
          </w:tcPr>
          <w:p>
            <w:pPr>
              <w:spacing w:after="40"/>
            </w:pPr>
            <w:r>
              <w:rPr>
                <w:sz w:val="19"/>
              </w:rPr>
              <w:t>CR-04</w:t>
            </w:r>
          </w:p>
        </w:tc>
        <w:tc>
          <w:tcPr>
            <w:tcW w:type="dxa" w:w="1152"/>
          </w:tcPr>
          <w:p>
            <w:pPr>
              <w:spacing w:after="40"/>
            </w:pPr>
            <w:r>
              <w:rPr>
                <w:sz w:val="19"/>
              </w:rPr>
              <w:t>2026-09-13</w:t>
            </w:r>
          </w:p>
        </w:tc>
        <w:tc>
          <w:tcPr>
            <w:tcW w:type="dxa" w:w="2160"/>
          </w:tcPr>
          <w:p>
            <w:pPr>
              <w:spacing w:after="40"/>
            </w:pPr>
            <w:r>
              <w:rPr>
                <w:sz w:val="19"/>
              </w:rPr>
              <w:t>Paquete de 7 mejoras de usabilidad (E3)</w:t>
            </w:r>
          </w:p>
        </w:tc>
        <w:tc>
          <w:tcPr>
            <w:tcW w:type="dxa" w:w="5472"/>
          </w:tcPr>
          <w:p>
            <w:pPr>
              <w:spacing w:after="40"/>
            </w:pPr>
            <w:r>
              <w:rPr>
                <w:sz w:val="19"/>
              </w:rPr>
              <w:t>Tras ver el sistema funcionando en vivo, el sponsor pidió: autoservicio de cuenta, configuración SMTP (revierte el Non-Goal original), búsqueda + datos de cliente visibles en Licencias/Pending Review, documento de referencia para su herramienta de activación externa, widget de vencimientos + exportación a Excel (revierte otro Non-Goal original), landing pública, y este documento de proyecto.</w:t>
            </w:r>
          </w:p>
        </w:tc>
        <w:tc>
          <w:tcPr>
            <w:tcW w:type="dxa" w:w="1152"/>
          </w:tcPr>
          <w:p>
            <w:pPr>
              <w:spacing w:after="40"/>
            </w:pPr>
            <w:r>
              <w:rPr>
                <w:sz w:val="19"/>
              </w:rPr>
              <w:t>En curso — ver §3.4</w:t>
            </w:r>
          </w:p>
        </w:tc>
      </w:tr>
      <w:tr>
        <w:tc>
          <w:tcPr>
            <w:tcW w:type="dxa" w:w="864"/>
          </w:tcPr>
          <w:p>
            <w:pPr>
              <w:spacing w:after="40"/>
            </w:pPr>
            <w:r>
              <w:rPr>
                <w:sz w:val="19"/>
              </w:rPr>
              <w:t>CR-05</w:t>
            </w:r>
          </w:p>
        </w:tc>
        <w:tc>
          <w:tcPr>
            <w:tcW w:type="dxa" w:w="1152"/>
          </w:tcPr>
          <w:p>
            <w:pPr>
              <w:spacing w:after="40"/>
            </w:pPr>
            <w:r>
              <w:rPr>
                <w:sz w:val="19"/>
              </w:rPr>
              <w:t>2026-09-13</w:t>
            </w:r>
          </w:p>
        </w:tc>
        <w:tc>
          <w:tcPr>
            <w:tcW w:type="dxa" w:w="2160"/>
          </w:tcPr>
          <w:p>
            <w:pPr>
              <w:spacing w:after="40"/>
            </w:pPr>
            <w:r>
              <w:rPr>
                <w:sz w:val="19"/>
              </w:rPr>
              <w:t>Consolidar main en GitHub</w:t>
            </w:r>
          </w:p>
        </w:tc>
        <w:tc>
          <w:tcPr>
            <w:tcW w:type="dxa" w:w="5472"/>
          </w:tcPr>
          <w:p>
            <w:pPr>
              <w:spacing w:after="40"/>
            </w:pPr>
            <w:r>
              <w:rPr>
                <w:sz w:val="19"/>
              </w:rPr>
              <w:t>El sponsor pidió mergear a main todo lo que ya estaba corriendo en producción (tema + fixes + infra), en vez de dejarlo repartido en ramas de trabajo.</w:t>
            </w:r>
          </w:p>
        </w:tc>
        <w:tc>
          <w:tcPr>
            <w:tcW w:type="dxa" w:w="1152"/>
          </w:tcPr>
          <w:p>
            <w:pPr>
              <w:spacing w:after="40"/>
            </w:pPr>
            <w:r>
              <w:rPr>
                <w:sz w:val="19"/>
              </w:rPr>
              <w:t>Cerrado</w:t>
            </w:r>
          </w:p>
        </w:tc>
      </w:tr>
    </w:tbl>
    <w:p/>
    <w:p>
      <w:r>
        <w:br w:type="page"/>
      </w:r>
    </w:p>
    <w:p>
      <w:pPr>
        <w:pStyle w:val="Heading1"/>
      </w:pPr>
      <w:r>
        <w:rPr>
          <w:color w:val="1A233A"/>
        </w:rPr>
        <w:t>5. Defect / Bug Log</w:t>
      </w:r>
    </w:p>
    <w:p>
      <w:r>
        <w:t>Defectos reales encontrados durante la construcción, el despliegue o la verificación manual — no incluye hallazgos de security-auditor ya cerrados dentro de una tarea individual (esos viven en review/*.md por tarea); esta lista es para defectos que cruzaron una tarea, aparecieron en producción, o se descubrieron por verificación en vivo contra infraestructura real.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20"/>
            <w:shd w:fill="1a233a"/>
          </w:tcPr>
          <w:p>
            <w:r>
              <w:rPr>
                <w:b/>
                <w:color w:val="FFFFFF"/>
                <w:sz w:val="19"/>
              </w:rPr>
              <w:t>ID</w:t>
            </w:r>
          </w:p>
        </w:tc>
        <w:tc>
          <w:tcPr>
            <w:tcW w:type="dxa" w:w="720"/>
            <w:shd w:fill="1a233a"/>
          </w:tcPr>
          <w:p>
            <w:r>
              <w:rPr>
                <w:b/>
                <w:color w:val="FFFFFF"/>
                <w:sz w:val="19"/>
              </w:rPr>
              <w:t>Sev.</w:t>
            </w:r>
          </w:p>
        </w:tc>
        <w:tc>
          <w:tcPr>
            <w:tcW w:type="dxa" w:w="2304"/>
            <w:shd w:fill="1a233a"/>
          </w:tcPr>
          <w:p>
            <w:r>
              <w:rPr>
                <w:b/>
                <w:color w:val="FFFFFF"/>
                <w:sz w:val="19"/>
              </w:rPr>
              <w:t>Título</w:t>
            </w:r>
          </w:p>
        </w:tc>
        <w:tc>
          <w:tcPr>
            <w:tcW w:type="dxa" w:w="3888"/>
            <w:shd w:fill="1a233a"/>
          </w:tcPr>
          <w:p>
            <w:r>
              <w:rPr>
                <w:b/>
                <w:color w:val="FFFFFF"/>
                <w:sz w:val="19"/>
              </w:rPr>
              <w:t>Descripción</w:t>
            </w:r>
          </w:p>
        </w:tc>
        <w:tc>
          <w:tcPr>
            <w:tcW w:type="dxa" w:w="3168"/>
            <w:shd w:fill="1a233a"/>
          </w:tcPr>
          <w:p>
            <w:r>
              <w:rPr>
                <w:b/>
                <w:color w:val="FFFFFF"/>
                <w:sz w:val="19"/>
              </w:rPr>
              <w:t>Resolución</w:t>
            </w:r>
          </w:p>
        </w:tc>
      </w:tr>
      <w:tr>
        <w:tc>
          <w:tcPr>
            <w:tcW w:type="dxa" w:w="720"/>
          </w:tcPr>
          <w:p>
            <w:pPr>
              <w:spacing w:after="40"/>
            </w:pPr>
            <w:r>
              <w:rPr>
                <w:sz w:val="19"/>
              </w:rPr>
              <w:t>D-01</w:t>
            </w:r>
          </w:p>
        </w:tc>
        <w:tc>
          <w:tcPr>
            <w:tcW w:type="dxa" w:w="720"/>
          </w:tcPr>
          <w:p>
            <w:pPr>
              <w:spacing w:after="40"/>
            </w:pPr>
            <w:r>
              <w:rPr>
                <w:sz w:val="19"/>
              </w:rPr>
              <w:t>Alta</w:t>
            </w:r>
          </w:p>
        </w:tc>
        <w:tc>
          <w:tcPr>
            <w:tcW w:type="dxa" w:w="2304"/>
          </w:tcPr>
          <w:p>
            <w:pPr>
              <w:spacing w:after="40"/>
            </w:pPr>
            <w:r>
              <w:rPr>
                <w:sz w:val="19"/>
              </w:rPr>
              <w:t>AdminSeeder AdminSeederStartAsyncGapTests con [Fact(Skip=...)]</w:t>
            </w:r>
          </w:p>
        </w:tc>
        <w:tc>
          <w:tcPr>
            <w:tcW w:type="dxa" w:w="3888"/>
          </w:tcPr>
          <w:p>
            <w:pPr>
              <w:spacing w:after="40"/>
            </w:pPr>
            <w:r>
              <w:rPr>
                <w:sz w:val="19"/>
              </w:rPr>
              <w:t>El tester dejó un test marcado Skip como ancla de documentación; un test saltado rompe el criterio "0 skipped" del cierre del slice.</w:t>
            </w:r>
          </w:p>
        </w:tc>
        <w:tc>
          <w:tcPr>
            <w:tcW w:type="dxa" w:w="3168"/>
          </w:tcPr>
          <w:p>
            <w:pPr>
              <w:spacing w:after="40"/>
            </w:pPr>
            <w:r>
              <w:rPr>
                <w:sz w:val="19"/>
              </w:rPr>
              <w:t>Eliminado; el hueco de cobertura queda documentado en el docstring de AdminSeederTests.cs y en el paso manual 14. Confirmado por el Arquitecto como decisión correcta.</w:t>
            </w:r>
          </w:p>
        </w:tc>
      </w:tr>
      <w:tr>
        <w:tc>
          <w:tcPr>
            <w:tcW w:type="dxa" w:w="720"/>
          </w:tcPr>
          <w:p>
            <w:pPr>
              <w:spacing w:after="40"/>
            </w:pPr>
            <w:r>
              <w:rPr>
                <w:sz w:val="19"/>
              </w:rPr>
              <w:t>D-02</w:t>
            </w:r>
          </w:p>
        </w:tc>
        <w:tc>
          <w:tcPr>
            <w:tcW w:type="dxa" w:w="720"/>
          </w:tcPr>
          <w:p>
            <w:pPr>
              <w:spacing w:after="40"/>
            </w:pPr>
            <w:r>
              <w:rPr>
                <w:sz w:val="19"/>
              </w:rPr>
              <w:t>Media</w:t>
            </w:r>
          </w:p>
        </w:tc>
        <w:tc>
          <w:tcPr>
            <w:tcW w:type="dxa" w:w="2304"/>
          </w:tcPr>
          <w:p>
            <w:pPr>
              <w:spacing w:after="40"/>
            </w:pPr>
            <w:r>
              <w:rPr>
                <w:sz w:val="19"/>
              </w:rPr>
              <w:t>MUD0002 / xUnit2012 bloqueaban -warnaserror en el cierre</w:t>
            </w:r>
          </w:p>
        </w:tc>
        <w:tc>
          <w:tcPr>
            <w:tcW w:type="dxa" w:w="3888"/>
          </w:tcPr>
          <w:p>
            <w:pPr>
              <w:spacing w:after="40"/>
            </w:pPr>
            <w:r>
              <w:rPr>
                <w:sz w:val="19"/>
              </w:rPr>
              <w:t>PendingReview.razor usaba MudGrid AlignItems (parámetro inexistente); CurrentAdminEmailEdgeCasesTests.cs usaba Assert.True(...Any(...)) en vez de Assert.Contains.</w:t>
            </w:r>
          </w:p>
        </w:tc>
        <w:tc>
          <w:tcPr>
            <w:tcW w:type="dxa" w:w="3168"/>
          </w:tcPr>
          <w:p>
            <w:pPr>
              <w:spacing w:after="40"/>
            </w:pPr>
            <w:r>
              <w:rPr>
                <w:sz w:val="19"/>
              </w:rPr>
              <w:t>PendingReview.razor → Class="align-center"; test → Assert.Contains. Ninguno introducido por una rama de tarea — preexistentes, incorporados al alcance oficial de E2-T8.</w:t>
            </w:r>
          </w:p>
        </w:tc>
      </w:tr>
      <w:tr>
        <w:tc>
          <w:tcPr>
            <w:tcW w:type="dxa" w:w="720"/>
          </w:tcPr>
          <w:p>
            <w:pPr>
              <w:spacing w:after="40"/>
            </w:pPr>
            <w:r>
              <w:rPr>
                <w:sz w:val="19"/>
              </w:rPr>
              <w:t>D-03</w:t>
            </w:r>
          </w:p>
        </w:tc>
        <w:tc>
          <w:tcPr>
            <w:tcW w:type="dxa" w:w="720"/>
          </w:tcPr>
          <w:p>
            <w:pPr>
              <w:spacing w:after="40"/>
            </w:pPr>
            <w:r>
              <w:rPr>
                <w:sz w:val="19"/>
              </w:rPr>
              <w:t>Media</w:t>
            </w:r>
          </w:p>
        </w:tc>
        <w:tc>
          <w:tcPr>
            <w:tcW w:type="dxa" w:w="2304"/>
          </w:tcPr>
          <w:p>
            <w:pPr>
              <w:spacing w:after="40"/>
            </w:pPr>
            <w:r>
              <w:rPr>
                <w:sz w:val="19"/>
              </w:rPr>
              <w:t>Tags de checkpoint no llegaron a GitHub</w:t>
            </w:r>
          </w:p>
        </w:tc>
        <w:tc>
          <w:tcPr>
            <w:tcW w:type="dxa" w:w="3888"/>
          </w:tcPr>
          <w:p>
            <w:pPr>
              <w:spacing w:after="40"/>
            </w:pPr>
            <w:r>
              <w:rPr>
                <w:sz w:val="19"/>
              </w:rPr>
              <w:t>El push inicial a GitHub solo llevó main; los 16 tags step-* quedaron solo en el bare LAN.</w:t>
            </w:r>
          </w:p>
        </w:tc>
        <w:tc>
          <w:tcPr>
            <w:tcW w:type="dxa" w:w="3168"/>
          </w:tcPr>
          <w:p>
            <w:pPr>
              <w:spacing w:after="40"/>
            </w:pPr>
            <w:r>
              <w:rPr>
                <w:sz w:val="19"/>
              </w:rPr>
              <w:t>Reconstruidos emparejando por subject de commit (git filter-repo preserva mensajes de commit aunque reescriba SHAs) y empujados con confirmación explícita del usuario.</w:t>
            </w:r>
          </w:p>
        </w:tc>
      </w:tr>
      <w:tr>
        <w:tc>
          <w:tcPr>
            <w:tcW w:type="dxa" w:w="720"/>
          </w:tcPr>
          <w:p>
            <w:pPr>
              <w:spacing w:after="40"/>
            </w:pPr>
            <w:r>
              <w:rPr>
                <w:sz w:val="19"/>
              </w:rPr>
              <w:t>D-04</w:t>
            </w:r>
          </w:p>
        </w:tc>
        <w:tc>
          <w:tcPr>
            <w:tcW w:type="dxa" w:w="720"/>
          </w:tcPr>
          <w:p>
            <w:pPr>
              <w:spacing w:after="40"/>
            </w:pPr>
            <w:r>
              <w:rPr>
                <w:sz w:val="19"/>
              </w:rPr>
              <w:t>Alta</w:t>
            </w:r>
          </w:p>
        </w:tc>
        <w:tc>
          <w:tcPr>
            <w:tcW w:type="dxa" w:w="2304"/>
          </w:tcPr>
          <w:p>
            <w:pPr>
              <w:spacing w:after="40"/>
            </w:pPr>
            <w:r>
              <w:rPr>
                <w:sz w:val="19"/>
              </w:rPr>
              <w:t>AppDbContext no mapeaba columnas a snake_case</w:t>
            </w:r>
          </w:p>
        </w:tc>
        <w:tc>
          <w:tcPr>
            <w:tcW w:type="dxa" w:w="3888"/>
          </w:tcPr>
          <w:p>
            <w:pPr>
              <w:spacing w:after="40"/>
            </w:pPr>
            <w:r>
              <w:rPr>
                <w:sz w:val="19"/>
              </w:rPr>
              <w:t>Solo ToTable(...) mapeaba nombres de tabla; EF generaba SQL con columnas PascalCase ("Id", "Email"...) contra un esquema real en snake_case. Cualquier escritura real fallaba con 42703. Nunca detectado por los 366 tests (no tocan Postgres real) — solo apareció en la verificación manual del paso 14, precisamente el propósito de ese paso.</w:t>
            </w:r>
          </w:p>
        </w:tc>
        <w:tc>
          <w:tcPr>
            <w:tcW w:type="dxa" w:w="3168"/>
          </w:tcPr>
          <w:p>
            <w:pPr>
              <w:spacing w:after="40"/>
            </w:pPr>
            <w:r>
              <w:rPr>
                <w:sz w:val="19"/>
              </w:rPr>
              <w:t>HasColumnName(...) explícito por columna en las 6 entidades.</w:t>
            </w:r>
          </w:p>
        </w:tc>
      </w:tr>
      <w:tr>
        <w:tc>
          <w:tcPr>
            <w:tcW w:type="dxa" w:w="720"/>
          </w:tcPr>
          <w:p>
            <w:pPr>
              <w:spacing w:after="40"/>
            </w:pPr>
            <w:r>
              <w:rPr>
                <w:sz w:val="19"/>
              </w:rPr>
              <w:t>D-05</w:t>
            </w:r>
          </w:p>
        </w:tc>
        <w:tc>
          <w:tcPr>
            <w:tcW w:type="dxa" w:w="720"/>
          </w:tcPr>
          <w:p>
            <w:pPr>
              <w:spacing w:after="40"/>
            </w:pPr>
            <w:r>
              <w:rPr>
                <w:sz w:val="19"/>
              </w:rPr>
              <w:t>Media</w:t>
            </w:r>
          </w:p>
        </w:tc>
        <w:tc>
          <w:tcPr>
            <w:tcW w:type="dxa" w:w="2304"/>
          </w:tcPr>
          <w:p>
            <w:pPr>
              <w:spacing w:after="40"/>
            </w:pPr>
            <w:r>
              <w:rPr>
                <w:sz w:val="19"/>
              </w:rPr>
              <w:t>MudPopoverProvider faltante</w:t>
            </w:r>
          </w:p>
        </w:tc>
        <w:tc>
          <w:tcPr>
            <w:tcW w:type="dxa" w:w="3888"/>
          </w:tcPr>
          <w:p>
            <w:pPr>
              <w:spacing w:after="40"/>
            </w:pPr>
            <w:r>
              <w:rPr>
                <w:sz w:val="19"/>
              </w:rPr>
              <w:t>MainLayout.razor no registraba &lt;MudPopoverProvider /&gt;; la pantalla de emitir licencia (usa date picker) crasheaba al renderizar.</w:t>
            </w:r>
          </w:p>
        </w:tc>
        <w:tc>
          <w:tcPr>
            <w:tcW w:type="dxa" w:w="3168"/>
          </w:tcPr>
          <w:p>
            <w:pPr>
              <w:spacing w:after="40"/>
            </w:pPr>
            <w:r>
              <w:rPr>
                <w:sz w:val="19"/>
              </w:rPr>
              <w:t>Añadido junto a los demás providers de MudBlazor.</w:t>
            </w:r>
          </w:p>
        </w:tc>
      </w:tr>
      <w:tr>
        <w:tc>
          <w:tcPr>
            <w:tcW w:type="dxa" w:w="720"/>
          </w:tcPr>
          <w:p>
            <w:pPr>
              <w:spacing w:after="40"/>
            </w:pPr>
            <w:r>
              <w:rPr>
                <w:sz w:val="19"/>
              </w:rPr>
              <w:t>D-06</w:t>
            </w:r>
          </w:p>
        </w:tc>
        <w:tc>
          <w:tcPr>
            <w:tcW w:type="dxa" w:w="720"/>
          </w:tcPr>
          <w:p>
            <w:pPr>
              <w:spacing w:after="40"/>
            </w:pPr>
            <w:r>
              <w:rPr>
                <w:sz w:val="19"/>
              </w:rPr>
              <w:t>Media</w:t>
            </w:r>
          </w:p>
        </w:tc>
        <w:tc>
          <w:tcPr>
            <w:tcW w:type="dxa" w:w="2304"/>
          </w:tcPr>
          <w:p>
            <w:pPr>
              <w:spacing w:after="40"/>
            </w:pPr>
            <w:r>
              <w:rPr>
                <w:sz w:val="19"/>
              </w:rPr>
              <w:t>systemd Type=notify sin sd_notify</w:t>
            </w:r>
          </w:p>
        </w:tc>
        <w:tc>
          <w:tcPr>
            <w:tcW w:type="dxa" w:w="3888"/>
          </w:tcPr>
          <w:p>
            <w:pPr>
              <w:spacing w:after="40"/>
            </w:pPr>
            <w:r>
              <w:rPr>
                <w:sz w:val="19"/>
              </w:rPr>
              <w:t>Ninguna de las dos apps llama UseSystemd()/sd_notify; Type=notify esperaba una señal que nunca llegaba y systemd mataba procesos sanos tras el timeout.</w:t>
            </w:r>
          </w:p>
        </w:tc>
        <w:tc>
          <w:tcPr>
            <w:tcW w:type="dxa" w:w="3168"/>
          </w:tcPr>
          <w:p>
            <w:pPr>
              <w:spacing w:after="40"/>
            </w:pPr>
            <w:r>
              <w:rPr>
                <w:sz w:val="19"/>
              </w:rPr>
              <w:t>Type=simple en ambas unidades systemd.</w:t>
            </w:r>
          </w:p>
        </w:tc>
      </w:tr>
      <w:tr>
        <w:tc>
          <w:tcPr>
            <w:tcW w:type="dxa" w:w="720"/>
          </w:tcPr>
          <w:p>
            <w:pPr>
              <w:spacing w:after="40"/>
            </w:pPr>
            <w:r>
              <w:rPr>
                <w:sz w:val="19"/>
              </w:rPr>
              <w:t>D-07</w:t>
            </w:r>
          </w:p>
        </w:tc>
        <w:tc>
          <w:tcPr>
            <w:tcW w:type="dxa" w:w="720"/>
          </w:tcPr>
          <w:p>
            <w:pPr>
              <w:spacing w:after="40"/>
            </w:pPr>
            <w:r>
              <w:rPr>
                <w:sz w:val="19"/>
              </w:rPr>
              <w:t>Alta</w:t>
            </w:r>
          </w:p>
        </w:tc>
        <w:tc>
          <w:tcPr>
            <w:tcW w:type="dxa" w:w="2304"/>
          </w:tcPr>
          <w:p>
            <w:pPr>
              <w:spacing w:after="40"/>
            </w:pPr>
            <w:r>
              <w:rPr>
                <w:sz w:val="19"/>
              </w:rPr>
              <w:t>Cookie de sesión descartada en silencio sin TLS</w:t>
            </w:r>
          </w:p>
        </w:tc>
        <w:tc>
          <w:tcPr>
            <w:tcW w:type="dxa" w:w="3888"/>
          </w:tcPr>
          <w:p>
            <w:pPr>
              <w:spacing w:after="40"/>
            </w:pPr>
            <w:r>
              <w:rPr>
                <w:sz w:val="19"/>
              </w:rPr>
              <w:t>CookieSecurePolicy.Always fuera de Development exige HTTPS; sin TLS el login parecía funcionar en el servidor (UPDATE + audit log) pero cada request siguiente rebotaba a login — el navegador simplemente nunca guardaba la cookie.</w:t>
            </w:r>
          </w:p>
        </w:tc>
        <w:tc>
          <w:tcPr>
            <w:tcW w:type="dxa" w:w="3168"/>
          </w:tcPr>
          <w:p>
            <w:pPr>
              <w:spacing w:after="40"/>
            </w:pPr>
            <w:r>
              <w:rPr>
                <w:sz w:val="19"/>
              </w:rPr>
              <w:t>Cert autofirmado + TLS en nginx (redirect 80→443) + app.UseForwardedHeaders(...) nuevo en LicensingAdmin/Program.cs para que la app reconozca el esquema real detrás del proxy.</w:t>
            </w:r>
          </w:p>
        </w:tc>
      </w:tr>
      <w:tr>
        <w:tc>
          <w:tcPr>
            <w:tcW w:type="dxa" w:w="720"/>
          </w:tcPr>
          <w:p>
            <w:pPr>
              <w:spacing w:after="40"/>
            </w:pPr>
            <w:r>
              <w:rPr>
                <w:sz w:val="19"/>
              </w:rPr>
              <w:t>D-08</w:t>
            </w:r>
          </w:p>
        </w:tc>
        <w:tc>
          <w:tcPr>
            <w:tcW w:type="dxa" w:w="720"/>
          </w:tcPr>
          <w:p>
            <w:pPr>
              <w:spacing w:after="40"/>
            </w:pPr>
            <w:r>
              <w:rPr>
                <w:sz w:val="19"/>
              </w:rPr>
              <w:t>Baja</w:t>
            </w:r>
          </w:p>
        </w:tc>
        <w:tc>
          <w:tcPr>
            <w:tcW w:type="dxa" w:w="2304"/>
          </w:tcPr>
          <w:p>
            <w:pPr>
              <w:spacing w:after="40"/>
            </w:pPr>
            <w:r>
              <w:rPr>
                <w:sz w:val="19"/>
              </w:rPr>
              <w:t>Gotchas de shell/infra durante el despliegue</w:t>
            </w:r>
          </w:p>
        </w:tc>
        <w:tc>
          <w:tcPr>
            <w:tcW w:type="dxa" w:w="3888"/>
          </w:tcPr>
          <w:p>
            <w:pPr>
              <w:spacing w:after="40"/>
            </w:pPr>
            <w:r>
              <w:rPr>
                <w:sz w:val="19"/>
              </w:rPr>
              <w:t>(a) DNS interno del LXC inalcanzable desde su propia subred; (b) CRLF de Windows rompía provision.sh en Linux; (c) rsync no existe en el Git Bash de Windows; (d) un apóstrofo dentro de ${VAR:?mensaje} rompía el parser de bash aun entre comillas dobles.</w:t>
            </w:r>
          </w:p>
        </w:tc>
        <w:tc>
          <w:tcPr>
            <w:tcW w:type="dxa" w:w="3168"/>
          </w:tcPr>
          <w:p>
            <w:pPr>
              <w:spacing w:after="40"/>
            </w:pPr>
            <w:r>
              <w:rPr>
                <w:sz w:val="19"/>
              </w:rPr>
              <w:t>(a) DNS público temporal + aviso al usuario; (b) .gitattributes eol=lf; (c) deploy.sh a scp -r; (d) mensaje reescrito sin apóstrofo.</w:t>
            </w:r>
          </w:p>
        </w:tc>
      </w:tr>
      <w:tr>
        <w:tc>
          <w:tcPr>
            <w:tcW w:type="dxa" w:w="720"/>
          </w:tcPr>
          <w:p>
            <w:pPr>
              <w:spacing w:after="40"/>
            </w:pPr>
            <w:r>
              <w:rPr>
                <w:sz w:val="19"/>
              </w:rPr>
              <w:t>D-09</w:t>
            </w:r>
          </w:p>
        </w:tc>
        <w:tc>
          <w:tcPr>
            <w:tcW w:type="dxa" w:w="720"/>
          </w:tcPr>
          <w:p>
            <w:pPr>
              <w:spacing w:after="40"/>
            </w:pPr>
            <w:r>
              <w:rPr>
                <w:sz w:val="19"/>
              </w:rPr>
              <w:t>Alta</w:t>
            </w:r>
          </w:p>
        </w:tc>
        <w:tc>
          <w:tcPr>
            <w:tcW w:type="dxa" w:w="2304"/>
          </w:tcPr>
          <w:p>
            <w:pPr>
              <w:spacing w:after="40"/>
            </w:pPr>
            <w:r>
              <w:rPr>
                <w:sz w:val="19"/>
              </w:rPr>
              <w:t>LicensingApi corría con claves criptográficas efímeras</w:t>
            </w:r>
          </w:p>
        </w:tc>
        <w:tc>
          <w:tcPr>
            <w:tcW w:type="dxa" w:w="3888"/>
          </w:tcPr>
          <w:p>
            <w:pPr>
              <w:spacing w:after="40"/>
            </w:pPr>
            <w:r>
              <w:rPr>
                <w:sz w:val="19"/>
              </w:rPr>
              <w:t>Program.cs solo usa material persistente si Crypto:RsaPrivateKeyPem Y Crypto:AesKeyBase64 están configurados; el despliegue solo configuró la RSA, así que AMBAS claves (incluida la RSA ya configurada) caían al fallback aleatorio, regenerado en cada reinicio. Encontrado durante la investigación para el documento de referencia del DLL (CR-04, ítem 4) — ninguna activación real se había hecho todavía, sin impacto real.</w:t>
            </w:r>
          </w:p>
        </w:tc>
        <w:tc>
          <w:tcPr>
            <w:tcW w:type="dxa" w:w="3168"/>
          </w:tcPr>
          <w:p>
            <w:pPr>
              <w:spacing w:after="40"/>
            </w:pPr>
            <w:r>
              <w:rPr>
                <w:sz w:val="19"/>
              </w:rPr>
              <w:t>Clave AES-256 real generada, agregada a /etc/licensing-api/env, servicio reiniciado; confirmado por hash que ahora usa el mismo par RSA que LicensingAdmin.</w:t>
            </w:r>
          </w:p>
        </w:tc>
      </w:tr>
    </w:tbl>
    <w:p/>
    <w:p>
      <w:r>
        <w:br w:type="page"/>
      </w:r>
    </w:p>
    <w:p>
      <w:pPr>
        <w:pStyle w:val="Heading1"/>
      </w:pPr>
      <w:r>
        <w:rPr>
          <w:color w:val="1A233A"/>
        </w:rPr>
        <w:t>6. Security Remediation Summary</w:t>
      </w:r>
    </w:p>
    <w:p>
      <w:r>
        <w:t>Cada tarea del blueprint pasó por un subagente security-auditor antes de aprobarse; la Definition of Done del equipo exige "sin hallazgos ALTA abiertos". Todo hallazgo ALTA encontrado durante el proyecto fue cerrado dentro de la misma tarea. Los hallazgos MEDIA/BAJA aceptados como diseño o diferidos viven en el "hardening backlog" (status/licensing-system.md §20.4, repo dev-team).</w:t>
      </w:r>
    </w:p>
    <w:p>
      <w:pPr>
        <w:pStyle w:val="Heading2"/>
      </w:pPr>
      <w:r>
        <w:rPr>
          <w:color w:val="1A233A"/>
        </w:rPr>
        <w:t>6.1 Hallazgos ALTA — todos cerrados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1a233a"/>
          </w:tcPr>
          <w:p>
            <w:r>
              <w:rPr>
                <w:b/>
                <w:color w:val="FFFFFF"/>
                <w:sz w:val="19"/>
              </w:rPr>
              <w:t>Tarea</w:t>
            </w:r>
          </w:p>
        </w:tc>
        <w:tc>
          <w:tcPr>
            <w:tcW w:type="dxa" w:w="5040"/>
            <w:shd w:fill="1a233a"/>
          </w:tcPr>
          <w:p>
            <w:r>
              <w:rPr>
                <w:b/>
                <w:color w:val="FFFFFF"/>
                <w:sz w:val="19"/>
              </w:rPr>
              <w:t>Hallazgo</w:t>
            </w:r>
          </w:p>
        </w:tc>
        <w:tc>
          <w:tcPr>
            <w:tcW w:type="dxa" w:w="3600"/>
            <w:shd w:fill="1a233a"/>
          </w:tcPr>
          <w:p>
            <w:r>
              <w:rPr>
                <w:b/>
                <w:color w:val="FFFFFF"/>
                <w:sz w:val="19"/>
              </w:rPr>
              <w:t>Cierre</w:t>
            </w:r>
          </w:p>
        </w:tc>
      </w:tr>
      <w:tr>
        <w:tc>
          <w:tcPr>
            <w:tcW w:type="dxa" w:w="1440"/>
          </w:tcPr>
          <w:p>
            <w:pPr>
              <w:spacing w:after="40"/>
            </w:pPr>
            <w:r>
              <w:rPr>
                <w:sz w:val="19"/>
              </w:rPr>
              <w:t>E1-T5</w:t>
            </w:r>
          </w:p>
        </w:tc>
        <w:tc>
          <w:tcPr>
            <w:tcW w:type="dxa" w:w="5040"/>
          </w:tcPr>
          <w:p>
            <w:pPr>
              <w:spacing w:after="40"/>
            </w:pPr>
            <w:r>
              <w:rPr>
                <w:sz w:val="19"/>
              </w:rPr>
              <w:t>Firma de licencia sin separación de dominio / normalización de fecha</w:t>
            </w:r>
          </w:p>
        </w:tc>
        <w:tc>
          <w:tcPr>
            <w:tcW w:type="dxa" w:w="3600"/>
          </w:tcPr>
          <w:p>
            <w:pPr>
              <w:spacing w:after="40"/>
            </w:pPr>
            <w:r>
              <w:rPr>
                <w:sz w:val="19"/>
              </w:rPr>
              <w:t>CanonicalBytes con prefijo licsig-v1| + UTC truncado a segundos, formato invariante</w:t>
            </w:r>
          </w:p>
        </w:tc>
      </w:tr>
      <w:tr>
        <w:tc>
          <w:tcPr>
            <w:tcW w:type="dxa" w:w="1440"/>
          </w:tcPr>
          <w:p>
            <w:pPr>
              <w:spacing w:after="40"/>
            </w:pPr>
            <w:r>
              <w:rPr>
                <w:sz w:val="19"/>
              </w:rPr>
              <w:t>E1-T6</w:t>
            </w:r>
          </w:p>
        </w:tc>
        <w:tc>
          <w:tcPr>
            <w:tcW w:type="dxa" w:w="5040"/>
          </w:tcPr>
          <w:p>
            <w:pPr>
              <w:spacing w:after="40"/>
            </w:pPr>
            <w:r>
              <w:rPr>
                <w:sz w:val="19"/>
              </w:rPr>
              <w:t>AddLicenseSigner validaba la clave RSA de forma perezosa (lazy)</w:t>
            </w:r>
          </w:p>
        </w:tc>
        <w:tc>
          <w:tcPr>
            <w:tcW w:type="dxa" w:w="3600"/>
          </w:tcPr>
          <w:p>
            <w:pPr>
              <w:spacing w:after="40"/>
            </w:pPr>
            <w:r>
              <w:rPr>
                <w:sz w:val="19"/>
              </w:rPr>
              <w:t>Validación eager antes de builder.Build(); falla ruidosa con mensaje sin volcar la clave</w:t>
            </w:r>
          </w:p>
        </w:tc>
      </w:tr>
      <w:tr>
        <w:tc>
          <w:tcPr>
            <w:tcW w:type="dxa" w:w="1440"/>
          </w:tcPr>
          <w:p>
            <w:pPr>
              <w:spacing w:after="40"/>
            </w:pPr>
            <w:r>
              <w:rPr>
                <w:sz w:val="19"/>
              </w:rPr>
              <w:t>E1-T8</w:t>
            </w:r>
          </w:p>
        </w:tc>
        <w:tc>
          <w:tcPr>
            <w:tcW w:type="dxa" w:w="5040"/>
          </w:tcPr>
          <w:p>
            <w:pPr>
              <w:spacing w:after="40"/>
            </w:pPr>
            <w:r>
              <w:rPr>
                <w:sz w:val="19"/>
              </w:rPr>
              <w:t>Cookie sin SecurePolicy explícita + sin AccessDeniedPath propio</w:t>
            </w:r>
          </w:p>
        </w:tc>
        <w:tc>
          <w:tcPr>
            <w:tcW w:type="dxa" w:w="3600"/>
          </w:tcPr>
          <w:p>
            <w:pPr>
              <w:spacing w:after="40"/>
            </w:pPr>
            <w:r>
              <w:rPr>
                <w:sz w:val="19"/>
              </w:rPr>
              <w:t>CookieSecurePolicy.Always fuera de dev + página AccessDenied.cshtml anónima sin loop</w:t>
            </w:r>
          </w:p>
        </w:tc>
      </w:tr>
    </w:tbl>
    <w:p/>
    <w:p>
      <w:pPr>
        <w:pStyle w:val="Heading2"/>
      </w:pPr>
      <w:r>
        <w:rPr>
          <w:color w:val="1A233A"/>
        </w:rPr>
        <w:t>6.2 Hardening backlog — diferido intencionalmente, no bloqueante</w:t>
      </w:r>
    </w:p>
    <w:p>
      <w:r>
        <w:t>Documentado en status/licensing-system.md §20.4. El ítem #13 está marcado [PRIORIDAD] por el Arquitecto: verificación de autorización fresca contra la base de datos (no solo el claim de la cookie, que puede quedar obsoleto hasta 30 minutos) antes de cada escritura irreversible — emisión de licencia, resolución de pending-review, gestión de administradores. Recomendado hacer antes de operar con licencias/administradores reales en producción a gran escala.</w:t>
      </w:r>
    </w:p>
    <w:p>
      <w:pPr>
        <w:pStyle w:val="ListBullet"/>
      </w:pPr>
      <w:r>
        <w:t>#8 — predicado sargable + DRY en RecordLoginAsync</w:t>
      </w:r>
    </w:p>
    <w:p>
      <w:pPr>
        <w:pStyle w:val="ListBullet"/>
      </w:pPr>
      <w:r>
        <w:t>#9 — Enums.cs: ReadOnlyViewer=0 + Enum.IsDefined en más puntos de escritura</w:t>
      </w:r>
    </w:p>
    <w:p>
      <w:pPr>
        <w:pStyle w:val="ListBullet"/>
      </w:pPr>
      <w:r>
        <w:t>#10 — lockout in-memory + audit LoginFailed</w:t>
      </w:r>
    </w:p>
    <w:p>
      <w:pPr>
        <w:pStyle w:val="ListBullet"/>
      </w:pPr>
      <w:r>
        <w:t>#11 — cabeceras de seguridad app-wide + CSP</w:t>
      </w:r>
    </w:p>
    <w:p>
      <w:pPr>
        <w:pStyle w:val="ListBullet"/>
      </w:pPr>
      <w:r>
        <w:t>#12 — EfLicenseStore: traducir 23505 (unicidad) a excepción tipada</w:t>
      </w:r>
    </w:p>
    <w:p>
      <w:pPr>
        <w:pStyle w:val="ListBullet"/>
      </w:pPr>
      <w:r>
        <w:t>#13 [PRIORIDAD] — autorización fresca contra BD antes de cada write irreversible</w:t>
      </w:r>
    </w:p>
    <w:p>
      <w:pPr>
        <w:pStyle w:val="ListBullet"/>
      </w:pPr>
      <w:r>
        <w:t>#14 — runbook de Admin:Bootstrap* (secreto aleatorio + retiro tras primer arranque)</w:t>
      </w:r>
    </w:p>
    <w:p>
      <w:pPr>
        <w:pStyle w:val="ListBullet"/>
      </w:pPr>
      <w:r>
        <w:t>#15 — MustChangePassword en primer login</w:t>
      </w:r>
    </w:p>
    <w:p>
      <w:r>
        <w:br w:type="page"/>
      </w:r>
    </w:p>
    <w:p>
      <w:pPr>
        <w:pStyle w:val="Heading1"/>
      </w:pPr>
      <w:r>
        <w:rPr>
          <w:color w:val="1A233A"/>
        </w:rPr>
        <w:t>7. Testing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5040"/>
            <w:shd w:fill="1a233a"/>
          </w:tcPr>
          <w:p>
            <w:r>
              <w:rPr>
                <w:b/>
                <w:color w:val="FFFFFF"/>
                <w:sz w:val="19"/>
              </w:rPr>
              <w:t>Hito</w:t>
            </w:r>
          </w:p>
        </w:tc>
        <w:tc>
          <w:tcPr>
            <w:tcW w:type="dxa" w:w="1728"/>
            <w:shd w:fill="1a233a"/>
          </w:tcPr>
          <w:p>
            <w:r>
              <w:rPr>
                <w:b/>
                <w:color w:val="FFFFFF"/>
                <w:sz w:val="19"/>
              </w:rPr>
              <w:t>Tests</w:t>
            </w:r>
          </w:p>
        </w:tc>
        <w:tc>
          <w:tcPr>
            <w:tcW w:type="dxa" w:w="3312"/>
            <w:shd w:fill="1a233a"/>
          </w:tcPr>
          <w:p>
            <w:r>
              <w:rPr>
                <w:b/>
                <w:color w:val="FFFFFF"/>
                <w:sz w:val="19"/>
              </w:rPr>
              <w:t>Resultado</w:t>
            </w:r>
          </w:p>
        </w:tc>
      </w:tr>
      <w:tr>
        <w:tc>
          <w:tcPr>
            <w:tcW w:type="dxa" w:w="5040"/>
          </w:tcPr>
          <w:p>
            <w:pPr>
              <w:spacing w:after="40"/>
            </w:pPr>
            <w:r>
              <w:rPr>
                <w:sz w:val="19"/>
              </w:rPr>
              <w:t>Cierre del slice 1 (E2-T8, 2026-09-03)</w:t>
            </w:r>
          </w:p>
        </w:tc>
        <w:tc>
          <w:tcPr>
            <w:tcW w:type="dxa" w:w="1728"/>
          </w:tcPr>
          <w:p>
            <w:pPr>
              <w:spacing w:after="40"/>
            </w:pPr>
            <w:r>
              <w:rPr>
                <w:sz w:val="19"/>
              </w:rPr>
              <w:t>366</w:t>
            </w:r>
          </w:p>
        </w:tc>
        <w:tc>
          <w:tcPr>
            <w:tcW w:type="dxa" w:w="3312"/>
          </w:tcPr>
          <w:p>
            <w:pPr>
              <w:spacing w:after="40"/>
            </w:pPr>
            <w:r>
              <w:rPr>
                <w:sz w:val="19"/>
              </w:rPr>
              <w:t>366/366, 0 skipped</w:t>
            </w:r>
          </w:p>
        </w:tc>
      </w:tr>
      <w:tr>
        <w:tc>
          <w:tcPr>
            <w:tcW w:type="dxa" w:w="5040"/>
          </w:tcPr>
          <w:p>
            <w:pPr>
              <w:spacing w:after="40"/>
            </w:pPr>
            <w:r>
              <w:rPr>
                <w:sz w:val="19"/>
              </w:rPr>
              <w:t>Tras E3 ítem 1 (autoservicio)</w:t>
            </w:r>
          </w:p>
        </w:tc>
        <w:tc>
          <w:tcPr>
            <w:tcW w:type="dxa" w:w="1728"/>
          </w:tcPr>
          <w:p>
            <w:pPr>
              <w:spacing w:after="40"/>
            </w:pPr>
            <w:r>
              <w:rPr>
                <w:sz w:val="19"/>
              </w:rPr>
              <w:t>374</w:t>
            </w:r>
          </w:p>
        </w:tc>
        <w:tc>
          <w:tcPr>
            <w:tcW w:type="dxa" w:w="3312"/>
          </w:tcPr>
          <w:p>
            <w:pPr>
              <w:spacing w:after="40"/>
            </w:pPr>
            <w:r>
              <w:rPr>
                <w:sz w:val="19"/>
              </w:rPr>
              <w:t>374/374</w:t>
            </w:r>
          </w:p>
        </w:tc>
      </w:tr>
      <w:tr>
        <w:tc>
          <w:tcPr>
            <w:tcW w:type="dxa" w:w="5040"/>
          </w:tcPr>
          <w:p>
            <w:pPr>
              <w:spacing w:after="40"/>
            </w:pPr>
            <w:r>
              <w:rPr>
                <w:sz w:val="19"/>
              </w:rPr>
              <w:t>Tras E3 ítem 6 (landing pública)</w:t>
            </w:r>
          </w:p>
        </w:tc>
        <w:tc>
          <w:tcPr>
            <w:tcW w:type="dxa" w:w="1728"/>
          </w:tcPr>
          <w:p>
            <w:pPr>
              <w:spacing w:after="40"/>
            </w:pPr>
            <w:r>
              <w:rPr>
                <w:sz w:val="19"/>
              </w:rPr>
              <w:t>376</w:t>
            </w:r>
          </w:p>
        </w:tc>
        <w:tc>
          <w:tcPr>
            <w:tcW w:type="dxa" w:w="3312"/>
          </w:tcPr>
          <w:p>
            <w:pPr>
              <w:spacing w:after="40"/>
            </w:pPr>
            <w:r>
              <w:rPr>
                <w:sz w:val="19"/>
              </w:rPr>
              <w:t>376/376</w:t>
            </w:r>
          </w:p>
        </w:tc>
      </w:tr>
      <w:tr>
        <w:tc>
          <w:tcPr>
            <w:tcW w:type="dxa" w:w="5040"/>
          </w:tcPr>
          <w:p>
            <w:pPr>
              <w:spacing w:after="40"/>
            </w:pPr>
            <w:r>
              <w:rPr>
                <w:sz w:val="19"/>
              </w:rPr>
              <w:t>Tras E3 ítem 2 (SMTP)</w:t>
            </w:r>
          </w:p>
        </w:tc>
        <w:tc>
          <w:tcPr>
            <w:tcW w:type="dxa" w:w="1728"/>
          </w:tcPr>
          <w:p>
            <w:pPr>
              <w:spacing w:after="40"/>
            </w:pPr>
            <w:r>
              <w:rPr>
                <w:sz w:val="19"/>
              </w:rPr>
              <w:t>381</w:t>
            </w:r>
          </w:p>
        </w:tc>
        <w:tc>
          <w:tcPr>
            <w:tcW w:type="dxa" w:w="3312"/>
          </w:tcPr>
          <w:p>
            <w:pPr>
              <w:spacing w:after="40"/>
            </w:pPr>
            <w:r>
              <w:rPr>
                <w:sz w:val="19"/>
              </w:rPr>
              <w:t>381/381</w:t>
            </w:r>
          </w:p>
        </w:tc>
      </w:tr>
      <w:tr>
        <w:tc>
          <w:tcPr>
            <w:tcW w:type="dxa" w:w="5040"/>
          </w:tcPr>
          <w:p>
            <w:pPr>
              <w:spacing w:after="40"/>
            </w:pPr>
            <w:r>
              <w:rPr>
                <w:sz w:val="19"/>
              </w:rPr>
              <w:t>Estado final de este documento</w:t>
            </w:r>
          </w:p>
        </w:tc>
        <w:tc>
          <w:tcPr>
            <w:tcW w:type="dxa" w:w="1728"/>
          </w:tcPr>
          <w:p>
            <w:pPr>
              <w:spacing w:after="40"/>
            </w:pPr>
            <w:r>
              <w:rPr>
                <w:sz w:val="19"/>
              </w:rPr>
              <w:t>381</w:t>
            </w:r>
          </w:p>
        </w:tc>
        <w:tc>
          <w:tcPr>
            <w:tcW w:type="dxa" w:w="3312"/>
          </w:tcPr>
          <w:p>
            <w:pPr>
              <w:spacing w:after="40"/>
            </w:pPr>
            <w:r>
              <w:rPr>
                <w:sz w:val="19"/>
              </w:rPr>
              <w:t>381/381, 0 skipped</w:t>
            </w:r>
          </w:p>
        </w:tc>
      </w:tr>
    </w:tbl>
    <w:p/>
    <w:p>
      <w:r>
        <w:t>Estrategia: xUnit v3, tests unitarios puros con fakes/stubs para servicios con lógica de negocio (AdminUserService, LicenseIssuanceService, AdminCredentialService, NotificationConfigService...), y WebApplicationFactory&lt;Program&gt; para pipelines de autorización HTTP de extremo a extremo sin base de datos real. Los adaptadores EF Core finos (EfLicenseStore, EfAdminUserStore, EfNotificationConfigStore, LicenseExportService) se documentan explícitamente como no testeados unitariamente — por diseño, siguiendo el mismo patrón en todo el proyecto.</w:t>
      </w:r>
    </w:p>
    <w:p>
      <w:r>
        <w:t>El paso "# manual: 14" (verificación contra Postgres real, no automatizable con fakes) es el único punto de verificación que corre contra infraestructura real, y fue precisamente el que encontró el defecto D-04 (mapeo de columnas) que ningún test automatizado podía haber detectado.</w:t>
      </w:r>
    </w:p>
    <w:p>
      <w:r>
        <w:br w:type="page"/>
      </w:r>
    </w:p>
    <w:p>
      <w:pPr>
        <w:pStyle w:val="Heading1"/>
      </w:pPr>
      <w:r>
        <w:rPr>
          <w:color w:val="1A233A"/>
        </w:rPr>
        <w:t>8. Risk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shd w:fill="1a233a"/>
          </w:tcPr>
          <w:p>
            <w:r>
              <w:rPr>
                <w:b/>
                <w:color w:val="FFFFFF"/>
                <w:sz w:val="19"/>
              </w:rPr>
              <w:t>#</w:t>
            </w:r>
          </w:p>
        </w:tc>
        <w:tc>
          <w:tcPr>
            <w:tcW w:type="dxa" w:w="3312"/>
            <w:shd w:fill="1a233a"/>
          </w:tcPr>
          <w:p>
            <w:r>
              <w:rPr>
                <w:b/>
                <w:color w:val="FFFFFF"/>
                <w:sz w:val="19"/>
              </w:rPr>
              <w:t>Riesgo</w:t>
            </w:r>
          </w:p>
        </w:tc>
        <w:tc>
          <w:tcPr>
            <w:tcW w:type="dxa" w:w="2304"/>
            <w:shd w:fill="1a233a"/>
          </w:tcPr>
          <w:p>
            <w:r>
              <w:rPr>
                <w:b/>
                <w:color w:val="FFFFFF"/>
                <w:sz w:val="19"/>
              </w:rPr>
              <w:t>Impacto</w:t>
            </w:r>
          </w:p>
        </w:tc>
        <w:tc>
          <w:tcPr>
            <w:tcW w:type="dxa" w:w="3744"/>
            <w:shd w:fill="1a233a"/>
          </w:tcPr>
          <w:p>
            <w:r>
              <w:rPr>
                <w:b/>
                <w:color w:val="FFFFFF"/>
                <w:sz w:val="19"/>
              </w:rPr>
              <w:t>Mitigación / Estado</w:t>
            </w:r>
          </w:p>
        </w:tc>
      </w:tr>
      <w:tr>
        <w:tc>
          <w:tcPr>
            <w:tcW w:type="dxa" w:w="720"/>
          </w:tcPr>
          <w:p>
            <w:pPr>
              <w:spacing w:after="40"/>
            </w:pPr>
            <w:r>
              <w:rPr>
                <w:sz w:val="19"/>
              </w:rPr>
              <w:t>R-1</w:t>
            </w:r>
          </w:p>
        </w:tc>
        <w:tc>
          <w:tcPr>
            <w:tcW w:type="dxa" w:w="3312"/>
          </w:tcPr>
          <w:p>
            <w:pPr>
              <w:spacing w:after="40"/>
            </w:pPr>
            <w:r>
              <w:rPr>
                <w:sz w:val="19"/>
              </w:rPr>
              <w:t>Password de Postgres (172.16.101.12) similar a la credencial histórica filtrada Test2020#</w:t>
            </w:r>
          </w:p>
        </w:tc>
        <w:tc>
          <w:tcPr>
            <w:tcW w:type="dxa" w:w="2304"/>
          </w:tcPr>
          <w:p>
            <w:pPr>
              <w:spacing w:after="40"/>
            </w:pPr>
            <w:r>
              <w:rPr>
                <w:sz w:val="19"/>
              </w:rPr>
              <w:t>Alto si se explota</w:t>
            </w:r>
          </w:p>
        </w:tc>
        <w:tc>
          <w:tcPr>
            <w:tcW w:type="dxa" w:w="3744"/>
          </w:tcPr>
          <w:p>
            <w:pPr>
              <w:spacing w:after="40"/>
            </w:pPr>
            <w:r>
              <w:rPr>
                <w:sz w:val="19"/>
              </w:rPr>
              <w:t>Rotación pospuesta por decisión del usuario ("proyecto va a correr en local por un tiempo"). No bloqueante hoy; pendiente de baja prioridad.</w:t>
            </w:r>
          </w:p>
        </w:tc>
      </w:tr>
      <w:tr>
        <w:tc>
          <w:tcPr>
            <w:tcW w:type="dxa" w:w="720"/>
          </w:tcPr>
          <w:p>
            <w:pPr>
              <w:spacing w:after="40"/>
            </w:pPr>
            <w:r>
              <w:rPr>
                <w:sz w:val="19"/>
              </w:rPr>
              <w:t>R-2</w:t>
            </w:r>
          </w:p>
        </w:tc>
        <w:tc>
          <w:tcPr>
            <w:tcW w:type="dxa" w:w="3312"/>
          </w:tcPr>
          <w:p>
            <w:pPr>
              <w:spacing w:after="40"/>
            </w:pPr>
            <w:r>
              <w:rPr>
                <w:sz w:val="19"/>
              </w:rPr>
              <w:t>DNS interno del LXC apunta a resolvers públicos temporales</w:t>
            </w:r>
          </w:p>
        </w:tc>
        <w:tc>
          <w:tcPr>
            <w:tcW w:type="dxa" w:w="2304"/>
          </w:tcPr>
          <w:p>
            <w:pPr>
              <w:spacing w:after="40"/>
            </w:pPr>
            <w:r>
              <w:rPr>
                <w:sz w:val="19"/>
              </w:rPr>
              <w:t>Medio — Proxmox puede revertirlo en el próximo sync/reinicio</w:t>
            </w:r>
          </w:p>
        </w:tc>
        <w:tc>
          <w:tcPr>
            <w:tcW w:type="dxa" w:w="3744"/>
          </w:tcPr>
          <w:p>
            <w:pPr>
              <w:spacing w:after="40"/>
            </w:pPr>
            <w:r>
              <w:rPr>
                <w:sz w:val="19"/>
              </w:rPr>
              <w:t>El usuario debe revisar por qué la subred 10.11.1.0/24 no alcanza los DNS internos 172.16.101.8/251/252</w:t>
            </w:r>
          </w:p>
        </w:tc>
      </w:tr>
      <w:tr>
        <w:tc>
          <w:tcPr>
            <w:tcW w:type="dxa" w:w="720"/>
          </w:tcPr>
          <w:p>
            <w:pPr>
              <w:spacing w:after="40"/>
            </w:pPr>
            <w:r>
              <w:rPr>
                <w:sz w:val="19"/>
              </w:rPr>
              <w:t>R-3</w:t>
            </w:r>
          </w:p>
        </w:tc>
        <w:tc>
          <w:tcPr>
            <w:tcW w:type="dxa" w:w="3312"/>
          </w:tcPr>
          <w:p>
            <w:pPr>
              <w:spacing w:after="40"/>
            </w:pPr>
            <w:r>
              <w:rPr>
                <w:sz w:val="19"/>
              </w:rPr>
              <w:t>Certificado TLS autofirmado en el LXC</w:t>
            </w:r>
          </w:p>
        </w:tc>
        <w:tc>
          <w:tcPr>
            <w:tcW w:type="dxa" w:w="2304"/>
          </w:tcPr>
          <w:p>
            <w:pPr>
              <w:spacing w:after="40"/>
            </w:pPr>
            <w:r>
              <w:rPr>
                <w:sz w:val="19"/>
              </w:rPr>
              <w:t>Bajo (LAN interna, sin DNS público)</w:t>
            </w:r>
          </w:p>
        </w:tc>
        <w:tc>
          <w:tcPr>
            <w:tcW w:type="dxa" w:w="3744"/>
          </w:tcPr>
          <w:p>
            <w:pPr>
              <w:spacing w:after="40"/>
            </w:pPr>
            <w:r>
              <w:rPr>
                <w:sz w:val="19"/>
              </w:rPr>
              <w:t>Aceptado para esta fase; revisar si el sistema se vuelve accesible desde internet</w:t>
            </w:r>
          </w:p>
        </w:tc>
      </w:tr>
      <w:tr>
        <w:tc>
          <w:tcPr>
            <w:tcW w:type="dxa" w:w="720"/>
          </w:tcPr>
          <w:p>
            <w:pPr>
              <w:spacing w:after="40"/>
            </w:pPr>
            <w:r>
              <w:rPr>
                <w:sz w:val="19"/>
              </w:rPr>
              <w:t>R-4</w:t>
            </w:r>
          </w:p>
        </w:tc>
        <w:tc>
          <w:tcPr>
            <w:tcW w:type="dxa" w:w="3312"/>
          </w:tcPr>
          <w:p>
            <w:pPr>
              <w:spacing w:after="40"/>
            </w:pPr>
            <w:r>
              <w:rPr>
                <w:sz w:val="19"/>
              </w:rPr>
              <w:t>Sin rate limiting en /api/activate y /api/checkin</w:t>
            </w:r>
          </w:p>
        </w:tc>
        <w:tc>
          <w:tcPr>
            <w:tcW w:type="dxa" w:w="2304"/>
          </w:tcPr>
          <w:p>
            <w:pPr>
              <w:spacing w:after="40"/>
            </w:pPr>
            <w:r>
              <w:rPr>
                <w:sz w:val="19"/>
              </w:rPr>
              <w:t>Medio si la API se expone a internet</w:t>
            </w:r>
          </w:p>
        </w:tc>
        <w:tc>
          <w:tcPr>
            <w:tcW w:type="dxa" w:w="3744"/>
          </w:tcPr>
          <w:p>
            <w:pPr>
              <w:spacing w:after="40"/>
            </w:pPr>
            <w:r>
              <w:rPr>
                <w:sz w:val="19"/>
              </w:rPr>
              <w:t>Non-Goal explícito del SoW original; TODO ya marcado en el código</w:t>
            </w:r>
          </w:p>
        </w:tc>
      </w:tr>
      <w:tr>
        <w:tc>
          <w:tcPr>
            <w:tcW w:type="dxa" w:w="720"/>
          </w:tcPr>
          <w:p>
            <w:pPr>
              <w:spacing w:after="40"/>
            </w:pPr>
            <w:r>
              <w:rPr>
                <w:sz w:val="19"/>
              </w:rPr>
              <w:t>R-5</w:t>
            </w:r>
          </w:p>
        </w:tc>
        <w:tc>
          <w:tcPr>
            <w:tcW w:type="dxa" w:w="3312"/>
          </w:tcPr>
          <w:p>
            <w:pPr>
              <w:spacing w:after="40"/>
            </w:pPr>
            <w:r>
              <w:rPr>
                <w:sz w:val="19"/>
              </w:rPr>
              <w:t>Autorización basada en claims de cookie con hasta 30 min de obsolescencia</w:t>
            </w:r>
          </w:p>
        </w:tc>
        <w:tc>
          <w:tcPr>
            <w:tcW w:type="dxa" w:w="2304"/>
          </w:tcPr>
          <w:p>
            <w:pPr>
              <w:spacing w:after="40"/>
            </w:pPr>
            <w:r>
              <w:rPr>
                <w:sz w:val="19"/>
              </w:rPr>
              <w:t>Medio para escrituras irreversibles (emitir licencia, gestionar admins)</w:t>
            </w:r>
          </w:p>
        </w:tc>
        <w:tc>
          <w:tcPr>
            <w:tcW w:type="dxa" w:w="3744"/>
          </w:tcPr>
          <w:p>
            <w:pPr>
              <w:spacing w:after="40"/>
            </w:pPr>
            <w:r>
              <w:rPr>
                <w:sz w:val="19"/>
              </w:rPr>
              <w:t>Hardening backlog #13 [PRIORIDAD] — no implementado aún</w:t>
            </w:r>
          </w:p>
        </w:tc>
      </w:tr>
      <w:tr>
        <w:tc>
          <w:tcPr>
            <w:tcW w:type="dxa" w:w="720"/>
          </w:tcPr>
          <w:p>
            <w:pPr>
              <w:spacing w:after="40"/>
            </w:pPr>
            <w:r>
              <w:rPr>
                <w:sz w:val="19"/>
              </w:rPr>
              <w:t>R-6</w:t>
            </w:r>
          </w:p>
        </w:tc>
        <w:tc>
          <w:tcPr>
            <w:tcW w:type="dxa" w:w="3312"/>
          </w:tcPr>
          <w:p>
            <w:pPr>
              <w:spacing w:after="40"/>
            </w:pPr>
            <w:r>
              <w:rPr>
                <w:sz w:val="19"/>
              </w:rPr>
              <w:t>Clave AES simétrica de LicensingApi debe compartirse fuera de banda con cualquier DLL cliente</w:t>
            </w:r>
          </w:p>
        </w:tc>
        <w:tc>
          <w:tcPr>
            <w:tcW w:type="dxa" w:w="2304"/>
          </w:tcPr>
          <w:p>
            <w:pPr>
              <w:spacing w:after="40"/>
            </w:pPr>
            <w:r>
              <w:rPr>
                <w:sz w:val="19"/>
              </w:rPr>
              <w:t>Medio — una clave simétrica embebida en un binario cliente nunca es secreta de verdad</w:t>
            </w:r>
          </w:p>
        </w:tc>
        <w:tc>
          <w:tcPr>
            <w:tcW w:type="dxa" w:w="3744"/>
          </w:tcPr>
          <w:p>
            <w:pPr>
              <w:spacing w:after="40"/>
            </w:pPr>
            <w:r>
              <w:rPr>
                <w:sz w:val="19"/>
              </w:rPr>
              <w:t>Documentado explícitamente en la referencia de integración (§5.5 de ese documento); es una limitación conocida del esquema, no un descuido</w:t>
            </w:r>
          </w:p>
        </w:tc>
      </w:tr>
    </w:tbl>
    <w:p/>
    <w:p>
      <w:r>
        <w:br w:type="page"/>
      </w:r>
    </w:p>
    <w:p>
      <w:pPr>
        <w:pStyle w:val="Heading1"/>
      </w:pPr>
      <w:r>
        <w:rPr>
          <w:color w:val="1A233A"/>
        </w:rPr>
        <w:t>9. Lessons Learned</w:t>
      </w:r>
    </w:p>
    <w:p>
      <w:r>
        <w:rPr>
          <w:b/>
        </w:rPr>
        <w:t>Los tests automatizados no sustituyen la verificación contra infraestructura real.</w:t>
      </w:r>
    </w:p>
    <w:p>
      <w:r>
        <w:t>El defecto D-04 (mapeo de columnas EF) sobrevivió 366 tests en verde porque ninguno tocaba Postgres real. El paso manual 14 del blueprint existía precisamente para esto, y cumplió su propósito la primera vez que se ejecutó de verdad.</w:t>
      </w:r>
    </w:p>
    <w:p>
      <w:r>
        <w:rPr>
          <w:b/>
        </w:rPr>
        <w:t>Un Non-Goal documentado no es una prohibición permanente — es una decisión con fecha de revisión.</w:t>
      </w:r>
    </w:p>
    <w:p>
      <w:r>
        <w:t>El blueprint original marcó Notification Settings y Reportes/exportación como explícitamente fuera de alcance, con la condición "revisar cuando se prioricen". El sponsor los pidió 10 días después, tras ver el sistema en uso real; ambos se construyeron sin conflicto con el diseño original porque el blueprint ya había dejado la puerta abierta.</w:t>
      </w:r>
    </w:p>
    <w:p>
      <w:r>
        <w:rPr>
          <w:b/>
        </w:rPr>
        <w:t>Cambiar el checkout de trabajo (Windows → Linux) expone gotchas invisibles en Windows.</w:t>
      </w:r>
    </w:p>
    <w:p>
      <w:r>
        <w:t>CRLF vs LF, la ausencia de rsync en Git Bash, y un apóstrofo rompiendo el parser de bash dentro de comillas dobles — ninguno se manifiesta trabajando solo en Windows; todos aparecieron en el primer despliegue real a Linux.</w:t>
      </w:r>
    </w:p>
    <w:p>
      <w:r>
        <w:rPr>
          <w:b/>
        </w:rPr>
        <w:t>Una condición AND sobre dos secretos de configuración puede enmascarar que uno de ellos sí se configuró.</w:t>
      </w:r>
    </w:p>
    <w:p>
      <w:r>
        <w:t>LicensingApi exige Crypto:RsaPrivateKeyPem Y Crypto:AesKeyBase64 juntos para usar material persistente; faltar solo uno tira ambos al modo efímero. La clave RSA correctamente configurada quedó ignorada sin ningún error visible hasta que se investigó a fondo para otro propósito (el documento de referencia del DLL).</w:t>
      </w:r>
    </w:p>
    <w:p>
      <w:r>
        <w:rPr>
          <w:b/>
        </w:rPr>
        <w:t>Un `[AllowAnonymous]` en un componente Blazor no basta si el FallbackPolicy protege el endpoint HTTP compartido que sirve el host.</w:t>
      </w:r>
    </w:p>
    <w:p>
      <w:r>
        <w:t>El primer intento de landing pública falló porque MapFallbackToPage("/_Host") es un único endpoint HTTP para todas las páginas Blazor; solo una Razor Page real (con su propio endpoint routeable) respeta [AllowAnonymous] frente al FallbackPolicy — el mismo patrón que ya usaban Login/Logout/AccessDenied.</w:t>
      </w:r>
    </w:p>
    <w:p>
      <w:r>
        <w:br w:type="page"/>
      </w:r>
    </w:p>
    <w:p>
      <w:pPr>
        <w:pStyle w:val="Heading1"/>
      </w:pPr>
      <w:r>
        <w:rPr>
          <w:color w:val="1A233A"/>
        </w:rPr>
        <w:t>10. Estado Actual / Sign-off</w:t>
      </w:r>
    </w:p>
    <w:p>
      <w:r>
        <w:t>Este NO es un documento de cierre — el proyecto sigue activo y el sponsor sigue dirigiendo trabajo directamente (ver CR-04 en curso). Esta sección resume el estado verificable a la fecha de generación de este documento.</w:t>
      </w:r>
    </w:p>
    <w:tbl>
      <w:tblPr>
        <w:tblStyle w:val="LightGrid-Accent1"/>
        <w:tblW w:type="auto" w:w="0"/>
        <w:jc w:val="center"/>
        <w:tblLook w:firstColumn="1" w:firstRow="1" w:lastColumn="0" w:lastRow="0" w:noHBand="0" w:noVBand="1" w:val="04A0"/>
      </w:tblPr>
      <w:tblGrid>
        <w:gridCol w:w="4320"/>
        <w:gridCol w:w="4320"/>
      </w:tblGrid>
      <w:tr>
        <w:tc>
          <w:tcPr>
            <w:tcW w:type="dxa" w:w="3600"/>
            <w:shd w:fill="1a233a"/>
          </w:tcPr>
          <w:p>
            <w:r>
              <w:rPr>
                <w:b/>
                <w:color w:val="FFFFFF"/>
                <w:sz w:val="19"/>
              </w:rPr>
              <w:t>Área</w:t>
            </w:r>
          </w:p>
        </w:tc>
        <w:tc>
          <w:tcPr>
            <w:tcW w:type="dxa" w:w="6480"/>
            <w:shd w:fill="1a233a"/>
          </w:tcPr>
          <w:p>
            <w:r>
              <w:rPr>
                <w:b/>
                <w:color w:val="FFFFFF"/>
                <w:sz w:val="19"/>
              </w:rPr>
              <w:t>Estado</w:t>
            </w:r>
          </w:p>
        </w:tc>
      </w:tr>
      <w:tr>
        <w:tc>
          <w:tcPr>
            <w:tcW w:type="dxa" w:w="3600"/>
          </w:tcPr>
          <w:p>
            <w:pPr>
              <w:spacing w:after="40"/>
            </w:pPr>
            <w:r>
              <w:rPr>
                <w:sz w:val="19"/>
              </w:rPr>
              <w:t>Slice 1 (blueprint original)</w:t>
            </w:r>
          </w:p>
        </w:tc>
        <w:tc>
          <w:tcPr>
            <w:tcW w:type="dxa" w:w="6480"/>
          </w:tcPr>
          <w:p>
            <w:pPr>
              <w:spacing w:after="40"/>
            </w:pPr>
            <w:r>
              <w:rPr>
                <w:sz w:val="19"/>
              </w:rPr>
              <w:t>Cerrado — 16/16 tareas, todas las revisiones APROBADO</w:t>
            </w:r>
          </w:p>
        </w:tc>
      </w:tr>
      <w:tr>
        <w:tc>
          <w:tcPr>
            <w:tcW w:type="dxa" w:w="3600"/>
          </w:tcPr>
          <w:p>
            <w:pPr>
              <w:spacing w:after="40"/>
            </w:pPr>
            <w:r>
              <w:rPr>
                <w:sz w:val="19"/>
              </w:rPr>
              <w:t>Repositorio</w:t>
            </w:r>
          </w:p>
        </w:tc>
        <w:tc>
          <w:tcPr>
            <w:tcW w:type="dxa" w:w="6480"/>
          </w:tcPr>
          <w:p>
            <w:pPr>
              <w:spacing w:after="40"/>
            </w:pPr>
            <w:r>
              <w:rPr>
                <w:sz w:val="19"/>
              </w:rPr>
              <w:t>GitHub privado, main actualizado con todo lo desplegado (commit e704178)</w:t>
            </w:r>
          </w:p>
        </w:tc>
      </w:tr>
      <w:tr>
        <w:tc>
          <w:tcPr>
            <w:tcW w:type="dxa" w:w="3600"/>
          </w:tcPr>
          <w:p>
            <w:pPr>
              <w:spacing w:after="40"/>
            </w:pPr>
            <w:r>
              <w:rPr>
                <w:sz w:val="19"/>
              </w:rPr>
              <w:t>Producción</w:t>
            </w:r>
          </w:p>
        </w:tc>
        <w:tc>
          <w:tcPr>
            <w:tcW w:type="dxa" w:w="6480"/>
          </w:tcPr>
          <w:p>
            <w:pPr>
              <w:spacing w:after="40"/>
            </w:pPr>
            <w:r>
              <w:rPr>
                <w:sz w:val="19"/>
              </w:rPr>
              <w:t>LXC Debian 13 (10.11.1.41) — LicensingAdmin (HTTPS) + LicensingApi, ambos activos</w:t>
            </w:r>
          </w:p>
        </w:tc>
      </w:tr>
      <w:tr>
        <w:tc>
          <w:tcPr>
            <w:tcW w:type="dxa" w:w="3600"/>
          </w:tcPr>
          <w:p>
            <w:pPr>
              <w:spacing w:after="40"/>
            </w:pPr>
            <w:r>
              <w:rPr>
                <w:sz w:val="19"/>
              </w:rPr>
              <w:t>Build / Tests</w:t>
            </w:r>
          </w:p>
        </w:tc>
        <w:tc>
          <w:tcPr>
            <w:tcW w:type="dxa" w:w="6480"/>
          </w:tcPr>
          <w:p>
            <w:pPr>
              <w:spacing w:after="40"/>
            </w:pPr>
            <w:r>
              <w:rPr>
                <w:sz w:val="19"/>
              </w:rPr>
              <w:t>dotnet build -warnaserror: 0 warnings. dotnet test: 381/381, 0 skipped</w:t>
            </w:r>
          </w:p>
        </w:tc>
      </w:tr>
      <w:tr>
        <w:tc>
          <w:tcPr>
            <w:tcW w:type="dxa" w:w="3600"/>
          </w:tcPr>
          <w:p>
            <w:pPr>
              <w:spacing w:after="40"/>
            </w:pPr>
            <w:r>
              <w:rPr>
                <w:sz w:val="19"/>
              </w:rPr>
              <w:t>CR-04 (paquete E3, 7 ítems)</w:t>
            </w:r>
          </w:p>
        </w:tc>
        <w:tc>
          <w:tcPr>
            <w:tcW w:type="dxa" w:w="6480"/>
          </w:tcPr>
          <w:p>
            <w:pPr>
              <w:spacing w:after="40"/>
            </w:pPr>
            <w:r>
              <w:rPr>
                <w:sz w:val="19"/>
              </w:rPr>
              <w:t>En curso — ítems 1-6 completos y verificados; ítem 7 es este documento</w:t>
            </w:r>
          </w:p>
        </w:tc>
      </w:tr>
      <w:tr>
        <w:tc>
          <w:tcPr>
            <w:tcW w:type="dxa" w:w="3600"/>
          </w:tcPr>
          <w:p>
            <w:pPr>
              <w:spacing w:after="40"/>
            </w:pPr>
            <w:r>
              <w:rPr>
                <w:sz w:val="19"/>
              </w:rPr>
              <w:t>Riesgos abiertos</w:t>
            </w:r>
          </w:p>
        </w:tc>
        <w:tc>
          <w:tcPr>
            <w:tcW w:type="dxa" w:w="6480"/>
          </w:tcPr>
          <w:p>
            <w:pPr>
              <w:spacing w:after="40"/>
            </w:pPr>
            <w:r>
              <w:rPr>
                <w:sz w:val="19"/>
              </w:rPr>
              <w:t>R-1 (password Postgres) y R-2 (DNS del LXC) — ambos de baja urgencia inmediata, ver §8</w:t>
            </w:r>
          </w:p>
        </w:tc>
      </w:tr>
    </w:tbl>
    <w:p/>
    <w:p>
      <w:r>
        <w:br w:type="page"/>
      </w:r>
    </w:p>
    <w:p>
      <w:pPr>
        <w:pStyle w:val="Heading1"/>
      </w:pPr>
      <w:r>
        <w:rPr>
          <w:color w:val="1A233A"/>
        </w:rPr>
        <w:t>11. Glosario</w:t>
      </w:r>
    </w:p>
    <w:tbl>
      <w:tblPr>
        <w:tblStyle w:val="LightGrid-Accent1"/>
        <w:tblW w:type="auto" w:w="0"/>
        <w:jc w:val="center"/>
        <w:tblLook w:firstColumn="1" w:firstRow="1" w:lastColumn="0" w:lastRow="0" w:noHBand="0" w:noVBand="1" w:val="04A0"/>
      </w:tblPr>
      <w:tblGrid>
        <w:gridCol w:w="4320"/>
        <w:gridCol w:w="4320"/>
      </w:tblGrid>
      <w:tr>
        <w:tc>
          <w:tcPr>
            <w:tcW w:type="dxa" w:w="2592"/>
            <w:shd w:fill="1a233a"/>
          </w:tcPr>
          <w:p>
            <w:r>
              <w:rPr>
                <w:b/>
                <w:color w:val="FFFFFF"/>
                <w:sz w:val="19"/>
              </w:rPr>
              <w:t>Término</w:t>
            </w:r>
          </w:p>
        </w:tc>
        <w:tc>
          <w:tcPr>
            <w:tcW w:type="dxa" w:w="7488"/>
            <w:shd w:fill="1a233a"/>
          </w:tcPr>
          <w:p>
            <w:r>
              <w:rPr>
                <w:b/>
                <w:color w:val="FFFFFF"/>
                <w:sz w:val="19"/>
              </w:rPr>
              <w:t>Definición</w:t>
            </w:r>
          </w:p>
        </w:tc>
      </w:tr>
      <w:tr>
        <w:tc>
          <w:tcPr>
            <w:tcW w:type="dxa" w:w="2592"/>
          </w:tcPr>
          <w:p>
            <w:pPr>
              <w:spacing w:after="40"/>
            </w:pPr>
            <w:r>
              <w:rPr>
                <w:sz w:val="19"/>
              </w:rPr>
              <w:t>Blueprint</w:t>
            </w:r>
          </w:p>
        </w:tc>
        <w:tc>
          <w:tcPr>
            <w:tcW w:type="dxa" w:w="7488"/>
          </w:tcPr>
          <w:p>
            <w:pPr>
              <w:spacing w:after="40"/>
            </w:pPr>
            <w:r>
              <w:rPr>
                <w:sz w:val="19"/>
              </w:rPr>
              <w:t>Documento de diseño formal producido por el Arquitecto (plugin "The Architect"): visión, alcance, non-goals, stack, epics y tareas.</w:t>
            </w:r>
          </w:p>
        </w:tc>
      </w:tr>
      <w:tr>
        <w:tc>
          <w:tcPr>
            <w:tcW w:type="dxa" w:w="2592"/>
          </w:tcPr>
          <w:p>
            <w:pPr>
              <w:spacing w:after="40"/>
            </w:pPr>
            <w:r>
              <w:rPr>
                <w:sz w:val="19"/>
              </w:rPr>
              <w:t>Slice</w:t>
            </w:r>
          </w:p>
        </w:tc>
        <w:tc>
          <w:tcPr>
            <w:tcW w:type="dxa" w:w="7488"/>
          </w:tcPr>
          <w:p>
            <w:pPr>
              <w:spacing w:after="40"/>
            </w:pPr>
            <w:r>
              <w:rPr>
                <w:sz w:val="19"/>
              </w:rPr>
              <w:t>Un incremento de alcance completo y cerrable del backlog (el slice 1 = Epics 01+02, 16 tareas).</w:t>
            </w:r>
          </w:p>
        </w:tc>
      </w:tr>
      <w:tr>
        <w:tc>
          <w:tcPr>
            <w:tcW w:type="dxa" w:w="2592"/>
          </w:tcPr>
          <w:p>
            <w:pPr>
              <w:spacing w:after="40"/>
            </w:pPr>
            <w:r>
              <w:rPr>
                <w:sz w:val="19"/>
              </w:rPr>
              <w:t>Activation</w:t>
            </w:r>
          </w:p>
        </w:tc>
        <w:tc>
          <w:tcPr>
            <w:tcW w:type="dxa" w:w="7488"/>
          </w:tcPr>
          <w:p>
            <w:pPr>
              <w:spacing w:after="40"/>
            </w:pPr>
            <w:r>
              <w:rPr>
                <w:sz w:val="19"/>
              </w:rPr>
              <w:t>Registro de una instalación del software cliente en una máquina concreta, ligado a una License por huella de hardware.</w:t>
            </w:r>
          </w:p>
        </w:tc>
      </w:tr>
      <w:tr>
        <w:tc>
          <w:tcPr>
            <w:tcW w:type="dxa" w:w="2592"/>
          </w:tcPr>
          <w:p>
            <w:pPr>
              <w:spacing w:after="40"/>
            </w:pPr>
            <w:r>
              <w:rPr>
                <w:sz w:val="19"/>
              </w:rPr>
              <w:t>License file</w:t>
            </w:r>
          </w:p>
        </w:tc>
        <w:tc>
          <w:tcPr>
            <w:tcW w:type="dxa" w:w="7488"/>
          </w:tcPr>
          <w:p>
            <w:pPr>
              <w:spacing w:after="40"/>
            </w:pPr>
            <w:r>
              <w:rPr>
                <w:sz w:val="19"/>
              </w:rPr>
              <w:t>El sobre firmado (RSA-SHA256) y cifrado (AES-256-GCM) que el DLL cliente persiste localmente tras activar/hacer checkin.</w:t>
            </w:r>
          </w:p>
        </w:tc>
      </w:tr>
      <w:tr>
        <w:tc>
          <w:tcPr>
            <w:tcW w:type="dxa" w:w="2592"/>
          </w:tcPr>
          <w:p>
            <w:pPr>
              <w:spacing w:after="40"/>
            </w:pPr>
            <w:r>
              <w:rPr>
                <w:sz w:val="19"/>
              </w:rPr>
              <w:t>Hardware fingerprint</w:t>
            </w:r>
          </w:p>
        </w:tc>
        <w:tc>
          <w:tcPr>
            <w:tcW w:type="dxa" w:w="7488"/>
          </w:tcPr>
          <w:p>
            <w:pPr>
              <w:spacing w:after="40"/>
            </w:pPr>
            <w:r>
              <w:rPr>
                <w:sz w:val="19"/>
              </w:rPr>
              <w:t>Los 4 campos (CpuId, MotherboardSerial, TpmId, MacAddressPrimary) que definen "la misma máquina".</w:t>
            </w:r>
          </w:p>
        </w:tc>
      </w:tr>
      <w:tr>
        <w:tc>
          <w:tcPr>
            <w:tcW w:type="dxa" w:w="2592"/>
          </w:tcPr>
          <w:p>
            <w:pPr>
              <w:spacing w:after="40"/>
            </w:pPr>
            <w:r>
              <w:rPr>
                <w:sz w:val="19"/>
              </w:rPr>
              <w:t>AuditLogEntry</w:t>
            </w:r>
          </w:p>
        </w:tc>
        <w:tc>
          <w:tcPr>
            <w:tcW w:type="dxa" w:w="7488"/>
          </w:tcPr>
          <w:p>
            <w:pPr>
              <w:spacing w:after="40"/>
            </w:pPr>
            <w:r>
              <w:rPr>
                <w:sz w:val="19"/>
              </w:rPr>
              <w:t>Registro inmutable de toda acción administrativa que muta datos, con el email real del actor.</w:t>
            </w:r>
          </w:p>
        </w:tc>
      </w:tr>
      <w:tr>
        <w:tc>
          <w:tcPr>
            <w:tcW w:type="dxa" w:w="2592"/>
          </w:tcPr>
          <w:p>
            <w:pPr>
              <w:spacing w:after="40"/>
            </w:pPr>
            <w:r>
              <w:rPr>
                <w:sz w:val="19"/>
              </w:rPr>
              <w:t>AuthPolicies</w:t>
            </w:r>
          </w:p>
        </w:tc>
        <w:tc>
          <w:tcPr>
            <w:tcW w:type="dxa" w:w="7488"/>
          </w:tcPr>
          <w:p>
            <w:pPr>
              <w:spacing w:after="40"/>
            </w:pPr>
            <w:r>
              <w:rPr>
                <w:sz w:val="19"/>
              </w:rPr>
              <w:t>Las 4 políticas de autorización nombradas: ViewerAccess, ReviewAccess, IssueAccess, AdminUserAccess.</w:t>
            </w:r>
          </w:p>
        </w:tc>
      </w:tr>
      <w:tr>
        <w:tc>
          <w:tcPr>
            <w:tcW w:type="dxa" w:w="2592"/>
          </w:tcPr>
          <w:p>
            <w:pPr>
              <w:spacing w:after="40"/>
            </w:pPr>
            <w:r>
              <w:rPr>
                <w:sz w:val="19"/>
              </w:rPr>
              <w:t>FallbackPolicy</w:t>
            </w:r>
          </w:p>
        </w:tc>
        <w:tc>
          <w:tcPr>
            <w:tcW w:type="dxa" w:w="7488"/>
          </w:tcPr>
          <w:p>
            <w:pPr>
              <w:spacing w:after="40"/>
            </w:pPr>
            <w:r>
              <w:rPr>
                <w:sz w:val="19"/>
              </w:rPr>
              <w:t>Política de ASP.NET Core que exige sesión autenticada en cualquier endpoint sin [Authorize]/[AllowAnonymous] explícito.</w:t>
            </w:r>
          </w:p>
        </w:tc>
      </w:tr>
      <w:tr>
        <w:tc>
          <w:tcPr>
            <w:tcW w:type="dxa" w:w="2592"/>
          </w:tcPr>
          <w:p>
            <w:pPr>
              <w:spacing w:after="40"/>
            </w:pPr>
            <w:r>
              <w:rPr>
                <w:sz w:val="19"/>
              </w:rPr>
              <w:t>Hardening backlog</w:t>
            </w:r>
          </w:p>
        </w:tc>
        <w:tc>
          <w:tcPr>
            <w:tcW w:type="dxa" w:w="7488"/>
          </w:tcPr>
          <w:p>
            <w:pPr>
              <w:spacing w:after="40"/>
            </w:pPr>
            <w:r>
              <w:rPr>
                <w:sz w:val="19"/>
              </w:rPr>
              <w:t>Lista numerada (§20.3/§20.4 en status/licensing-system.md) de hallazgos de seguridad aceptados como diseño o diferidos.</w:t>
            </w:r>
          </w:p>
        </w:tc>
      </w:tr>
      <w:tr>
        <w:tc>
          <w:tcPr>
            <w:tcW w:type="dxa" w:w="2592"/>
          </w:tcPr>
          <w:p>
            <w:pPr>
              <w:spacing w:after="40"/>
            </w:pPr>
            <w:r>
              <w:rPr>
                <w:sz w:val="19"/>
              </w:rPr>
              <w:t>Non-Goal</w:t>
            </w:r>
          </w:p>
        </w:tc>
        <w:tc>
          <w:tcPr>
            <w:tcW w:type="dxa" w:w="7488"/>
          </w:tcPr>
          <w:p>
            <w:pPr>
              <w:spacing w:after="40"/>
            </w:pPr>
            <w:r>
              <w:rPr>
                <w:sz w:val="19"/>
              </w:rPr>
              <w:t>Ítem explícitamente fuera de alcance en el blueprint, con una condición documentada de cuándo revisarlo.</w:t>
            </w:r>
          </w:p>
        </w:tc>
      </w:tr>
      <w:tr>
        <w:tc>
          <w:tcPr>
            <w:tcW w:type="dxa" w:w="2592"/>
          </w:tcPr>
          <w:p>
            <w:pPr>
              <w:spacing w:after="40"/>
            </w:pPr>
            <w:r>
              <w:rPr>
                <w:sz w:val="19"/>
              </w:rPr>
              <w:t>dev-team</w:t>
            </w:r>
          </w:p>
        </w:tc>
        <w:tc>
          <w:tcPr>
            <w:tcW w:type="dxa" w:w="7488"/>
          </w:tcPr>
          <w:p>
            <w:pPr>
              <w:spacing w:after="40"/>
            </w:pPr>
            <w:r>
              <w:rPr>
                <w:sz w:val="19"/>
              </w:rPr>
              <w:t>Repositorio Git separado que sirve de "sistema operativo" del equipo: coordinación, reviews, status, blueprints — no contiene código del producto.</w:t>
            </w:r>
          </w:p>
        </w:tc>
      </w:tr>
    </w:tbl>
    <w:p/>
    <w:p/>
    <w:p>
      <w:r>
        <w:rPr>
          <w:i/>
          <w:color w:val="555555"/>
          <w:sz w:val="17"/>
        </w:rPr>
        <w:t>Fuentes primarias de este documento: docs/blueprint/blueprint.md, docs/blueprint/epics/01-fundamentos.md, docs/blueprint/epics/02-auth-y-licencias.md, tasks.json (repo licensing-system); status/licensing-system.md, team/inbox-arq.md, team/inbox-dev.md, review/*.md (repo dev-team); y el historial de esta sesión de trabajo.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