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1390" w14:textId="77777777" w:rsidR="00B94944" w:rsidRDefault="00B94944" w:rsidP="00B94944">
      <w:pPr>
        <w:spacing w:line="480" w:lineRule="auto"/>
        <w:jc w:val="center"/>
        <w:rPr>
          <w:rFonts w:ascii="Times New Roman" w:hAnsi="Times New Roman" w:cs="Times New Roman"/>
        </w:rPr>
      </w:pPr>
    </w:p>
    <w:p w14:paraId="1DB879C8" w14:textId="77777777" w:rsidR="00B94944" w:rsidRDefault="00B94944" w:rsidP="00B94944">
      <w:pPr>
        <w:spacing w:line="480" w:lineRule="auto"/>
        <w:jc w:val="center"/>
        <w:rPr>
          <w:rFonts w:ascii="Times New Roman" w:hAnsi="Times New Roman" w:cs="Times New Roman"/>
        </w:rPr>
      </w:pPr>
    </w:p>
    <w:p w14:paraId="1E1B1D75" w14:textId="77777777" w:rsidR="00B94944" w:rsidRDefault="00B94944" w:rsidP="00B94944">
      <w:pPr>
        <w:spacing w:line="480" w:lineRule="auto"/>
        <w:jc w:val="center"/>
        <w:rPr>
          <w:rFonts w:ascii="Times New Roman" w:hAnsi="Times New Roman" w:cs="Times New Roman"/>
        </w:rPr>
      </w:pPr>
    </w:p>
    <w:p w14:paraId="3CDC2045" w14:textId="77777777" w:rsidR="00B94944" w:rsidRDefault="00B94944" w:rsidP="00B94944">
      <w:pPr>
        <w:spacing w:line="480" w:lineRule="auto"/>
        <w:jc w:val="center"/>
        <w:rPr>
          <w:rFonts w:ascii="Times New Roman" w:hAnsi="Times New Roman" w:cs="Times New Roman"/>
        </w:rPr>
      </w:pPr>
    </w:p>
    <w:p w14:paraId="5A320D33" w14:textId="77777777" w:rsidR="00B94944" w:rsidRDefault="00B94944" w:rsidP="00B94944">
      <w:pPr>
        <w:spacing w:line="480" w:lineRule="auto"/>
        <w:jc w:val="center"/>
        <w:rPr>
          <w:rFonts w:ascii="Times New Roman" w:hAnsi="Times New Roman" w:cs="Times New Roman"/>
        </w:rPr>
      </w:pPr>
    </w:p>
    <w:p w14:paraId="73F22525" w14:textId="77777777" w:rsidR="00B94944" w:rsidRDefault="00B94944" w:rsidP="00B94944">
      <w:pPr>
        <w:spacing w:line="480" w:lineRule="auto"/>
        <w:jc w:val="center"/>
        <w:rPr>
          <w:rFonts w:ascii="Times New Roman" w:hAnsi="Times New Roman" w:cs="Times New Roman"/>
        </w:rPr>
      </w:pPr>
    </w:p>
    <w:p w14:paraId="1A811CDD" w14:textId="77777777" w:rsidR="00B94944" w:rsidRDefault="00B94944" w:rsidP="00B94944">
      <w:pPr>
        <w:spacing w:line="480" w:lineRule="auto"/>
        <w:jc w:val="center"/>
        <w:rPr>
          <w:rFonts w:ascii="Times New Roman" w:hAnsi="Times New Roman" w:cs="Times New Roman"/>
        </w:rPr>
      </w:pPr>
    </w:p>
    <w:p w14:paraId="4F8EF49A" w14:textId="48D5C685" w:rsidR="00B94944" w:rsidRDefault="00B94944" w:rsidP="00B94944">
      <w:pPr>
        <w:spacing w:line="480" w:lineRule="auto"/>
        <w:jc w:val="center"/>
        <w:rPr>
          <w:rFonts w:ascii="Times New Roman" w:hAnsi="Times New Roman" w:cs="Times New Roman"/>
        </w:rPr>
      </w:pPr>
      <w:r>
        <w:rPr>
          <w:rFonts w:ascii="Times New Roman" w:hAnsi="Times New Roman" w:cs="Times New Roman"/>
        </w:rPr>
        <w:t>CS319 UI/UX Development and Design</w:t>
      </w:r>
    </w:p>
    <w:p w14:paraId="1366AF0A" w14:textId="642464C6" w:rsidR="00B94944" w:rsidRDefault="00B94944" w:rsidP="00B94944">
      <w:pPr>
        <w:spacing w:line="480" w:lineRule="auto"/>
        <w:jc w:val="center"/>
        <w:rPr>
          <w:rFonts w:ascii="Times New Roman" w:hAnsi="Times New Roman" w:cs="Times New Roman"/>
        </w:rPr>
      </w:pPr>
      <w:r>
        <w:rPr>
          <w:rFonts w:ascii="Times New Roman" w:hAnsi="Times New Roman" w:cs="Times New Roman"/>
        </w:rPr>
        <w:t>Module 7: Project 2</w:t>
      </w:r>
    </w:p>
    <w:p w14:paraId="64ACE1A2" w14:textId="5F31D94B" w:rsidR="00B94944" w:rsidRDefault="00B94944" w:rsidP="00B94944">
      <w:pPr>
        <w:spacing w:line="480" w:lineRule="auto"/>
        <w:jc w:val="center"/>
        <w:rPr>
          <w:rFonts w:ascii="Times New Roman" w:hAnsi="Times New Roman" w:cs="Times New Roman"/>
        </w:rPr>
      </w:pPr>
      <w:r>
        <w:rPr>
          <w:rFonts w:ascii="Times New Roman" w:hAnsi="Times New Roman" w:cs="Times New Roman"/>
        </w:rPr>
        <w:t>Sean Fitzpatrick</w:t>
      </w:r>
    </w:p>
    <w:p w14:paraId="7964B038" w14:textId="6B5A88AB" w:rsidR="00B94944" w:rsidRDefault="00B94944" w:rsidP="00B94944">
      <w:pPr>
        <w:spacing w:line="480" w:lineRule="auto"/>
        <w:jc w:val="center"/>
        <w:rPr>
          <w:rFonts w:ascii="Times New Roman" w:hAnsi="Times New Roman" w:cs="Times New Roman"/>
        </w:rPr>
      </w:pPr>
      <w:r>
        <w:rPr>
          <w:rFonts w:ascii="Times New Roman" w:hAnsi="Times New Roman" w:cs="Times New Roman"/>
        </w:rPr>
        <w:t>2/17/2026</w:t>
      </w:r>
    </w:p>
    <w:p w14:paraId="49618C4D" w14:textId="77777777" w:rsidR="00B94944" w:rsidRDefault="00B94944" w:rsidP="00B94944">
      <w:pPr>
        <w:spacing w:line="480" w:lineRule="auto"/>
        <w:jc w:val="center"/>
        <w:rPr>
          <w:rFonts w:ascii="Times New Roman" w:hAnsi="Times New Roman" w:cs="Times New Roman"/>
        </w:rPr>
      </w:pPr>
    </w:p>
    <w:p w14:paraId="2634512E" w14:textId="77777777" w:rsidR="00B94944" w:rsidRDefault="00B94944" w:rsidP="00B94944">
      <w:pPr>
        <w:spacing w:line="480" w:lineRule="auto"/>
        <w:jc w:val="center"/>
        <w:rPr>
          <w:rFonts w:ascii="Times New Roman" w:hAnsi="Times New Roman" w:cs="Times New Roman"/>
        </w:rPr>
      </w:pPr>
    </w:p>
    <w:p w14:paraId="67FBF019" w14:textId="77777777" w:rsidR="00B94944" w:rsidRDefault="00B94944" w:rsidP="00B94944">
      <w:pPr>
        <w:spacing w:line="480" w:lineRule="auto"/>
        <w:jc w:val="center"/>
        <w:rPr>
          <w:rFonts w:ascii="Times New Roman" w:hAnsi="Times New Roman" w:cs="Times New Roman"/>
        </w:rPr>
      </w:pPr>
    </w:p>
    <w:p w14:paraId="1F8F8BD3" w14:textId="77777777" w:rsidR="00B94944" w:rsidRDefault="00B94944" w:rsidP="00B94944">
      <w:pPr>
        <w:spacing w:line="480" w:lineRule="auto"/>
        <w:jc w:val="center"/>
        <w:rPr>
          <w:rFonts w:ascii="Times New Roman" w:hAnsi="Times New Roman" w:cs="Times New Roman"/>
        </w:rPr>
      </w:pPr>
    </w:p>
    <w:p w14:paraId="09311C8C" w14:textId="77777777" w:rsidR="00B94944" w:rsidRDefault="00B94944" w:rsidP="00B94944">
      <w:pPr>
        <w:spacing w:line="480" w:lineRule="auto"/>
        <w:jc w:val="center"/>
        <w:rPr>
          <w:rFonts w:ascii="Times New Roman" w:hAnsi="Times New Roman" w:cs="Times New Roman"/>
        </w:rPr>
      </w:pPr>
    </w:p>
    <w:p w14:paraId="7040A029" w14:textId="77777777" w:rsidR="00CC39FC" w:rsidRDefault="00CC39FC" w:rsidP="00C15CE7">
      <w:pPr>
        <w:spacing w:line="480" w:lineRule="auto"/>
        <w:rPr>
          <w:rFonts w:ascii="Times New Roman" w:hAnsi="Times New Roman" w:cs="Times New Roman"/>
          <w:b/>
          <w:bCs/>
        </w:rPr>
      </w:pPr>
    </w:p>
    <w:p w14:paraId="013E2363" w14:textId="77777777" w:rsidR="00CC39FC" w:rsidRDefault="00CC39FC" w:rsidP="00C15CE7">
      <w:pPr>
        <w:spacing w:line="480" w:lineRule="auto"/>
        <w:rPr>
          <w:rFonts w:ascii="Times New Roman" w:hAnsi="Times New Roman" w:cs="Times New Roman"/>
          <w:b/>
          <w:bCs/>
        </w:rPr>
      </w:pPr>
    </w:p>
    <w:p w14:paraId="107A2255" w14:textId="7A4D4432" w:rsidR="00C15CE7" w:rsidRPr="00C15CE7" w:rsidRDefault="00C15CE7" w:rsidP="00C15CE7">
      <w:pPr>
        <w:spacing w:line="480" w:lineRule="auto"/>
        <w:rPr>
          <w:rFonts w:ascii="Times New Roman" w:hAnsi="Times New Roman" w:cs="Times New Roman"/>
          <w:b/>
          <w:bCs/>
        </w:rPr>
      </w:pPr>
      <w:r w:rsidRPr="00C15CE7">
        <w:rPr>
          <w:rFonts w:ascii="Times New Roman" w:hAnsi="Times New Roman" w:cs="Times New Roman"/>
          <w:b/>
          <w:bCs/>
        </w:rPr>
        <w:lastRenderedPageBreak/>
        <w:t>Explanation: Rationale Behind Design Choices</w:t>
      </w:r>
    </w:p>
    <w:p w14:paraId="31982682" w14:textId="00B20F63"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Embedded devices such as flip phones have limited screen size, memory, and processing capabilities. Because of these hardware constraints, the application was intentionally designed to be primarily text-based with minimal graphics. Reducing image usage decreases load time, conserves device memory, and limits bandwidth consumption. This ensures critical loan information loads quickly and reliably, even in areas with limited network connectivity. By prioritizing essential data over decorative elements, borrowers receive fast, uninterrupted access to the information they need.</w:t>
      </w:r>
    </w:p>
    <w:p w14:paraId="617A0EA3" w14:textId="4D365B9B"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Entering login credentials on a flip phone keypad can be cumbersome and time-consuming. To improve accessibility and usability, the application links the borrower’s phone number to a user-defined PIN code. This simplifies authentication while maintaining security. Navigation throughout the application is handled using the device’s directional keypad (D-pad). Users move vertically and horizontally between selectable elements using directional input, and selections are confirmed with the enter key. Rather than relying on touchscreen gestures or a “back” arrow, navigation between screens is controlled through clearly defined on-screen options and the device’s keypad-based selection method, aligning the interface with embedded system limitations.</w:t>
      </w:r>
    </w:p>
    <w:p w14:paraId="1C173CAB" w14:textId="19C938D0"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The main entry screen prioritizes information that directly supports borrower goals. At the top of the screen, the Loan ID is displayed in larger, bold text so borrowers can immediately confirm they are viewing the correct loan. Directly beneath it, the loan status (for example, “In Progress” or “Funded”) provides an immediate update on the funding stage.</w:t>
      </w:r>
    </w:p>
    <w:p w14:paraId="23397341" w14:textId="2B954CBE" w:rsidR="00C15CE7" w:rsidRPr="00C15CE7" w:rsidRDefault="00C15CE7" w:rsidP="00C15CE7">
      <w:pPr>
        <w:spacing w:line="480" w:lineRule="auto"/>
        <w:rPr>
          <w:rFonts w:ascii="Times New Roman" w:hAnsi="Times New Roman" w:cs="Times New Roman"/>
        </w:rPr>
      </w:pPr>
      <w:r>
        <w:rPr>
          <w:rFonts w:ascii="Times New Roman" w:hAnsi="Times New Roman" w:cs="Times New Roman"/>
        </w:rPr>
        <w:lastRenderedPageBreak/>
        <w:t xml:space="preserve">    </w:t>
      </w:r>
      <w:r w:rsidRPr="00C15CE7">
        <w:rPr>
          <w:rFonts w:ascii="Times New Roman" w:hAnsi="Times New Roman" w:cs="Times New Roman"/>
        </w:rPr>
        <w:t xml:space="preserve">The center of the screen contains the most actionable data: the amount requested and the amount funded. These values are clearly labeled and formatted according to the borrower’s selected currency. A visual progress bar provides an intuitive representation of funding progress, allowing borrowers to assess the loan status </w:t>
      </w:r>
      <w:proofErr w:type="gramStart"/>
      <w:r w:rsidRPr="00C15CE7">
        <w:rPr>
          <w:rFonts w:ascii="Times New Roman" w:hAnsi="Times New Roman" w:cs="Times New Roman"/>
        </w:rPr>
        <w:t>at a glance</w:t>
      </w:r>
      <w:proofErr w:type="gramEnd"/>
      <w:r w:rsidRPr="00C15CE7">
        <w:rPr>
          <w:rFonts w:ascii="Times New Roman" w:hAnsi="Times New Roman" w:cs="Times New Roman"/>
        </w:rPr>
        <w:t xml:space="preserve"> without reading detailed text. Supporting information such as the funding start date, progress percentage, and expected completion date reinforces transparency and helps borrowers understand the timeline.</w:t>
      </w:r>
    </w:p>
    <w:p w14:paraId="2907B91C" w14:textId="72CA2D7C"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Navigation buttons are placed at the bottom of the screen for consistency and ease of access. The MENU button allows borrowers to update personal information, adjust currency or date preferences, change their PIN, or log out. The LENDERS button displays a structured table showing contributing lenders, including names and contribution amounts (with contact details included when appropriate). This supports transparency and strengthens the connection between borrowers and lenders. The PAYMENT button directs users to the Loan Repayment Screen.</w:t>
      </w:r>
    </w:p>
    <w:p w14:paraId="6994E2CB" w14:textId="63494180"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 xml:space="preserve">The Loan Repayment Screen mirrors the structure of the entry screen to maintain consistency and reduce learning time. The Loan ID remains prominently displayed at the top to reinforce context, and a screen header identifies that the user is viewing repayment information. The central section displays the remaining amount </w:t>
      </w:r>
      <w:proofErr w:type="gramStart"/>
      <w:r w:rsidRPr="00C15CE7">
        <w:rPr>
          <w:rFonts w:ascii="Times New Roman" w:hAnsi="Times New Roman" w:cs="Times New Roman"/>
        </w:rPr>
        <w:t>due</w:t>
      </w:r>
      <w:proofErr w:type="gramEnd"/>
      <w:r w:rsidRPr="00C15CE7">
        <w:rPr>
          <w:rFonts w:ascii="Times New Roman" w:hAnsi="Times New Roman" w:cs="Times New Roman"/>
        </w:rPr>
        <w:t xml:space="preserve"> and the amount already repaid, clearly labeled for easy comparison. A repayment progress bar provides a quick visual representation of progress toward full repayment.</w:t>
      </w:r>
    </w:p>
    <w:p w14:paraId="59B85709" w14:textId="2DF80271"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Beneath the progress indicator, the next payment due date is highlighted with a contrasting background to emphasize urgency. This design choice draws immediate attention to time-sensitive information and supports responsible repayment behavior. A prominent Make Payment button allows borrowers to authorize payments and navigate to a secure payment authorization screen where they may enter new financial details or use previously saved information.</w:t>
      </w:r>
    </w:p>
    <w:p w14:paraId="7FDF4187" w14:textId="65E6EC7C" w:rsidR="00C15CE7" w:rsidRPr="00C15CE7" w:rsidRDefault="00C15CE7" w:rsidP="00C15CE7">
      <w:pPr>
        <w:spacing w:line="480" w:lineRule="auto"/>
        <w:rPr>
          <w:rFonts w:ascii="Times New Roman" w:hAnsi="Times New Roman" w:cs="Times New Roman"/>
        </w:rPr>
      </w:pPr>
      <w:r>
        <w:rPr>
          <w:rFonts w:ascii="Times New Roman" w:hAnsi="Times New Roman" w:cs="Times New Roman"/>
        </w:rPr>
        <w:lastRenderedPageBreak/>
        <w:t xml:space="preserve">    </w:t>
      </w:r>
      <w:r w:rsidRPr="00C15CE7">
        <w:rPr>
          <w:rFonts w:ascii="Times New Roman" w:hAnsi="Times New Roman" w:cs="Times New Roman"/>
        </w:rPr>
        <w:t>The bottom navigation remains consistent with the main screen, except the PAYMENT button is replaced with a DETAILS button. This allows the user to return to the loan overview screen without requiring a touchscreen “back” control, reinforcing the keypad-based navigation model.</w:t>
      </w:r>
    </w:p>
    <w:p w14:paraId="1C010858" w14:textId="0B125274"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Overall, this simplified and structured design supports fast information retrieval, reduces device strain, and enhances usability within embedded hardware limitations. By prioritizing clarity, consistency, and efficiency, the design enables borrowers to monitor funding progress and manage repayments quickly and confidently while minimizing bandwidth and system resource usage.</w:t>
      </w:r>
    </w:p>
    <w:p w14:paraId="0621E13B" w14:textId="77777777" w:rsidR="00C15CE7" w:rsidRPr="00C15CE7" w:rsidRDefault="00C15CE7" w:rsidP="00C15CE7">
      <w:pPr>
        <w:spacing w:line="480" w:lineRule="auto"/>
        <w:rPr>
          <w:rFonts w:ascii="Times New Roman" w:hAnsi="Times New Roman" w:cs="Times New Roman"/>
          <w:b/>
          <w:bCs/>
        </w:rPr>
      </w:pPr>
      <w:r w:rsidRPr="00C15CE7">
        <w:rPr>
          <w:rFonts w:ascii="Times New Roman" w:hAnsi="Times New Roman" w:cs="Times New Roman"/>
          <w:b/>
          <w:bCs/>
        </w:rPr>
        <w:t xml:space="preserve">How </w:t>
      </w:r>
      <w:proofErr w:type="gramStart"/>
      <w:r w:rsidRPr="00C15CE7">
        <w:rPr>
          <w:rFonts w:ascii="Times New Roman" w:hAnsi="Times New Roman" w:cs="Times New Roman"/>
          <w:b/>
          <w:bCs/>
        </w:rPr>
        <w:t>the Design</w:t>
      </w:r>
      <w:proofErr w:type="gramEnd"/>
      <w:r w:rsidRPr="00C15CE7">
        <w:rPr>
          <w:rFonts w:ascii="Times New Roman" w:hAnsi="Times New Roman" w:cs="Times New Roman"/>
          <w:b/>
          <w:bCs/>
        </w:rPr>
        <w:t xml:space="preserve"> Benefits the Borrower</w:t>
      </w:r>
    </w:p>
    <w:p w14:paraId="595D6E7C" w14:textId="032375F9"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This design supports the borrower’s need for clarity, speed, and reliability. Borrowers using embedded devices may live in areas with limited internet access, slower networks, or older hardware. By minimizing graphics and focusing on structured text and progress indicators, the system ensures borrowers can access essential financial information without long load times or excessive data usage.</w:t>
      </w:r>
    </w:p>
    <w:p w14:paraId="5895D215" w14:textId="2BBDE1CA"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 xml:space="preserve">The design’s clear visual hierarchy reduces cognitive load. Borrowers can immediately confirm their Loan ID, review funding or repayment status, and identify urgent information such as upcoming payment deadlines. The use of progress bars allows users to interpret loan status </w:t>
      </w:r>
      <w:proofErr w:type="gramStart"/>
      <w:r w:rsidRPr="00C15CE7">
        <w:rPr>
          <w:rFonts w:ascii="Times New Roman" w:hAnsi="Times New Roman" w:cs="Times New Roman"/>
        </w:rPr>
        <w:t>at a glance</w:t>
      </w:r>
      <w:proofErr w:type="gramEnd"/>
      <w:r w:rsidRPr="00C15CE7">
        <w:rPr>
          <w:rFonts w:ascii="Times New Roman" w:hAnsi="Times New Roman" w:cs="Times New Roman"/>
        </w:rPr>
        <w:t>, which is especially important for quick check-ins during busy workdays or in areas with unstable connectivity.</w:t>
      </w:r>
    </w:p>
    <w:p w14:paraId="277FD1C0" w14:textId="59474955"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The PIN-based login system also benefits borrowers by removing the burden of typing long usernames and passwords on a numeric keypad. This reduces frustration, improves accessibility, and supports users who may have limited digital literacy.</w:t>
      </w:r>
    </w:p>
    <w:p w14:paraId="73FAABC1" w14:textId="77777777" w:rsidR="00C15CE7" w:rsidRPr="00C15CE7" w:rsidRDefault="00C15CE7" w:rsidP="00C15CE7">
      <w:pPr>
        <w:spacing w:line="480" w:lineRule="auto"/>
        <w:rPr>
          <w:rFonts w:ascii="Times New Roman" w:hAnsi="Times New Roman" w:cs="Times New Roman"/>
          <w:b/>
          <w:bCs/>
        </w:rPr>
      </w:pPr>
      <w:r w:rsidRPr="00C15CE7">
        <w:rPr>
          <w:rFonts w:ascii="Times New Roman" w:hAnsi="Times New Roman" w:cs="Times New Roman"/>
          <w:b/>
          <w:bCs/>
        </w:rPr>
        <w:lastRenderedPageBreak/>
        <w:t xml:space="preserve">How </w:t>
      </w:r>
      <w:proofErr w:type="gramStart"/>
      <w:r w:rsidRPr="00C15CE7">
        <w:rPr>
          <w:rFonts w:ascii="Times New Roman" w:hAnsi="Times New Roman" w:cs="Times New Roman"/>
          <w:b/>
          <w:bCs/>
        </w:rPr>
        <w:t>the Design</w:t>
      </w:r>
      <w:proofErr w:type="gramEnd"/>
      <w:r w:rsidRPr="00C15CE7">
        <w:rPr>
          <w:rFonts w:ascii="Times New Roman" w:hAnsi="Times New Roman" w:cs="Times New Roman"/>
          <w:b/>
          <w:bCs/>
        </w:rPr>
        <w:t xml:space="preserve"> Benefits Kiva</w:t>
      </w:r>
    </w:p>
    <w:p w14:paraId="633224CC" w14:textId="66A390AB"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This embedded application design aligns strongly with Kiva’s mission to expand financial access and empower underserved communities. By optimizing the system for low-resource devices such as flip phones, Kiva can extend its reach to borrowers who may not own smartphones or have consistent broadband access.</w:t>
      </w:r>
    </w:p>
    <w:p w14:paraId="5A3D8A2D" w14:textId="7A424CA9"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 xml:space="preserve">The streamlined interface encourages regular engagement with loan information. When borrowers can easily track funding progress and repayment status, they are more likely to remain informed and proactive. Highlighting the next payment due date and providing clear repayment </w:t>
      </w:r>
      <w:proofErr w:type="gramStart"/>
      <w:r w:rsidRPr="00C15CE7">
        <w:rPr>
          <w:rFonts w:ascii="Times New Roman" w:hAnsi="Times New Roman" w:cs="Times New Roman"/>
        </w:rPr>
        <w:t>progress</w:t>
      </w:r>
      <w:proofErr w:type="gramEnd"/>
      <w:r w:rsidRPr="00C15CE7">
        <w:rPr>
          <w:rFonts w:ascii="Times New Roman" w:hAnsi="Times New Roman" w:cs="Times New Roman"/>
        </w:rPr>
        <w:t xml:space="preserve"> indicators may help reduce missed payments and improve repayment consistency.</w:t>
      </w:r>
    </w:p>
    <w:p w14:paraId="1BE3D35C" w14:textId="4CBDC232"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Additionally, the lenders information screen fosters transparency and strengthens the connection between borrowers and lenders. By displaying contributor details, the design reinforces trust and accountability, which supports Kiva’s community-based lending model. Reduced bandwidth and resource demands also improve reliability in regions with unstable network conditions, strengthening user confidence in Kiva’s platform.</w:t>
      </w:r>
    </w:p>
    <w:p w14:paraId="67962375" w14:textId="71E89138" w:rsidR="00C15CE7" w:rsidRPr="00C15CE7" w:rsidRDefault="00C15CE7" w:rsidP="00C15CE7">
      <w:pPr>
        <w:spacing w:line="480" w:lineRule="auto"/>
        <w:rPr>
          <w:rFonts w:ascii="Times New Roman" w:hAnsi="Times New Roman" w:cs="Times New Roman"/>
          <w:b/>
          <w:bCs/>
        </w:rPr>
      </w:pPr>
      <w:r w:rsidRPr="00C15CE7">
        <w:rPr>
          <w:rFonts w:ascii="Times New Roman" w:hAnsi="Times New Roman" w:cs="Times New Roman"/>
          <w:b/>
          <w:bCs/>
        </w:rPr>
        <w:t>Innovative Solutions and Research Support</w:t>
      </w:r>
    </w:p>
    <w:p w14:paraId="4547CA06" w14:textId="202CCE06"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Several solutions were designed specifically to address embedded hardware constraints and borrower accessibility needs. The PIN-based authentication method simplifies secure access while accommodating the limitations of numeric keypads. Consistent structure between the entry and repayment screens reduces learning time and supports usability by reinforcing familiar patterns.</w:t>
      </w:r>
    </w:p>
    <w:p w14:paraId="14A19047" w14:textId="1234E633"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 xml:space="preserve">The use of visual progress bars within a text-dominant interface balances simplicity with clarity. Even without high-resolution graphics, borrowers gain an intuitive understanding of </w:t>
      </w:r>
      <w:r w:rsidRPr="00C15CE7">
        <w:rPr>
          <w:rFonts w:ascii="Times New Roman" w:hAnsi="Times New Roman" w:cs="Times New Roman"/>
        </w:rPr>
        <w:lastRenderedPageBreak/>
        <w:t>funding and repayment progress. Prior research in embedded and mobile usability supports minimizing visual complexity, reducing interaction steps, and maintaining consistent navigation patterns to improve comprehension—especially for users interacting with small screens. Applying these principles helps ensure accessibility, efficiency, and reliability within flip phone limitations.</w:t>
      </w:r>
    </w:p>
    <w:p w14:paraId="53721611" w14:textId="2D860C44" w:rsidR="00C15CE7" w:rsidRPr="00C15CE7" w:rsidRDefault="00C15CE7" w:rsidP="00C15CE7">
      <w:pPr>
        <w:spacing w:line="480" w:lineRule="auto"/>
        <w:rPr>
          <w:rFonts w:ascii="Times New Roman" w:hAnsi="Times New Roman" w:cs="Times New Roman"/>
          <w:b/>
          <w:bCs/>
        </w:rPr>
      </w:pPr>
      <w:r w:rsidRPr="00C15CE7">
        <w:rPr>
          <w:rFonts w:ascii="Times New Roman" w:hAnsi="Times New Roman" w:cs="Times New Roman"/>
          <w:b/>
          <w:bCs/>
        </w:rPr>
        <w:t>Recommendation: Adapting the Design for a Cloud-Based System</w:t>
      </w:r>
    </w:p>
    <w:p w14:paraId="6127C44C" w14:textId="353E2E61"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While the embedded borrower application prioritizes accessibility and simplicity, a cloud-based lender application would require expanded functionality, deeper analytics, and enhanced communication tools. Lenders typically access systems through web browsers or smartphones with greater processing power and display capabilities, allowing for a more feature-rich interface.</w:t>
      </w:r>
    </w:p>
    <w:p w14:paraId="4DA27C63" w14:textId="433753E9"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A lender-focused cloud system should include advanced search and filtering capabilities so lenders can sort loans by region, funding percentage, repayment term, risk level, and borrower profile characteristics. Unlike borrowers, who need streamlined status tracking, lenders benefit from comparison tools that help them make informed decisions based on both social impact and repayment reliability.</w:t>
      </w:r>
    </w:p>
    <w:p w14:paraId="0016EB35" w14:textId="6C3333D4"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To align with Kiva’s vision and mission of expanding financial access and fostering global community connections, the cloud-based lender system should emphasize transparency, trust, and measurable impact. Features such as impact dashboards, repayment history analytics, and borrower progress updates would reinforce accountability and encourage continued participation. Data visualizations showing repayment rates, regional impact, and portfolio diversification would further support decision-making and engagement.</w:t>
      </w:r>
    </w:p>
    <w:p w14:paraId="5535E654" w14:textId="53A8CCD1" w:rsidR="00C15CE7" w:rsidRPr="00C15CE7" w:rsidRDefault="00C15CE7" w:rsidP="00C15CE7">
      <w:pPr>
        <w:spacing w:line="480" w:lineRule="auto"/>
        <w:rPr>
          <w:rFonts w:ascii="Times New Roman" w:hAnsi="Times New Roman" w:cs="Times New Roman"/>
        </w:rPr>
      </w:pPr>
      <w:r>
        <w:rPr>
          <w:rFonts w:ascii="Times New Roman" w:hAnsi="Times New Roman" w:cs="Times New Roman"/>
        </w:rPr>
        <w:lastRenderedPageBreak/>
        <w:t xml:space="preserve">    </w:t>
      </w:r>
      <w:r w:rsidRPr="00C15CE7">
        <w:rPr>
          <w:rFonts w:ascii="Times New Roman" w:hAnsi="Times New Roman" w:cs="Times New Roman"/>
        </w:rPr>
        <w:t xml:space="preserve">Effective communication between application components is essential. The lender cloud system must </w:t>
      </w:r>
      <w:proofErr w:type="gramStart"/>
      <w:r w:rsidRPr="00C15CE7">
        <w:rPr>
          <w:rFonts w:ascii="Times New Roman" w:hAnsi="Times New Roman" w:cs="Times New Roman"/>
        </w:rPr>
        <w:t>integrate</w:t>
      </w:r>
      <w:proofErr w:type="gramEnd"/>
      <w:r w:rsidRPr="00C15CE7">
        <w:rPr>
          <w:rFonts w:ascii="Times New Roman" w:hAnsi="Times New Roman" w:cs="Times New Roman"/>
        </w:rPr>
        <w:t xml:space="preserve"> securely with Kiva’s central loan database, borrower records, and transaction processing services. Real-time synchronization between borrower repayment data and lender dashboards ensures lenders receive accurate, up-to-date information. Secure API communication between authentication services, loan management systems, and payment processing components supports seamless updates while maintaining privacy and data integrity.</w:t>
      </w:r>
    </w:p>
    <w:p w14:paraId="08CA53A5" w14:textId="0C26DD2A"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 xml:space="preserve">To optimize communication among components, the system should use centralized cloud infrastructure with a scalable microservices architecture. This allows independent services—such as loan tracking, messaging, analytics, and payment processing—to operate efficiently without overloading a single component. </w:t>
      </w:r>
      <w:proofErr w:type="gramStart"/>
      <w:r w:rsidRPr="00C15CE7">
        <w:rPr>
          <w:rFonts w:ascii="Times New Roman" w:hAnsi="Times New Roman" w:cs="Times New Roman"/>
        </w:rPr>
        <w:t>Caching</w:t>
      </w:r>
      <w:proofErr w:type="gramEnd"/>
      <w:r w:rsidRPr="00C15CE7">
        <w:rPr>
          <w:rFonts w:ascii="Times New Roman" w:hAnsi="Times New Roman" w:cs="Times New Roman"/>
        </w:rPr>
        <w:t xml:space="preserve"> frequently accessed data (such as popular loan categories or lender portfolio summaries) can reduce server strain and improve response times.</w:t>
      </w:r>
    </w:p>
    <w:p w14:paraId="609A9E57" w14:textId="56BAA3AB" w:rsidR="00C15CE7" w:rsidRP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Different lenders have varied goals that should be supported within the system. Some lenders prioritize social impact and prefer borrowers in specific regions or industries. Others focus on repayment reliability and risk minimization. Some lend small amounts frequently to diversify their portfolio, while others prefer fewer, larger contributions. The cloud-based system should accommodate these differences through customizable dashboards, portfolio tools, notification preferences, and filtering options.</w:t>
      </w:r>
    </w:p>
    <w:p w14:paraId="2059F289" w14:textId="623653C4" w:rsidR="00C15CE7" w:rsidRDefault="00C15CE7" w:rsidP="00C15CE7">
      <w:pPr>
        <w:spacing w:line="480" w:lineRule="auto"/>
        <w:rPr>
          <w:rFonts w:ascii="Times New Roman" w:hAnsi="Times New Roman" w:cs="Times New Roman"/>
        </w:rPr>
      </w:pPr>
      <w:r>
        <w:rPr>
          <w:rFonts w:ascii="Times New Roman" w:hAnsi="Times New Roman" w:cs="Times New Roman"/>
        </w:rPr>
        <w:t xml:space="preserve">    </w:t>
      </w:r>
      <w:r w:rsidRPr="00C15CE7">
        <w:rPr>
          <w:rFonts w:ascii="Times New Roman" w:hAnsi="Times New Roman" w:cs="Times New Roman"/>
        </w:rPr>
        <w:t>Ultimately, transitioning to a cloud-based lender system allows for enhanced analytics, stronger engagement tools, and scalable infrastructure. By designing a system that complements the embedded borrower interface, Kiva can create a cohesive ecosystem where borrower accessibility and lender empowerment work together to support sustainable microfinance operations.</w:t>
      </w:r>
    </w:p>
    <w:sectPr w:rsidR="00C15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44"/>
    <w:rsid w:val="00305353"/>
    <w:rsid w:val="00393B60"/>
    <w:rsid w:val="003B47E0"/>
    <w:rsid w:val="006425CB"/>
    <w:rsid w:val="00832F86"/>
    <w:rsid w:val="00B94944"/>
    <w:rsid w:val="00C15CE7"/>
    <w:rsid w:val="00C55B5D"/>
    <w:rsid w:val="00CC39FC"/>
    <w:rsid w:val="00CF7EE8"/>
    <w:rsid w:val="00D2046B"/>
    <w:rsid w:val="00D53044"/>
    <w:rsid w:val="00E0199F"/>
    <w:rsid w:val="00EB2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3A64"/>
  <w15:chartTrackingRefBased/>
  <w15:docId w15:val="{24DCB860-74DA-40A9-A79E-EF1E02F0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944"/>
    <w:rPr>
      <w:rFonts w:eastAsiaTheme="majorEastAsia" w:cstheme="majorBidi"/>
      <w:color w:val="272727" w:themeColor="text1" w:themeTint="D8"/>
    </w:rPr>
  </w:style>
  <w:style w:type="paragraph" w:styleId="Title">
    <w:name w:val="Title"/>
    <w:basedOn w:val="Normal"/>
    <w:next w:val="Normal"/>
    <w:link w:val="TitleChar"/>
    <w:uiPriority w:val="10"/>
    <w:qFormat/>
    <w:rsid w:val="00B9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944"/>
    <w:pPr>
      <w:spacing w:before="160"/>
      <w:jc w:val="center"/>
    </w:pPr>
    <w:rPr>
      <w:i/>
      <w:iCs/>
      <w:color w:val="404040" w:themeColor="text1" w:themeTint="BF"/>
    </w:rPr>
  </w:style>
  <w:style w:type="character" w:customStyle="1" w:styleId="QuoteChar">
    <w:name w:val="Quote Char"/>
    <w:basedOn w:val="DefaultParagraphFont"/>
    <w:link w:val="Quote"/>
    <w:uiPriority w:val="29"/>
    <w:rsid w:val="00B94944"/>
    <w:rPr>
      <w:i/>
      <w:iCs/>
      <w:color w:val="404040" w:themeColor="text1" w:themeTint="BF"/>
    </w:rPr>
  </w:style>
  <w:style w:type="paragraph" w:styleId="ListParagraph">
    <w:name w:val="List Paragraph"/>
    <w:basedOn w:val="Normal"/>
    <w:uiPriority w:val="34"/>
    <w:qFormat/>
    <w:rsid w:val="00B94944"/>
    <w:pPr>
      <w:ind w:left="720"/>
      <w:contextualSpacing/>
    </w:pPr>
  </w:style>
  <w:style w:type="character" w:styleId="IntenseEmphasis">
    <w:name w:val="Intense Emphasis"/>
    <w:basedOn w:val="DefaultParagraphFont"/>
    <w:uiPriority w:val="21"/>
    <w:qFormat/>
    <w:rsid w:val="00B94944"/>
    <w:rPr>
      <w:i/>
      <w:iCs/>
      <w:color w:val="0F4761" w:themeColor="accent1" w:themeShade="BF"/>
    </w:rPr>
  </w:style>
  <w:style w:type="paragraph" w:styleId="IntenseQuote">
    <w:name w:val="Intense Quote"/>
    <w:basedOn w:val="Normal"/>
    <w:next w:val="Normal"/>
    <w:link w:val="IntenseQuoteChar"/>
    <w:uiPriority w:val="30"/>
    <w:qFormat/>
    <w:rsid w:val="00B9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944"/>
    <w:rPr>
      <w:i/>
      <w:iCs/>
      <w:color w:val="0F4761" w:themeColor="accent1" w:themeShade="BF"/>
    </w:rPr>
  </w:style>
  <w:style w:type="character" w:styleId="IntenseReference">
    <w:name w:val="Intense Reference"/>
    <w:basedOn w:val="DefaultParagraphFont"/>
    <w:uiPriority w:val="32"/>
    <w:qFormat/>
    <w:rsid w:val="00B94944"/>
    <w:rPr>
      <w:b/>
      <w:bCs/>
      <w:smallCaps/>
      <w:color w:val="0F4761" w:themeColor="accent1" w:themeShade="BF"/>
      <w:spacing w:val="5"/>
    </w:rPr>
  </w:style>
  <w:style w:type="paragraph" w:styleId="Date">
    <w:name w:val="Date"/>
    <w:basedOn w:val="Normal"/>
    <w:next w:val="Normal"/>
    <w:link w:val="DateChar"/>
    <w:uiPriority w:val="99"/>
    <w:semiHidden/>
    <w:unhideWhenUsed/>
    <w:rsid w:val="00B94944"/>
  </w:style>
  <w:style w:type="character" w:customStyle="1" w:styleId="DateChar">
    <w:name w:val="Date Char"/>
    <w:basedOn w:val="DefaultParagraphFont"/>
    <w:link w:val="Date"/>
    <w:uiPriority w:val="99"/>
    <w:semiHidden/>
    <w:rsid w:val="00B94944"/>
  </w:style>
  <w:style w:type="paragraph" w:styleId="NormalWeb">
    <w:name w:val="Normal (Web)"/>
    <w:basedOn w:val="Normal"/>
    <w:uiPriority w:val="99"/>
    <w:semiHidden/>
    <w:unhideWhenUsed/>
    <w:rsid w:val="00393B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10</cp:revision>
  <dcterms:created xsi:type="dcterms:W3CDTF">2026-02-17T20:27:00Z</dcterms:created>
  <dcterms:modified xsi:type="dcterms:W3CDTF">2026-02-17T21:28:00Z</dcterms:modified>
</cp:coreProperties>
</file>