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page" w:horzAnchor="margin" w:tblpY="571"/>
        <w:tblOverlap w:val="never"/>
        <w:tblW w:w="10039" w:type="dxa"/>
        <w:tblInd w:w="0" w:type="dxa"/>
        <w:tblCellMar>
          <w:top w:w="12" w:type="dxa"/>
          <w:bottom w:w="5" w:type="dxa"/>
          <w:right w:w="115" w:type="dxa"/>
        </w:tblCellMar>
        <w:tblLook w:val="04A0" w:firstRow="1" w:lastRow="0" w:firstColumn="1" w:lastColumn="0" w:noHBand="0" w:noVBand="1"/>
      </w:tblPr>
      <w:tblGrid>
        <w:gridCol w:w="2694"/>
        <w:gridCol w:w="1330"/>
        <w:gridCol w:w="3351"/>
        <w:gridCol w:w="2664"/>
      </w:tblGrid>
      <w:tr w:rsidR="004A0FA8" w:rsidTr="004A0FA8">
        <w:trPr>
          <w:trHeight w:val="888"/>
        </w:trPr>
        <w:tc>
          <w:tcPr>
            <w:tcW w:w="2694" w:type="dxa"/>
            <w:tcBorders>
              <w:top w:val="single" w:sz="4" w:space="0" w:color="D9D9D9"/>
              <w:left w:val="single" w:sz="4" w:space="0" w:color="D9D9D9"/>
              <w:bottom w:val="single" w:sz="4" w:space="0" w:color="D9D9D9"/>
              <w:right w:val="single" w:sz="4" w:space="0" w:color="D9D9D9"/>
            </w:tcBorders>
            <w:vAlign w:val="center"/>
          </w:tcPr>
          <w:p w:rsidR="004A0FA8" w:rsidRDefault="004A0FA8" w:rsidP="004A0FA8">
            <w:pPr>
              <w:spacing w:after="0" w:line="259" w:lineRule="auto"/>
              <w:ind w:left="108" w:right="0" w:firstLine="0"/>
              <w:jc w:val="left"/>
            </w:pPr>
            <w:r>
              <w:rPr>
                <w:color w:val="C00000"/>
              </w:rPr>
              <w:t>BP</w:t>
            </w:r>
          </w:p>
          <w:p w:rsidR="004A0FA8" w:rsidRDefault="004A0FA8" w:rsidP="004A0FA8">
            <w:pPr>
              <w:spacing w:after="0" w:line="259" w:lineRule="auto"/>
              <w:ind w:left="108" w:right="0" w:firstLine="0"/>
              <w:jc w:val="left"/>
            </w:pPr>
            <w:r>
              <w:rPr>
                <w:color w:val="000000"/>
              </w:rPr>
              <w:t>Wandelt</w:t>
            </w:r>
            <w:r>
              <w:rPr>
                <w:rFonts w:ascii="Arial" w:eastAsia="Arial" w:hAnsi="Arial" w:cs="Arial"/>
                <w:color w:val="000000"/>
                <w:sz w:val="20"/>
              </w:rPr>
              <w:t xml:space="preserve"> </w:t>
            </w:r>
          </w:p>
        </w:tc>
        <w:tc>
          <w:tcPr>
            <w:tcW w:w="1330" w:type="dxa"/>
            <w:tcBorders>
              <w:top w:val="single" w:sz="4" w:space="0" w:color="D9D9D9"/>
              <w:left w:val="single" w:sz="4" w:space="0" w:color="D9D9D9"/>
              <w:bottom w:val="single" w:sz="4" w:space="0" w:color="D9D9D9"/>
              <w:right w:val="nil"/>
            </w:tcBorders>
          </w:tcPr>
          <w:p w:rsidR="004A0FA8" w:rsidRDefault="004A0FA8" w:rsidP="004A0FA8">
            <w:pPr>
              <w:spacing w:after="160" w:line="259" w:lineRule="auto"/>
              <w:ind w:left="0" w:right="0" w:firstLine="0"/>
              <w:jc w:val="left"/>
            </w:pPr>
          </w:p>
        </w:tc>
        <w:tc>
          <w:tcPr>
            <w:tcW w:w="3351" w:type="dxa"/>
            <w:tcBorders>
              <w:top w:val="single" w:sz="4" w:space="0" w:color="D9D9D9"/>
              <w:left w:val="nil"/>
              <w:bottom w:val="single" w:sz="4" w:space="0" w:color="D9D9D9"/>
              <w:right w:val="single" w:sz="4" w:space="0" w:color="D9D9D9"/>
            </w:tcBorders>
          </w:tcPr>
          <w:p w:rsidR="004A0FA8" w:rsidRDefault="004A0FA8" w:rsidP="004A0FA8">
            <w:pPr>
              <w:spacing w:after="0" w:line="259" w:lineRule="auto"/>
              <w:ind w:left="492" w:right="0" w:firstLine="0"/>
              <w:jc w:val="left"/>
            </w:pPr>
            <w:r>
              <w:rPr>
                <w:b/>
                <w:color w:val="C00000"/>
                <w:sz w:val="24"/>
              </w:rPr>
              <w:t xml:space="preserve">Marketing </w:t>
            </w:r>
          </w:p>
          <w:p w:rsidR="004A0FA8" w:rsidRDefault="004A0FA8" w:rsidP="004A0FA8">
            <w:pPr>
              <w:spacing w:after="0" w:line="259" w:lineRule="auto"/>
              <w:ind w:left="187" w:right="0" w:hanging="187"/>
              <w:jc w:val="left"/>
            </w:pPr>
            <w:r>
              <w:rPr>
                <w:color w:val="000000"/>
                <w:sz w:val="24"/>
              </w:rPr>
              <w:t xml:space="preserve">Thema: ABC-Analyse </w:t>
            </w:r>
            <w:r>
              <w:rPr>
                <w:color w:val="C00000"/>
                <w:sz w:val="24"/>
              </w:rPr>
              <w:t>Informationstext</w:t>
            </w:r>
            <w:r>
              <w:rPr>
                <w:color w:val="000000"/>
                <w:sz w:val="20"/>
              </w:rPr>
              <w:t xml:space="preserve"> </w:t>
            </w:r>
          </w:p>
        </w:tc>
        <w:tc>
          <w:tcPr>
            <w:tcW w:w="2664" w:type="dxa"/>
            <w:tcBorders>
              <w:top w:val="single" w:sz="4" w:space="0" w:color="D9D9D9"/>
              <w:left w:val="single" w:sz="4" w:space="0" w:color="D9D9D9"/>
              <w:bottom w:val="single" w:sz="4" w:space="0" w:color="D9D9D9"/>
              <w:right w:val="single" w:sz="4" w:space="0" w:color="D9D9D9"/>
            </w:tcBorders>
            <w:vAlign w:val="bottom"/>
          </w:tcPr>
          <w:p w:rsidR="004A0FA8" w:rsidRDefault="004A0FA8" w:rsidP="004A0FA8">
            <w:pPr>
              <w:spacing w:after="6" w:line="259" w:lineRule="auto"/>
              <w:ind w:left="105" w:right="0" w:firstLine="0"/>
              <w:jc w:val="left"/>
            </w:pPr>
            <w:r>
              <w:rPr>
                <w:noProof/>
              </w:rPr>
              <w:drawing>
                <wp:inline distT="0" distB="0" distL="0" distR="0" wp14:anchorId="0B325325" wp14:editId="24AC5B0E">
                  <wp:extent cx="1409700" cy="46609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5"/>
                          <a:stretch>
                            <a:fillRect/>
                          </a:stretch>
                        </pic:blipFill>
                        <pic:spPr>
                          <a:xfrm>
                            <a:off x="0" y="0"/>
                            <a:ext cx="1409700" cy="466090"/>
                          </a:xfrm>
                          <a:prstGeom prst="rect">
                            <a:avLst/>
                          </a:prstGeom>
                        </pic:spPr>
                      </pic:pic>
                    </a:graphicData>
                  </a:graphic>
                </wp:inline>
              </w:drawing>
            </w:r>
          </w:p>
          <w:p w:rsidR="004A0FA8" w:rsidRDefault="004A0FA8" w:rsidP="004A0FA8">
            <w:pPr>
              <w:spacing w:after="0" w:line="259" w:lineRule="auto"/>
              <w:ind w:left="108" w:right="0" w:firstLine="0"/>
              <w:jc w:val="left"/>
            </w:pPr>
            <w:r>
              <w:rPr>
                <w:color w:val="000000"/>
                <w:sz w:val="2"/>
              </w:rPr>
              <w:t xml:space="preserve"> </w:t>
            </w:r>
          </w:p>
        </w:tc>
      </w:tr>
      <w:tr w:rsidR="004A0FA8" w:rsidTr="004A0FA8">
        <w:trPr>
          <w:trHeight w:val="423"/>
        </w:trPr>
        <w:tc>
          <w:tcPr>
            <w:tcW w:w="2694" w:type="dxa"/>
            <w:tcBorders>
              <w:top w:val="single" w:sz="4" w:space="0" w:color="D9D9D9"/>
              <w:left w:val="single" w:sz="4" w:space="0" w:color="D9D9D9"/>
              <w:bottom w:val="single" w:sz="4" w:space="0" w:color="D9D9D9"/>
              <w:right w:val="single" w:sz="4" w:space="0" w:color="D9D9D9"/>
            </w:tcBorders>
          </w:tcPr>
          <w:p w:rsidR="004A0FA8" w:rsidRDefault="004A0FA8" w:rsidP="004A0FA8">
            <w:pPr>
              <w:spacing w:after="0" w:line="259" w:lineRule="auto"/>
              <w:ind w:left="108" w:right="2010" w:firstLine="0"/>
              <w:jc w:val="left"/>
            </w:pPr>
            <w:r>
              <w:rPr>
                <w:rFonts w:ascii="Arial" w:eastAsia="Arial" w:hAnsi="Arial" w:cs="Arial"/>
                <w:color w:val="000000"/>
                <w:sz w:val="20"/>
              </w:rPr>
              <w:t xml:space="preserve"> </w:t>
            </w:r>
            <w:r>
              <w:rPr>
                <w:color w:val="000000"/>
                <w:sz w:val="15"/>
              </w:rPr>
              <w:t xml:space="preserve">Name: </w:t>
            </w:r>
          </w:p>
        </w:tc>
        <w:tc>
          <w:tcPr>
            <w:tcW w:w="1330" w:type="dxa"/>
            <w:tcBorders>
              <w:top w:val="single" w:sz="4" w:space="0" w:color="D9D9D9"/>
              <w:left w:val="single" w:sz="4" w:space="0" w:color="D9D9D9"/>
              <w:bottom w:val="single" w:sz="4" w:space="0" w:color="D9D9D9"/>
              <w:right w:val="nil"/>
            </w:tcBorders>
          </w:tcPr>
          <w:p w:rsidR="004A0FA8" w:rsidRDefault="004A0FA8" w:rsidP="004A0FA8">
            <w:pPr>
              <w:spacing w:after="0" w:line="259" w:lineRule="auto"/>
              <w:ind w:left="108" w:right="595" w:firstLine="0"/>
              <w:jc w:val="left"/>
            </w:pPr>
            <w:r>
              <w:rPr>
                <w:rFonts w:ascii="Arial" w:eastAsia="Arial" w:hAnsi="Arial" w:cs="Arial"/>
                <w:color w:val="000000"/>
                <w:sz w:val="20"/>
              </w:rPr>
              <w:t xml:space="preserve"> </w:t>
            </w:r>
            <w:r>
              <w:rPr>
                <w:color w:val="000000"/>
                <w:sz w:val="15"/>
              </w:rPr>
              <w:t xml:space="preserve">Datum: </w:t>
            </w:r>
          </w:p>
        </w:tc>
        <w:tc>
          <w:tcPr>
            <w:tcW w:w="3351" w:type="dxa"/>
            <w:tcBorders>
              <w:top w:val="single" w:sz="4" w:space="0" w:color="D9D9D9"/>
              <w:left w:val="nil"/>
              <w:bottom w:val="single" w:sz="4" w:space="0" w:color="D9D9D9"/>
              <w:right w:val="single" w:sz="4" w:space="0" w:color="D9D9D9"/>
            </w:tcBorders>
          </w:tcPr>
          <w:p w:rsidR="004A0FA8" w:rsidRDefault="004A0FA8" w:rsidP="004A0FA8">
            <w:pPr>
              <w:spacing w:after="0" w:line="259" w:lineRule="auto"/>
              <w:ind w:left="0" w:right="70" w:firstLine="0"/>
              <w:jc w:val="center"/>
            </w:pPr>
            <w:r>
              <w:rPr>
                <w:rFonts w:ascii="Arial" w:eastAsia="Arial" w:hAnsi="Arial" w:cs="Arial"/>
                <w:color w:val="000000"/>
                <w:sz w:val="20"/>
              </w:rPr>
              <w:t xml:space="preserve"> </w:t>
            </w:r>
          </w:p>
          <w:p w:rsidR="004A0FA8" w:rsidRDefault="004A0FA8" w:rsidP="004A0FA8">
            <w:pPr>
              <w:spacing w:after="0" w:line="259" w:lineRule="auto"/>
              <w:ind w:left="292" w:right="0" w:firstLine="0"/>
              <w:jc w:val="center"/>
            </w:pPr>
            <w:r>
              <w:rPr>
                <w:color w:val="000000"/>
                <w:sz w:val="15"/>
              </w:rPr>
              <w:t xml:space="preserve">Klasse: </w:t>
            </w:r>
          </w:p>
        </w:tc>
        <w:tc>
          <w:tcPr>
            <w:tcW w:w="2664" w:type="dxa"/>
            <w:tcBorders>
              <w:top w:val="single" w:sz="4" w:space="0" w:color="D9D9D9"/>
              <w:left w:val="single" w:sz="4" w:space="0" w:color="D9D9D9"/>
              <w:bottom w:val="single" w:sz="4" w:space="0" w:color="D9D9D9"/>
              <w:right w:val="single" w:sz="4" w:space="0" w:color="D9D9D9"/>
            </w:tcBorders>
          </w:tcPr>
          <w:p w:rsidR="004A0FA8" w:rsidRDefault="004A0FA8" w:rsidP="004A0FA8">
            <w:pPr>
              <w:spacing w:after="0" w:line="259" w:lineRule="auto"/>
              <w:ind w:left="108" w:right="0" w:firstLine="0"/>
              <w:jc w:val="left"/>
            </w:pPr>
            <w:r>
              <w:rPr>
                <w:rFonts w:ascii="Arial" w:eastAsia="Arial" w:hAnsi="Arial" w:cs="Arial"/>
                <w:color w:val="000000"/>
                <w:sz w:val="20"/>
              </w:rPr>
              <w:t xml:space="preserve"> </w:t>
            </w:r>
            <w:r>
              <w:rPr>
                <w:rFonts w:ascii="Arial" w:eastAsia="Arial" w:hAnsi="Arial" w:cs="Arial"/>
                <w:color w:val="000000"/>
                <w:sz w:val="20"/>
              </w:rPr>
              <w:tab/>
              <w:t xml:space="preserve"> </w:t>
            </w:r>
          </w:p>
          <w:p w:rsidR="004A0FA8" w:rsidRDefault="004A0FA8" w:rsidP="004A0FA8">
            <w:pPr>
              <w:tabs>
                <w:tab w:val="center" w:pos="1627"/>
              </w:tabs>
              <w:spacing w:after="0" w:line="259" w:lineRule="auto"/>
              <w:ind w:left="0" w:right="0" w:firstLine="0"/>
              <w:jc w:val="left"/>
            </w:pPr>
            <w:r>
              <w:rPr>
                <w:color w:val="000000"/>
                <w:sz w:val="15"/>
              </w:rPr>
              <w:t xml:space="preserve">Blatt Nr.: 0/0 </w:t>
            </w:r>
            <w:r>
              <w:rPr>
                <w:color w:val="000000"/>
                <w:sz w:val="15"/>
              </w:rPr>
              <w:tab/>
              <w:t xml:space="preserve">Lfd. Nr.: </w:t>
            </w:r>
          </w:p>
        </w:tc>
      </w:tr>
    </w:tbl>
    <w:p w:rsidR="009533AF" w:rsidRDefault="004A0FA8">
      <w:pPr>
        <w:spacing w:after="0" w:line="259" w:lineRule="auto"/>
        <w:ind w:left="0" w:right="0" w:firstLine="0"/>
        <w:jc w:val="left"/>
      </w:pPr>
      <w:r>
        <w:rPr>
          <w:rFonts w:ascii="Arial" w:eastAsia="Arial" w:hAnsi="Arial" w:cs="Arial"/>
          <w:color w:val="000000"/>
          <w:sz w:val="16"/>
        </w:rPr>
        <w:t xml:space="preserve"> </w:t>
      </w:r>
      <w:r>
        <w:rPr>
          <w:rFonts w:ascii="Arial" w:eastAsia="Arial" w:hAnsi="Arial" w:cs="Arial"/>
          <w:color w:val="000000"/>
          <w:sz w:val="16"/>
        </w:rPr>
        <w:tab/>
        <w:t xml:space="preserve"> </w:t>
      </w:r>
      <w:r>
        <w:rPr>
          <w:rFonts w:ascii="Arial" w:eastAsia="Arial" w:hAnsi="Arial" w:cs="Arial"/>
          <w:color w:val="000000"/>
          <w:sz w:val="16"/>
        </w:rPr>
        <w:tab/>
        <w:t xml:space="preserve"> </w:t>
      </w:r>
      <w:r>
        <w:rPr>
          <w:rFonts w:ascii="Arial" w:eastAsia="Arial" w:hAnsi="Arial" w:cs="Arial"/>
          <w:color w:val="000000"/>
          <w:sz w:val="16"/>
        </w:rPr>
        <w:tab/>
        <w:t xml:space="preserve"> </w:t>
      </w:r>
      <w:r>
        <w:rPr>
          <w:rFonts w:ascii="Arial" w:eastAsia="Arial" w:hAnsi="Arial" w:cs="Arial"/>
          <w:color w:val="000000"/>
          <w:sz w:val="16"/>
        </w:rPr>
        <w:tab/>
        <w:t xml:space="preserve"> </w:t>
      </w:r>
    </w:p>
    <w:p w:rsidR="009533AF" w:rsidRDefault="004A0FA8" w:rsidP="004A0FA8">
      <w:pPr>
        <w:spacing w:after="136" w:line="259" w:lineRule="auto"/>
        <w:ind w:left="34" w:right="0" w:firstLine="0"/>
        <w:jc w:val="left"/>
      </w:pPr>
      <w:r>
        <w:rPr>
          <w:color w:val="000000"/>
          <w:sz w:val="8"/>
        </w:rPr>
        <w:t xml:space="preserve"> </w:t>
      </w:r>
      <w:r>
        <w:rPr>
          <w:b/>
          <w:color w:val="001133"/>
          <w:sz w:val="23"/>
        </w:rPr>
        <w:t xml:space="preserve">Die ABC-Analyse: </w:t>
      </w:r>
    </w:p>
    <w:p w:rsidR="009533AF" w:rsidRDefault="004A0FA8">
      <w:pPr>
        <w:spacing w:after="125"/>
        <w:ind w:left="19" w:right="0" w:firstLine="154"/>
      </w:pPr>
      <w:r>
        <w:rPr>
          <w:noProof/>
        </w:rPr>
        <w:drawing>
          <wp:anchor distT="0" distB="0" distL="114300" distR="114300" simplePos="0" relativeHeight="251658240" behindDoc="0" locked="0" layoutInCell="1" allowOverlap="0">
            <wp:simplePos x="0" y="0"/>
            <wp:positionH relativeFrom="column">
              <wp:posOffset>-11861</wp:posOffset>
            </wp:positionH>
            <wp:positionV relativeFrom="paragraph">
              <wp:posOffset>13589</wp:posOffset>
            </wp:positionV>
            <wp:extent cx="1133475" cy="868045"/>
            <wp:effectExtent l="0" t="0" r="0" b="0"/>
            <wp:wrapSquare wrapText="bothSides"/>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6"/>
                    <a:stretch>
                      <a:fillRect/>
                    </a:stretch>
                  </pic:blipFill>
                  <pic:spPr>
                    <a:xfrm>
                      <a:off x="0" y="0"/>
                      <a:ext cx="1133475" cy="868045"/>
                    </a:xfrm>
                    <a:prstGeom prst="rect">
                      <a:avLst/>
                    </a:prstGeom>
                  </pic:spPr>
                </pic:pic>
              </a:graphicData>
            </a:graphic>
          </wp:anchor>
        </w:drawing>
      </w:r>
      <w:r>
        <w:t xml:space="preserve">Die ABC-Analyse geht auf H. Ford </w:t>
      </w:r>
      <w:proofErr w:type="spellStart"/>
      <w:r>
        <w:t>Dickie</w:t>
      </w:r>
      <w:proofErr w:type="spellEnd"/>
      <w:r>
        <w:t>, einen Manager des US-Konzerns General Electric, zurück. Grundlage des 1951 erstmals beschriebenen Verfahrens bildet die</w:t>
      </w:r>
      <w:hyperlink r:id="rId7">
        <w:r>
          <w:t xml:space="preserve"> </w:t>
        </w:r>
      </w:hyperlink>
      <w:hyperlink r:id="rId8">
        <w:r>
          <w:t>80/20</w:t>
        </w:r>
      </w:hyperlink>
      <w:hyperlink r:id="rId9">
        <w:r>
          <w:t>-</w:t>
        </w:r>
      </w:hyperlink>
      <w:hyperlink r:id="rId10">
        <w:r>
          <w:t>Regel</w:t>
        </w:r>
      </w:hyperlink>
      <w:hyperlink r:id="rId11">
        <w:r>
          <w:t xml:space="preserve"> </w:t>
        </w:r>
      </w:hyperlink>
      <w:r>
        <w:t xml:space="preserve">(auch bekannt als Pareto-Prinzip). Die Regel besagt, dass sich 80% der Ergebnisse mit 20% des Gesamtaufwands erzielen lassen, während für die verbleibenden 20% der Ergebnisse 80% des Gesamtaufwands investiert werden müssen. Als Folge daraus versucht die ABC-Analyse, Wesentliches von Unwesentlichem zu trennen. </w:t>
      </w:r>
    </w:p>
    <w:p w:rsidR="009533AF" w:rsidRDefault="004A0FA8">
      <w:pPr>
        <w:spacing w:after="128"/>
        <w:ind w:left="29" w:right="0"/>
      </w:pPr>
      <w:r>
        <w:t xml:space="preserve">Im Marketing wird die ABC-Analyse u.a. dafür genutzt, zwischen wichtigen und weniger wichtigen Kunden zu differenzieren und zu erkennen, auf welche Kunden sich der Einsatz der Instrumente des Marketing-Mix konzentrieren sollte. Der Grundgedanke der ABC-Analyse ist der, die Kunden nach ihrer relativen Bedeutung für den unternehmerischen Erfolg des eigenen Unternehmens einzustufen. So steht die </w:t>
      </w:r>
      <w:r>
        <w:rPr>
          <w:b/>
        </w:rPr>
        <w:t>Gruppe A</w:t>
      </w:r>
      <w:r>
        <w:t xml:space="preserve"> für sehr wichtig, die </w:t>
      </w:r>
      <w:r>
        <w:rPr>
          <w:b/>
        </w:rPr>
        <w:t>Gruppe B</w:t>
      </w:r>
      <w:r>
        <w:t xml:space="preserve"> für wichtig und die </w:t>
      </w:r>
      <w:r>
        <w:rPr>
          <w:b/>
        </w:rPr>
        <w:t>Gruppe C</w:t>
      </w:r>
      <w:r>
        <w:t xml:space="preserve"> für weniger wichtig. Die Gruppierung in A-, B- oder C-Kunden erfolgt dabei nach dem Gesamtumsatz der jeweiligen Kundengruppe. </w:t>
      </w:r>
    </w:p>
    <w:p w:rsidR="009533AF" w:rsidRDefault="004A0FA8">
      <w:pPr>
        <w:spacing w:after="264" w:line="266" w:lineRule="auto"/>
        <w:ind w:right="-462"/>
        <w:jc w:val="left"/>
      </w:pPr>
      <w:r>
        <w:rPr>
          <w:noProof/>
        </w:rPr>
        <w:drawing>
          <wp:anchor distT="0" distB="0" distL="114300" distR="114300" simplePos="0" relativeHeight="251659264" behindDoc="0" locked="0" layoutInCell="1" allowOverlap="0">
            <wp:simplePos x="0" y="0"/>
            <wp:positionH relativeFrom="column">
              <wp:posOffset>3543503</wp:posOffset>
            </wp:positionH>
            <wp:positionV relativeFrom="paragraph">
              <wp:posOffset>-4571</wp:posOffset>
            </wp:positionV>
            <wp:extent cx="2546350" cy="1864995"/>
            <wp:effectExtent l="0" t="0" r="0" b="0"/>
            <wp:wrapSquare wrapText="bothSides"/>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2"/>
                    <a:stretch>
                      <a:fillRect/>
                    </a:stretch>
                  </pic:blipFill>
                  <pic:spPr>
                    <a:xfrm>
                      <a:off x="0" y="0"/>
                      <a:ext cx="2546350" cy="1864995"/>
                    </a:xfrm>
                    <a:prstGeom prst="rect">
                      <a:avLst/>
                    </a:prstGeom>
                  </pic:spPr>
                </pic:pic>
              </a:graphicData>
            </a:graphic>
          </wp:anchor>
        </w:drawing>
      </w:r>
      <w:r>
        <w:rPr>
          <w:color w:val="001133"/>
        </w:rPr>
        <w:t>Gemäß der Abbildung rechts werden Kunden häufig wie folgt kategorisiert:</w:t>
      </w:r>
      <w:r>
        <w:rPr>
          <w:color w:val="000000"/>
        </w:rPr>
        <w:t xml:space="preserve"> </w:t>
      </w:r>
    </w:p>
    <w:p w:rsidR="009533AF" w:rsidRDefault="004A0FA8">
      <w:pPr>
        <w:numPr>
          <w:ilvl w:val="0"/>
          <w:numId w:val="1"/>
        </w:numPr>
        <w:spacing w:after="147" w:line="266" w:lineRule="auto"/>
        <w:ind w:right="-462" w:hanging="245"/>
        <w:jc w:val="left"/>
      </w:pPr>
      <w:r>
        <w:rPr>
          <w:b/>
          <w:color w:val="001133"/>
        </w:rPr>
        <w:t xml:space="preserve">A-Kunden:  </w:t>
      </w:r>
      <w:r>
        <w:rPr>
          <w:color w:val="001133"/>
        </w:rPr>
        <w:t>70 - 80 % Anteil am Gesamtumsatz</w:t>
      </w:r>
      <w:r>
        <w:rPr>
          <w:b/>
          <w:color w:val="001133"/>
        </w:rPr>
        <w:t xml:space="preserve"> </w:t>
      </w:r>
    </w:p>
    <w:p w:rsidR="009533AF" w:rsidRDefault="004A0FA8">
      <w:pPr>
        <w:numPr>
          <w:ilvl w:val="0"/>
          <w:numId w:val="1"/>
        </w:numPr>
        <w:spacing w:after="147" w:line="266" w:lineRule="auto"/>
        <w:ind w:right="-462" w:hanging="245"/>
        <w:jc w:val="left"/>
      </w:pPr>
      <w:r>
        <w:rPr>
          <w:b/>
          <w:color w:val="001133"/>
        </w:rPr>
        <w:t xml:space="preserve">B-Kunden: </w:t>
      </w:r>
      <w:r>
        <w:rPr>
          <w:b/>
          <w:color w:val="001133"/>
        </w:rPr>
        <w:tab/>
      </w:r>
      <w:r>
        <w:rPr>
          <w:color w:val="001133"/>
        </w:rPr>
        <w:t xml:space="preserve">20 - 30 % Anteil am Gesamtumsatz  </w:t>
      </w:r>
    </w:p>
    <w:p w:rsidR="009533AF" w:rsidRDefault="004A0FA8">
      <w:pPr>
        <w:numPr>
          <w:ilvl w:val="0"/>
          <w:numId w:val="1"/>
        </w:numPr>
        <w:spacing w:after="252" w:line="266" w:lineRule="auto"/>
        <w:ind w:right="-462" w:hanging="245"/>
        <w:jc w:val="left"/>
      </w:pPr>
      <w:r>
        <w:rPr>
          <w:b/>
          <w:color w:val="001133"/>
        </w:rPr>
        <w:t xml:space="preserve">C-Kunden: </w:t>
      </w:r>
      <w:r>
        <w:rPr>
          <w:b/>
          <w:color w:val="001133"/>
        </w:rPr>
        <w:tab/>
      </w:r>
      <w:r>
        <w:rPr>
          <w:color w:val="001133"/>
        </w:rPr>
        <w:t>5 - 10 % Anteil am Gesamtumsatz</w:t>
      </w:r>
      <w:r>
        <w:rPr>
          <w:b/>
          <w:color w:val="000000"/>
        </w:rPr>
        <w:t xml:space="preserve"> </w:t>
      </w:r>
    </w:p>
    <w:p w:rsidR="009533AF" w:rsidRDefault="004A0FA8">
      <w:pPr>
        <w:spacing w:after="139" w:line="259" w:lineRule="auto"/>
        <w:ind w:left="175" w:right="0" w:firstLine="0"/>
        <w:jc w:val="left"/>
      </w:pPr>
      <w:r>
        <w:rPr>
          <w:b/>
          <w:color w:val="000000"/>
        </w:rPr>
        <w:t xml:space="preserve"> </w:t>
      </w:r>
    </w:p>
    <w:p w:rsidR="009533AF" w:rsidRDefault="004A0FA8">
      <w:pPr>
        <w:spacing w:after="170" w:line="259" w:lineRule="auto"/>
        <w:ind w:left="175" w:right="0" w:firstLine="0"/>
        <w:jc w:val="left"/>
      </w:pPr>
      <w:r>
        <w:rPr>
          <w:b/>
          <w:color w:val="000000"/>
        </w:rPr>
        <w:t xml:space="preserve">Durchführung der ABC-Analyse per Excel-Tabelle: </w:t>
      </w:r>
    </w:p>
    <w:p w:rsidR="009533AF" w:rsidRDefault="004A0FA8">
      <w:pPr>
        <w:numPr>
          <w:ilvl w:val="0"/>
          <w:numId w:val="2"/>
        </w:numPr>
        <w:spacing w:after="273" w:line="275" w:lineRule="auto"/>
        <w:ind w:left="454" w:right="0" w:hanging="286"/>
        <w:jc w:val="left"/>
      </w:pPr>
      <w:r>
        <w:t xml:space="preserve">In einem ersten Schritt wird der Umsatz der einzelnen Kunden ermittelt. Dies geschieht, indem die Waren, die jährlich von jedem der Kunden bestellt werden, erfasst und mit dem Preis, der durchschnittlich für die jeweiligen Waren bezahlt wird, multipliziert wird. </w:t>
      </w:r>
    </w:p>
    <w:p w:rsidR="009533AF" w:rsidRDefault="004A0FA8">
      <w:pPr>
        <w:numPr>
          <w:ilvl w:val="0"/>
          <w:numId w:val="2"/>
        </w:numPr>
        <w:ind w:left="454" w:right="0" w:hanging="286"/>
        <w:jc w:val="left"/>
      </w:pPr>
      <w:r>
        <w:t xml:space="preserve">Absteigend nach ihrem Umsatz werden nun alle Positionen sortiert (Tabellenspalte „Rang“). </w:t>
      </w:r>
    </w:p>
    <w:p w:rsidR="009533AF" w:rsidRDefault="004A0FA8">
      <w:pPr>
        <w:numPr>
          <w:ilvl w:val="0"/>
          <w:numId w:val="2"/>
        </w:numPr>
        <w:ind w:left="454" w:right="0" w:hanging="286"/>
        <w:jc w:val="left"/>
      </w:pPr>
      <w:r>
        <w:t xml:space="preserve">Anschließend wird der prozentuale Umsatzanteil jeder Position am Gesamtwert aller Positionen errechnet und die errechneten Prozentzahlen absteigend kumuliert (aufaddiert). </w:t>
      </w:r>
    </w:p>
    <w:p w:rsidR="009533AF" w:rsidRDefault="004A0FA8">
      <w:pPr>
        <w:numPr>
          <w:ilvl w:val="0"/>
          <w:numId w:val="2"/>
        </w:numPr>
        <w:ind w:left="454" w:right="0" w:hanging="286"/>
        <w:jc w:val="left"/>
      </w:pPr>
      <w:r>
        <w:t xml:space="preserve">Schritt 3 wird nun für die mengenmäßigen Verkäufe wiederholt. </w:t>
      </w:r>
    </w:p>
    <w:p w:rsidR="009533AF" w:rsidRDefault="004A0FA8">
      <w:pPr>
        <w:numPr>
          <w:ilvl w:val="0"/>
          <w:numId w:val="2"/>
        </w:numPr>
        <w:spacing w:after="273" w:line="275" w:lineRule="auto"/>
        <w:ind w:left="454" w:right="0" w:hanging="286"/>
        <w:jc w:val="left"/>
      </w:pPr>
      <w:r>
        <w:t xml:space="preserve">Jetzt müssen Wertgrenzen bei bestimmten Prozentanteilen vom Gesamtwert gezogen werden. Wo dies geschieht, kann pauschal nicht gesagt werden und ist von Situation zu Situation unterschiedlich. Es können z. B. wie in der Grafik oben, alle Kunden bis zu einem kumulierten prozentualen Anteil von 80% der Kategorie „A“, bis zum Wert 95% der Kategorie „B“ und die letzten 5% der Kategorie „C“ zugeteilt werden.  </w:t>
      </w:r>
    </w:p>
    <w:p w:rsidR="009533AF" w:rsidRDefault="004A0FA8">
      <w:pPr>
        <w:numPr>
          <w:ilvl w:val="0"/>
          <w:numId w:val="2"/>
        </w:numPr>
        <w:spacing w:after="512" w:line="275" w:lineRule="auto"/>
        <w:ind w:left="454" w:right="0" w:hanging="286"/>
        <w:jc w:val="left"/>
      </w:pPr>
      <w:r>
        <w:t xml:space="preserve">Im letzten Schritt werden die kumulierten prozentualen Anteile an der Gesamtmenge der Positionen dem kumulierten prozentualen Anteil jeder Position am Gesamtwert der Positionen gegenübergestellt (s. Blatt 2 in der Excel-Vorlage). Grafisch dargestellt ergibt sich dabei meist eine Lorenzkurve (s. Abb. oben) </w:t>
      </w:r>
    </w:p>
    <w:p w:rsidR="009533AF" w:rsidRDefault="004A0FA8" w:rsidP="004A0FA8">
      <w:pPr>
        <w:spacing w:after="0" w:line="259" w:lineRule="auto"/>
        <w:ind w:left="34" w:right="0" w:firstLine="0"/>
        <w:jc w:val="left"/>
        <w:rPr>
          <w:b/>
        </w:rPr>
      </w:pPr>
      <w:r>
        <w:rPr>
          <w:b/>
        </w:rPr>
        <w:lastRenderedPageBreak/>
        <w:t xml:space="preserve">Ergebnis und Ziel der ABC-Analyse: </w:t>
      </w:r>
    </w:p>
    <w:p w:rsidR="004A0FA8" w:rsidRDefault="004A0FA8" w:rsidP="004A0FA8">
      <w:pPr>
        <w:spacing w:after="0" w:line="259" w:lineRule="auto"/>
        <w:ind w:left="34" w:right="0" w:firstLine="0"/>
        <w:jc w:val="left"/>
      </w:pPr>
    </w:p>
    <w:p w:rsidR="009533AF" w:rsidRDefault="004A0FA8">
      <w:pPr>
        <w:spacing w:after="68"/>
        <w:ind w:left="29" w:right="0"/>
      </w:pPr>
      <w:r>
        <w:t>Als Ergebnis dieser sechs Schritte erhält man die Einteilung der Kunden in A-, B- und C-Kunden. In der Grafik ist bildlich sehr gut zu erkennen, wie viele der Kunden in die einzelnen Gruppen fallen. In Bezug auf die verkauften Produkte und Dienstleistungen machen die A-Kunden den höchsten Umsatzwert aus. Den geringsten Umsatzanteil besitzen C-Kunden, obwohl sie oft den mengenmäßigen Großteil der Kunden eines Unternehmens darstellen. Zu beachten ist allerdings, dass aufgrund der Ermittlung des Gesamtwertes (Produkt aus Menge und Umsatz) keine direkten Rückschlüsse vom Wert einzelner Bestellungen/Aufträge auf die Zugehörigkeit zur Gruppe der A-, B- oder C-Kunden gezogen werden können. So kann es z.B. durchaus</w:t>
      </w:r>
      <w:r w:rsidR="00973187">
        <w:t xml:space="preserve"> </w:t>
      </w:r>
      <w:bookmarkStart w:id="0" w:name="_GoBack"/>
      <w:bookmarkEnd w:id="0"/>
      <w:r>
        <w:t xml:space="preserve">sein, dass Kunden mit großvolumigen Einzelbestellungen in die Kategorie der C-Kunden fallen, solange die Jahresbestellmenge gering ist. </w:t>
      </w:r>
    </w:p>
    <w:p w:rsidR="009533AF" w:rsidRDefault="004A0FA8">
      <w:pPr>
        <w:spacing w:after="248"/>
        <w:ind w:left="29" w:right="0"/>
      </w:pPr>
      <w:r>
        <w:t xml:space="preserve">Das Ziel der Klassifizierung in die A-, B- und C-Kunden besteht darin, der Unternehmensführung eine Entscheidungsgrundlage dafür zu bieten, auf welche Kunden der Schwerpunkt der Marketingmaßnahmen gelegt werden soll. Gerade wenn es darum geht Umsätze zu erwirtschaften, sind A-Kunden von besonderer Bedeutung für den Vertrieb. Das soll aber keinesfalls dazu verleiten, die C-Kunden vollständig aus den Augen zu verlieren. </w:t>
      </w:r>
    </w:p>
    <w:p w:rsidR="009533AF" w:rsidRDefault="004A0FA8">
      <w:pPr>
        <w:spacing w:after="139" w:line="259" w:lineRule="auto"/>
        <w:ind w:left="34" w:right="0" w:firstLine="0"/>
        <w:jc w:val="left"/>
      </w:pPr>
      <w:r>
        <w:rPr>
          <w:b/>
        </w:rPr>
        <w:t xml:space="preserve"> </w:t>
      </w:r>
    </w:p>
    <w:p w:rsidR="009533AF" w:rsidRDefault="004A0FA8">
      <w:pPr>
        <w:spacing w:after="138" w:line="259" w:lineRule="auto"/>
        <w:ind w:left="29" w:right="0"/>
        <w:jc w:val="left"/>
      </w:pPr>
      <w:r>
        <w:rPr>
          <w:b/>
        </w:rPr>
        <w:t>Mögliche Maßnahmen</w:t>
      </w:r>
      <w:r>
        <w:t xml:space="preserve">: </w:t>
      </w:r>
    </w:p>
    <w:tbl>
      <w:tblPr>
        <w:tblStyle w:val="TableGrid"/>
        <w:tblpPr w:vertAnchor="page" w:horzAnchor="page" w:tblpX="991" w:tblpY="418"/>
        <w:tblOverlap w:val="never"/>
        <w:tblW w:w="10039" w:type="dxa"/>
        <w:tblInd w:w="0" w:type="dxa"/>
        <w:tblCellMar>
          <w:top w:w="12" w:type="dxa"/>
          <w:bottom w:w="5" w:type="dxa"/>
          <w:right w:w="115" w:type="dxa"/>
        </w:tblCellMar>
        <w:tblLook w:val="04A0" w:firstRow="1" w:lastRow="0" w:firstColumn="1" w:lastColumn="0" w:noHBand="0" w:noVBand="1"/>
      </w:tblPr>
      <w:tblGrid>
        <w:gridCol w:w="2694"/>
        <w:gridCol w:w="1330"/>
        <w:gridCol w:w="3351"/>
        <w:gridCol w:w="2664"/>
      </w:tblGrid>
      <w:tr w:rsidR="009533AF">
        <w:trPr>
          <w:trHeight w:val="888"/>
        </w:trPr>
        <w:tc>
          <w:tcPr>
            <w:tcW w:w="2694" w:type="dxa"/>
            <w:tcBorders>
              <w:top w:val="single" w:sz="4" w:space="0" w:color="D9D9D9"/>
              <w:left w:val="single" w:sz="4" w:space="0" w:color="D9D9D9"/>
              <w:bottom w:val="single" w:sz="4" w:space="0" w:color="D9D9D9"/>
              <w:right w:val="single" w:sz="4" w:space="0" w:color="D9D9D9"/>
            </w:tcBorders>
            <w:vAlign w:val="center"/>
          </w:tcPr>
          <w:p w:rsidR="009533AF" w:rsidRPr="004A0FA8" w:rsidRDefault="004A0FA8">
            <w:pPr>
              <w:spacing w:after="0" w:line="259" w:lineRule="auto"/>
              <w:ind w:left="108" w:right="0" w:firstLine="0"/>
              <w:jc w:val="left"/>
              <w:rPr>
                <w:color w:val="FF0000"/>
              </w:rPr>
            </w:pPr>
            <w:r w:rsidRPr="004A0FA8">
              <w:rPr>
                <w:color w:val="FF0000"/>
              </w:rPr>
              <w:t>BP</w:t>
            </w:r>
          </w:p>
          <w:p w:rsidR="009533AF" w:rsidRDefault="004A0FA8">
            <w:pPr>
              <w:spacing w:after="0" w:line="259" w:lineRule="auto"/>
              <w:ind w:left="108" w:right="0" w:firstLine="0"/>
              <w:jc w:val="left"/>
            </w:pPr>
            <w:r>
              <w:rPr>
                <w:color w:val="000000"/>
              </w:rPr>
              <w:t>Wandelt</w:t>
            </w:r>
            <w:r>
              <w:rPr>
                <w:rFonts w:ascii="Arial" w:eastAsia="Arial" w:hAnsi="Arial" w:cs="Arial"/>
                <w:color w:val="000000"/>
                <w:sz w:val="20"/>
              </w:rPr>
              <w:t xml:space="preserve"> </w:t>
            </w:r>
          </w:p>
        </w:tc>
        <w:tc>
          <w:tcPr>
            <w:tcW w:w="1330" w:type="dxa"/>
            <w:tcBorders>
              <w:top w:val="single" w:sz="4" w:space="0" w:color="D9D9D9"/>
              <w:left w:val="single" w:sz="4" w:space="0" w:color="D9D9D9"/>
              <w:bottom w:val="single" w:sz="4" w:space="0" w:color="D9D9D9"/>
              <w:right w:val="nil"/>
            </w:tcBorders>
          </w:tcPr>
          <w:p w:rsidR="009533AF" w:rsidRDefault="009533AF">
            <w:pPr>
              <w:spacing w:after="160" w:line="259" w:lineRule="auto"/>
              <w:ind w:left="0" w:right="0" w:firstLine="0"/>
              <w:jc w:val="left"/>
            </w:pPr>
          </w:p>
        </w:tc>
        <w:tc>
          <w:tcPr>
            <w:tcW w:w="3351" w:type="dxa"/>
            <w:tcBorders>
              <w:top w:val="single" w:sz="4" w:space="0" w:color="D9D9D9"/>
              <w:left w:val="nil"/>
              <w:bottom w:val="single" w:sz="4" w:space="0" w:color="D9D9D9"/>
              <w:right w:val="single" w:sz="4" w:space="0" w:color="D9D9D9"/>
            </w:tcBorders>
          </w:tcPr>
          <w:p w:rsidR="009533AF" w:rsidRDefault="004A0FA8">
            <w:pPr>
              <w:spacing w:after="0" w:line="259" w:lineRule="auto"/>
              <w:ind w:left="492" w:right="0" w:firstLine="0"/>
              <w:jc w:val="left"/>
            </w:pPr>
            <w:r>
              <w:rPr>
                <w:b/>
                <w:color w:val="C00000"/>
                <w:sz w:val="24"/>
              </w:rPr>
              <w:t xml:space="preserve">Marketing </w:t>
            </w:r>
          </w:p>
          <w:p w:rsidR="009533AF" w:rsidRDefault="004A0FA8">
            <w:pPr>
              <w:spacing w:after="0" w:line="259" w:lineRule="auto"/>
              <w:ind w:left="187" w:right="0" w:hanging="187"/>
              <w:jc w:val="left"/>
            </w:pPr>
            <w:r>
              <w:rPr>
                <w:color w:val="000000"/>
                <w:sz w:val="24"/>
              </w:rPr>
              <w:t xml:space="preserve">Thema: ABC-Analyse </w:t>
            </w:r>
            <w:r>
              <w:rPr>
                <w:color w:val="C00000"/>
                <w:sz w:val="24"/>
              </w:rPr>
              <w:t>Informationstext</w:t>
            </w:r>
            <w:r>
              <w:rPr>
                <w:color w:val="000000"/>
                <w:sz w:val="20"/>
              </w:rPr>
              <w:t xml:space="preserve"> </w:t>
            </w:r>
          </w:p>
        </w:tc>
        <w:tc>
          <w:tcPr>
            <w:tcW w:w="2664" w:type="dxa"/>
            <w:tcBorders>
              <w:top w:val="single" w:sz="4" w:space="0" w:color="D9D9D9"/>
              <w:left w:val="single" w:sz="4" w:space="0" w:color="D9D9D9"/>
              <w:bottom w:val="single" w:sz="4" w:space="0" w:color="D9D9D9"/>
              <w:right w:val="single" w:sz="4" w:space="0" w:color="D9D9D9"/>
            </w:tcBorders>
            <w:vAlign w:val="bottom"/>
          </w:tcPr>
          <w:p w:rsidR="009533AF" w:rsidRDefault="004A0FA8">
            <w:pPr>
              <w:spacing w:after="6" w:line="259" w:lineRule="auto"/>
              <w:ind w:left="105" w:right="0" w:firstLine="0"/>
              <w:jc w:val="left"/>
            </w:pPr>
            <w:r>
              <w:rPr>
                <w:noProof/>
              </w:rPr>
              <w:drawing>
                <wp:inline distT="0" distB="0" distL="0" distR="0">
                  <wp:extent cx="1409700" cy="466090"/>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5"/>
                          <a:stretch>
                            <a:fillRect/>
                          </a:stretch>
                        </pic:blipFill>
                        <pic:spPr>
                          <a:xfrm>
                            <a:off x="0" y="0"/>
                            <a:ext cx="1409700" cy="466090"/>
                          </a:xfrm>
                          <a:prstGeom prst="rect">
                            <a:avLst/>
                          </a:prstGeom>
                        </pic:spPr>
                      </pic:pic>
                    </a:graphicData>
                  </a:graphic>
                </wp:inline>
              </w:drawing>
            </w:r>
          </w:p>
          <w:p w:rsidR="009533AF" w:rsidRDefault="004A0FA8">
            <w:pPr>
              <w:spacing w:after="0" w:line="259" w:lineRule="auto"/>
              <w:ind w:left="108" w:right="0" w:firstLine="0"/>
              <w:jc w:val="left"/>
            </w:pPr>
            <w:r>
              <w:rPr>
                <w:color w:val="000000"/>
                <w:sz w:val="2"/>
              </w:rPr>
              <w:t xml:space="preserve"> </w:t>
            </w:r>
          </w:p>
        </w:tc>
      </w:tr>
      <w:tr w:rsidR="009533AF">
        <w:trPr>
          <w:trHeight w:val="423"/>
        </w:trPr>
        <w:tc>
          <w:tcPr>
            <w:tcW w:w="2694" w:type="dxa"/>
            <w:tcBorders>
              <w:top w:val="single" w:sz="4" w:space="0" w:color="D9D9D9"/>
              <w:left w:val="single" w:sz="4" w:space="0" w:color="D9D9D9"/>
              <w:bottom w:val="single" w:sz="4" w:space="0" w:color="D9D9D9"/>
              <w:right w:val="single" w:sz="4" w:space="0" w:color="D9D9D9"/>
            </w:tcBorders>
          </w:tcPr>
          <w:p w:rsidR="009533AF" w:rsidRDefault="004A0FA8">
            <w:pPr>
              <w:spacing w:after="0" w:line="259" w:lineRule="auto"/>
              <w:ind w:left="108" w:right="2010" w:firstLine="0"/>
              <w:jc w:val="left"/>
            </w:pPr>
            <w:r>
              <w:rPr>
                <w:rFonts w:ascii="Arial" w:eastAsia="Arial" w:hAnsi="Arial" w:cs="Arial"/>
                <w:color w:val="000000"/>
                <w:sz w:val="20"/>
              </w:rPr>
              <w:t xml:space="preserve"> </w:t>
            </w:r>
            <w:r>
              <w:rPr>
                <w:color w:val="000000"/>
                <w:sz w:val="15"/>
              </w:rPr>
              <w:t xml:space="preserve">Name: </w:t>
            </w:r>
          </w:p>
        </w:tc>
        <w:tc>
          <w:tcPr>
            <w:tcW w:w="1330" w:type="dxa"/>
            <w:tcBorders>
              <w:top w:val="single" w:sz="4" w:space="0" w:color="D9D9D9"/>
              <w:left w:val="single" w:sz="4" w:space="0" w:color="D9D9D9"/>
              <w:bottom w:val="single" w:sz="4" w:space="0" w:color="D9D9D9"/>
              <w:right w:val="nil"/>
            </w:tcBorders>
          </w:tcPr>
          <w:p w:rsidR="009533AF" w:rsidRDefault="004A0FA8">
            <w:pPr>
              <w:spacing w:after="0" w:line="259" w:lineRule="auto"/>
              <w:ind w:left="108" w:right="595" w:firstLine="0"/>
              <w:jc w:val="left"/>
            </w:pPr>
            <w:r>
              <w:rPr>
                <w:rFonts w:ascii="Arial" w:eastAsia="Arial" w:hAnsi="Arial" w:cs="Arial"/>
                <w:color w:val="000000"/>
                <w:sz w:val="20"/>
              </w:rPr>
              <w:t xml:space="preserve"> </w:t>
            </w:r>
            <w:r>
              <w:rPr>
                <w:color w:val="000000"/>
                <w:sz w:val="15"/>
              </w:rPr>
              <w:t xml:space="preserve">Datum: </w:t>
            </w:r>
          </w:p>
        </w:tc>
        <w:tc>
          <w:tcPr>
            <w:tcW w:w="3351" w:type="dxa"/>
            <w:tcBorders>
              <w:top w:val="single" w:sz="4" w:space="0" w:color="D9D9D9"/>
              <w:left w:val="nil"/>
              <w:bottom w:val="single" w:sz="4" w:space="0" w:color="D9D9D9"/>
              <w:right w:val="single" w:sz="4" w:space="0" w:color="D9D9D9"/>
            </w:tcBorders>
          </w:tcPr>
          <w:p w:rsidR="009533AF" w:rsidRDefault="004A0FA8">
            <w:pPr>
              <w:spacing w:after="0" w:line="259" w:lineRule="auto"/>
              <w:ind w:left="0" w:right="70" w:firstLine="0"/>
              <w:jc w:val="center"/>
            </w:pPr>
            <w:r>
              <w:rPr>
                <w:rFonts w:ascii="Arial" w:eastAsia="Arial" w:hAnsi="Arial" w:cs="Arial"/>
                <w:color w:val="000000"/>
                <w:sz w:val="20"/>
              </w:rPr>
              <w:t xml:space="preserve"> </w:t>
            </w:r>
          </w:p>
          <w:p w:rsidR="009533AF" w:rsidRDefault="004A0FA8">
            <w:pPr>
              <w:spacing w:after="0" w:line="259" w:lineRule="auto"/>
              <w:ind w:left="292" w:right="0" w:firstLine="0"/>
              <w:jc w:val="center"/>
            </w:pPr>
            <w:r>
              <w:rPr>
                <w:color w:val="000000"/>
                <w:sz w:val="15"/>
              </w:rPr>
              <w:t xml:space="preserve">Klasse: </w:t>
            </w:r>
          </w:p>
        </w:tc>
        <w:tc>
          <w:tcPr>
            <w:tcW w:w="2664" w:type="dxa"/>
            <w:tcBorders>
              <w:top w:val="single" w:sz="4" w:space="0" w:color="D9D9D9"/>
              <w:left w:val="single" w:sz="4" w:space="0" w:color="D9D9D9"/>
              <w:bottom w:val="single" w:sz="4" w:space="0" w:color="D9D9D9"/>
              <w:right w:val="single" w:sz="4" w:space="0" w:color="D9D9D9"/>
            </w:tcBorders>
          </w:tcPr>
          <w:p w:rsidR="009533AF" w:rsidRDefault="004A0FA8">
            <w:pPr>
              <w:spacing w:after="0" w:line="259" w:lineRule="auto"/>
              <w:ind w:left="108" w:right="0" w:firstLine="0"/>
              <w:jc w:val="left"/>
            </w:pPr>
            <w:r>
              <w:rPr>
                <w:rFonts w:ascii="Arial" w:eastAsia="Arial" w:hAnsi="Arial" w:cs="Arial"/>
                <w:color w:val="000000"/>
                <w:sz w:val="20"/>
              </w:rPr>
              <w:t xml:space="preserve"> </w:t>
            </w:r>
            <w:r>
              <w:rPr>
                <w:rFonts w:ascii="Arial" w:eastAsia="Arial" w:hAnsi="Arial" w:cs="Arial"/>
                <w:color w:val="000000"/>
                <w:sz w:val="20"/>
              </w:rPr>
              <w:tab/>
              <w:t xml:space="preserve"> </w:t>
            </w:r>
          </w:p>
          <w:p w:rsidR="009533AF" w:rsidRDefault="004A0FA8">
            <w:pPr>
              <w:tabs>
                <w:tab w:val="center" w:pos="1627"/>
              </w:tabs>
              <w:spacing w:after="0" w:line="259" w:lineRule="auto"/>
              <w:ind w:left="0" w:right="0" w:firstLine="0"/>
              <w:jc w:val="left"/>
            </w:pPr>
            <w:r>
              <w:rPr>
                <w:color w:val="000000"/>
                <w:sz w:val="15"/>
              </w:rPr>
              <w:t xml:space="preserve">Blatt Nr.: 0/0 </w:t>
            </w:r>
            <w:r>
              <w:rPr>
                <w:color w:val="000000"/>
                <w:sz w:val="15"/>
              </w:rPr>
              <w:tab/>
              <w:t xml:space="preserve">Lfd. Nr.: </w:t>
            </w:r>
          </w:p>
        </w:tc>
      </w:tr>
    </w:tbl>
    <w:p w:rsidR="009533AF" w:rsidRDefault="004A0FA8">
      <w:pPr>
        <w:spacing w:after="488"/>
        <w:ind w:left="29" w:right="0"/>
      </w:pPr>
      <w:r>
        <w:t xml:space="preserve">Der wichtigste Schritt folgt erst nach der Durchführung der ABC-Analyse. So sollen die aufgrund der Klassifizierung gewonnenen Erkenntnisse als Grundlage dienen, um unternehmerische Maßnahmen zu ergreifen oder bisherige Maßnahmen neu zu evaluieren. Bei Kunden der Kategorie A wird empfohlen, sich intensiv um die Optimierung der Marketingmaßnahmen zu kümmern. Bereits kleine Erfolge tragen hier überproportional zur Ergebnisverbesserung bei. Erfolge bei C-Kunden sind hingegen für die Unternehmung kaum spürbar. Sich eindringlich mit Maßnahmen bezüglich der C-Kunden auseinanderzusetzen, lohnt sich also nur, wenn freie Kapazitäten vorhanden sind. </w:t>
      </w:r>
      <w:r>
        <w:rPr>
          <w:color w:val="001133"/>
          <w:shd w:val="clear" w:color="auto" w:fill="FCFCFC"/>
        </w:rPr>
        <w:t>B-Kunden sind zwischen A- und C-Kunden einzugliedern. Die</w:t>
      </w:r>
      <w:r>
        <w:rPr>
          <w:color w:val="001133"/>
        </w:rPr>
        <w:t xml:space="preserve"> </w:t>
      </w:r>
      <w:r>
        <w:rPr>
          <w:color w:val="001133"/>
          <w:shd w:val="clear" w:color="auto" w:fill="FCFCFC"/>
        </w:rPr>
        <w:t>Maßnahmen hängen davon ab, in welche Richtung die jeweiligen Kundenbeziehungen tendieren. Maßnahmen sind analog der A- und C-kunden einzuleiten.</w:t>
      </w:r>
      <w:r>
        <w:t xml:space="preserve"> </w:t>
      </w:r>
    </w:p>
    <w:p w:rsidR="009533AF" w:rsidRDefault="004A0FA8">
      <w:pPr>
        <w:spacing w:after="0" w:line="259" w:lineRule="auto"/>
        <w:ind w:left="29" w:right="0"/>
        <w:jc w:val="left"/>
      </w:pPr>
      <w:r>
        <w:rPr>
          <w:b/>
        </w:rPr>
        <w:t xml:space="preserve">Vor- und Nachteile der ABC-Analyse: </w:t>
      </w:r>
    </w:p>
    <w:tbl>
      <w:tblPr>
        <w:tblStyle w:val="TableGrid"/>
        <w:tblW w:w="9489" w:type="dxa"/>
        <w:tblInd w:w="38" w:type="dxa"/>
        <w:tblCellMar>
          <w:top w:w="53" w:type="dxa"/>
          <w:left w:w="108" w:type="dxa"/>
          <w:bottom w:w="5" w:type="dxa"/>
          <w:right w:w="115" w:type="dxa"/>
        </w:tblCellMar>
        <w:tblLook w:val="04A0" w:firstRow="1" w:lastRow="0" w:firstColumn="1" w:lastColumn="0" w:noHBand="0" w:noVBand="1"/>
      </w:tblPr>
      <w:tblGrid>
        <w:gridCol w:w="4748"/>
        <w:gridCol w:w="4741"/>
      </w:tblGrid>
      <w:tr w:rsidR="009533AF">
        <w:trPr>
          <w:trHeight w:val="427"/>
        </w:trPr>
        <w:tc>
          <w:tcPr>
            <w:tcW w:w="9489" w:type="dxa"/>
            <w:gridSpan w:val="2"/>
            <w:tcBorders>
              <w:top w:val="single" w:sz="4" w:space="0" w:color="000000"/>
              <w:left w:val="single" w:sz="4" w:space="0" w:color="000000"/>
              <w:bottom w:val="single" w:sz="4" w:space="0" w:color="000000"/>
              <w:right w:val="single" w:sz="4" w:space="0" w:color="000000"/>
            </w:tcBorders>
          </w:tcPr>
          <w:p w:rsidR="009533AF" w:rsidRDefault="004A0FA8">
            <w:pPr>
              <w:spacing w:after="0" w:line="259" w:lineRule="auto"/>
              <w:ind w:left="4" w:right="0" w:firstLine="0"/>
              <w:jc w:val="center"/>
            </w:pPr>
            <w:r>
              <w:rPr>
                <w:color w:val="000000"/>
                <w:sz w:val="24"/>
              </w:rPr>
              <w:t xml:space="preserve">Vor- und Nachteile der ABC-Analyse </w:t>
            </w:r>
          </w:p>
        </w:tc>
      </w:tr>
      <w:tr w:rsidR="009533AF">
        <w:trPr>
          <w:trHeight w:val="302"/>
        </w:trPr>
        <w:tc>
          <w:tcPr>
            <w:tcW w:w="4748" w:type="dxa"/>
            <w:tcBorders>
              <w:top w:val="single" w:sz="4" w:space="0" w:color="000000"/>
              <w:left w:val="single" w:sz="4" w:space="0" w:color="000000"/>
              <w:bottom w:val="single" w:sz="4" w:space="0" w:color="000000"/>
              <w:right w:val="single" w:sz="4" w:space="0" w:color="000000"/>
            </w:tcBorders>
          </w:tcPr>
          <w:p w:rsidR="009533AF" w:rsidRDefault="004A0FA8">
            <w:pPr>
              <w:spacing w:after="0" w:line="259" w:lineRule="auto"/>
              <w:ind w:left="6" w:right="0" w:firstLine="0"/>
              <w:jc w:val="center"/>
            </w:pPr>
            <w:r>
              <w:rPr>
                <w:b/>
                <w:color w:val="000000"/>
                <w:sz w:val="24"/>
              </w:rPr>
              <w:t xml:space="preserve">Vorteile </w:t>
            </w:r>
          </w:p>
        </w:tc>
        <w:tc>
          <w:tcPr>
            <w:tcW w:w="4741" w:type="dxa"/>
            <w:tcBorders>
              <w:top w:val="single" w:sz="4" w:space="0" w:color="000000"/>
              <w:left w:val="single" w:sz="4" w:space="0" w:color="000000"/>
              <w:bottom w:val="single" w:sz="4" w:space="0" w:color="000000"/>
              <w:right w:val="single" w:sz="4" w:space="0" w:color="000000"/>
            </w:tcBorders>
          </w:tcPr>
          <w:p w:rsidR="009533AF" w:rsidRDefault="004A0FA8">
            <w:pPr>
              <w:spacing w:after="0" w:line="259" w:lineRule="auto"/>
              <w:ind w:left="9" w:right="0" w:firstLine="0"/>
              <w:jc w:val="center"/>
            </w:pPr>
            <w:r>
              <w:rPr>
                <w:b/>
                <w:color w:val="000000"/>
                <w:sz w:val="24"/>
              </w:rPr>
              <w:t xml:space="preserve">Nachteile </w:t>
            </w:r>
          </w:p>
        </w:tc>
      </w:tr>
      <w:tr w:rsidR="009533AF">
        <w:trPr>
          <w:trHeight w:val="2907"/>
        </w:trPr>
        <w:tc>
          <w:tcPr>
            <w:tcW w:w="4748" w:type="dxa"/>
            <w:tcBorders>
              <w:top w:val="single" w:sz="4" w:space="0" w:color="000000"/>
              <w:left w:val="single" w:sz="4" w:space="0" w:color="000000"/>
              <w:bottom w:val="single" w:sz="4" w:space="0" w:color="000000"/>
              <w:right w:val="single" w:sz="4" w:space="0" w:color="000000"/>
            </w:tcBorders>
            <w:vAlign w:val="bottom"/>
          </w:tcPr>
          <w:p w:rsidR="009533AF" w:rsidRDefault="004A0FA8">
            <w:pPr>
              <w:numPr>
                <w:ilvl w:val="0"/>
                <w:numId w:val="3"/>
              </w:numPr>
              <w:spacing w:after="53" w:line="259" w:lineRule="auto"/>
              <w:ind w:right="0" w:hanging="170"/>
              <w:jc w:val="left"/>
            </w:pPr>
            <w:r>
              <w:rPr>
                <w:color w:val="001133"/>
              </w:rPr>
              <w:t xml:space="preserve">verhältnismäßig geringer Arbeitsaufwand </w:t>
            </w:r>
          </w:p>
          <w:p w:rsidR="009533AF" w:rsidRDefault="004A0FA8">
            <w:pPr>
              <w:numPr>
                <w:ilvl w:val="0"/>
                <w:numId w:val="3"/>
              </w:numPr>
              <w:spacing w:after="72" w:line="240" w:lineRule="auto"/>
              <w:ind w:right="0" w:hanging="170"/>
              <w:jc w:val="left"/>
            </w:pPr>
            <w:r>
              <w:rPr>
                <w:color w:val="001133"/>
              </w:rPr>
              <w:t xml:space="preserve">Analyse kann schnell unabhängig von spezifischen Inhalten der Analyseelemente durchgeführt werden </w:t>
            </w:r>
          </w:p>
          <w:p w:rsidR="009533AF" w:rsidRDefault="004A0FA8">
            <w:pPr>
              <w:numPr>
                <w:ilvl w:val="0"/>
                <w:numId w:val="3"/>
              </w:numPr>
              <w:spacing w:after="75" w:line="240" w:lineRule="auto"/>
              <w:ind w:right="0" w:hanging="170"/>
              <w:jc w:val="left"/>
            </w:pPr>
            <w:r>
              <w:rPr>
                <w:color w:val="001133"/>
              </w:rPr>
              <w:t xml:space="preserve">Komplexitätsreduktion bei großen Datenmengen </w:t>
            </w:r>
          </w:p>
          <w:p w:rsidR="009533AF" w:rsidRDefault="004A0FA8">
            <w:pPr>
              <w:numPr>
                <w:ilvl w:val="0"/>
                <w:numId w:val="3"/>
              </w:numPr>
              <w:spacing w:after="54" w:line="259" w:lineRule="auto"/>
              <w:ind w:right="0" w:hanging="170"/>
              <w:jc w:val="left"/>
            </w:pPr>
            <w:r>
              <w:rPr>
                <w:color w:val="001133"/>
              </w:rPr>
              <w:t xml:space="preserve">Schnelle und einfache Prioritätensetzung </w:t>
            </w:r>
          </w:p>
          <w:p w:rsidR="009533AF" w:rsidRDefault="004A0FA8">
            <w:pPr>
              <w:numPr>
                <w:ilvl w:val="0"/>
                <w:numId w:val="3"/>
              </w:numPr>
              <w:spacing w:after="54" w:line="259" w:lineRule="auto"/>
              <w:ind w:right="0" w:hanging="170"/>
              <w:jc w:val="left"/>
            </w:pPr>
            <w:r>
              <w:rPr>
                <w:color w:val="001133"/>
              </w:rPr>
              <w:t xml:space="preserve">Effiziente Zuteilung der Ressourcen </w:t>
            </w:r>
          </w:p>
          <w:p w:rsidR="009533AF" w:rsidRDefault="004A0FA8">
            <w:pPr>
              <w:numPr>
                <w:ilvl w:val="0"/>
                <w:numId w:val="3"/>
              </w:numPr>
              <w:spacing w:after="0" w:line="259" w:lineRule="auto"/>
              <w:ind w:right="0" w:hanging="170"/>
              <w:jc w:val="left"/>
            </w:pPr>
            <w:r>
              <w:rPr>
                <w:color w:val="001133"/>
              </w:rPr>
              <w:t xml:space="preserve">Übersichtliche Darstellung der Analyse </w:t>
            </w:r>
          </w:p>
        </w:tc>
        <w:tc>
          <w:tcPr>
            <w:tcW w:w="4741" w:type="dxa"/>
            <w:tcBorders>
              <w:top w:val="single" w:sz="4" w:space="0" w:color="000000"/>
              <w:left w:val="single" w:sz="4" w:space="0" w:color="000000"/>
              <w:bottom w:val="single" w:sz="4" w:space="0" w:color="000000"/>
              <w:right w:val="single" w:sz="4" w:space="0" w:color="000000"/>
            </w:tcBorders>
          </w:tcPr>
          <w:p w:rsidR="009533AF" w:rsidRDefault="004A0FA8">
            <w:pPr>
              <w:numPr>
                <w:ilvl w:val="0"/>
                <w:numId w:val="4"/>
              </w:numPr>
              <w:spacing w:after="54" w:line="259" w:lineRule="auto"/>
              <w:ind w:right="0" w:hanging="170"/>
              <w:jc w:val="left"/>
            </w:pPr>
            <w:r>
              <w:rPr>
                <w:color w:val="001133"/>
              </w:rPr>
              <w:t xml:space="preserve">Nur Ist-Analyse möglich </w:t>
            </w:r>
          </w:p>
          <w:p w:rsidR="009533AF" w:rsidRDefault="004A0FA8">
            <w:pPr>
              <w:numPr>
                <w:ilvl w:val="0"/>
                <w:numId w:val="4"/>
              </w:numPr>
              <w:spacing w:after="72" w:line="240" w:lineRule="auto"/>
              <w:ind w:right="0" w:hanging="170"/>
              <w:jc w:val="left"/>
            </w:pPr>
            <w:r>
              <w:rPr>
                <w:color w:val="001133"/>
              </w:rPr>
              <w:t xml:space="preserve">Klassen sind sehr grob eingeteilt, so dass oft trotzdem individuell nach Einzelfällen entschieden werden muss </w:t>
            </w:r>
          </w:p>
          <w:p w:rsidR="009533AF" w:rsidRDefault="004A0FA8">
            <w:pPr>
              <w:numPr>
                <w:ilvl w:val="0"/>
                <w:numId w:val="4"/>
              </w:numPr>
              <w:spacing w:after="0" w:line="259" w:lineRule="auto"/>
              <w:ind w:right="0" w:hanging="170"/>
              <w:jc w:val="left"/>
            </w:pPr>
            <w:r>
              <w:rPr>
                <w:color w:val="001133"/>
              </w:rPr>
              <w:t xml:space="preserve">Qualitative Faktoren und unternehmenspolitische Aspekte werden nicht berücksichtigt </w:t>
            </w:r>
          </w:p>
        </w:tc>
      </w:tr>
    </w:tbl>
    <w:p w:rsidR="009533AF" w:rsidRDefault="004A0FA8">
      <w:pPr>
        <w:spacing w:after="552" w:line="259" w:lineRule="auto"/>
        <w:ind w:left="34" w:right="0" w:firstLine="0"/>
        <w:jc w:val="left"/>
      </w:pPr>
      <w:r>
        <w:rPr>
          <w:color w:val="000000"/>
          <w:sz w:val="24"/>
        </w:rPr>
        <w:t xml:space="preserve"> </w:t>
      </w:r>
    </w:p>
    <w:p w:rsidR="009533AF" w:rsidRDefault="004A0FA8">
      <w:pPr>
        <w:spacing w:after="0" w:line="259" w:lineRule="auto"/>
        <w:ind w:left="34" w:right="0" w:firstLine="0"/>
        <w:jc w:val="left"/>
      </w:pPr>
      <w:r>
        <w:rPr>
          <w:color w:val="000000"/>
          <w:sz w:val="24"/>
        </w:rPr>
        <w:t xml:space="preserve"> </w:t>
      </w:r>
    </w:p>
    <w:sectPr w:rsidR="009533AF">
      <w:pgSz w:w="11899" w:h="16841"/>
      <w:pgMar w:top="418" w:right="1262" w:bottom="384"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71090"/>
    <w:multiLevelType w:val="hybridMultilevel"/>
    <w:tmpl w:val="4AD64B98"/>
    <w:lvl w:ilvl="0" w:tplc="68FCFFA6">
      <w:start w:val="1"/>
      <w:numFmt w:val="bullet"/>
      <w:lvlText w:val="•"/>
      <w:lvlJc w:val="left"/>
      <w:pPr>
        <w:ind w:left="170"/>
      </w:pPr>
      <w:rPr>
        <w:rFonts w:ascii="Arial" w:eastAsia="Arial" w:hAnsi="Arial" w:cs="Arial"/>
        <w:b w:val="0"/>
        <w:i w:val="0"/>
        <w:strike w:val="0"/>
        <w:dstrike w:val="0"/>
        <w:color w:val="001133"/>
        <w:sz w:val="20"/>
        <w:szCs w:val="20"/>
        <w:u w:val="none" w:color="000000"/>
        <w:bdr w:val="none" w:sz="0" w:space="0" w:color="auto"/>
        <w:shd w:val="clear" w:color="auto" w:fill="auto"/>
        <w:vertAlign w:val="baseline"/>
      </w:rPr>
    </w:lvl>
    <w:lvl w:ilvl="1" w:tplc="45A09E06">
      <w:start w:val="1"/>
      <w:numFmt w:val="bullet"/>
      <w:lvlText w:val="o"/>
      <w:lvlJc w:val="left"/>
      <w:pPr>
        <w:ind w:left="118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2" w:tplc="E12013A4">
      <w:start w:val="1"/>
      <w:numFmt w:val="bullet"/>
      <w:lvlText w:val="▪"/>
      <w:lvlJc w:val="left"/>
      <w:pPr>
        <w:ind w:left="190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3" w:tplc="E9CA7F40">
      <w:start w:val="1"/>
      <w:numFmt w:val="bullet"/>
      <w:lvlText w:val="•"/>
      <w:lvlJc w:val="left"/>
      <w:pPr>
        <w:ind w:left="2628"/>
      </w:pPr>
      <w:rPr>
        <w:rFonts w:ascii="Arial" w:eastAsia="Arial" w:hAnsi="Arial" w:cs="Arial"/>
        <w:b w:val="0"/>
        <w:i w:val="0"/>
        <w:strike w:val="0"/>
        <w:dstrike w:val="0"/>
        <w:color w:val="001133"/>
        <w:sz w:val="20"/>
        <w:szCs w:val="20"/>
        <w:u w:val="none" w:color="000000"/>
        <w:bdr w:val="none" w:sz="0" w:space="0" w:color="auto"/>
        <w:shd w:val="clear" w:color="auto" w:fill="auto"/>
        <w:vertAlign w:val="baseline"/>
      </w:rPr>
    </w:lvl>
    <w:lvl w:ilvl="4" w:tplc="2674AEEE">
      <w:start w:val="1"/>
      <w:numFmt w:val="bullet"/>
      <w:lvlText w:val="o"/>
      <w:lvlJc w:val="left"/>
      <w:pPr>
        <w:ind w:left="334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5" w:tplc="86921648">
      <w:start w:val="1"/>
      <w:numFmt w:val="bullet"/>
      <w:lvlText w:val="▪"/>
      <w:lvlJc w:val="left"/>
      <w:pPr>
        <w:ind w:left="406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6" w:tplc="4692DF2E">
      <w:start w:val="1"/>
      <w:numFmt w:val="bullet"/>
      <w:lvlText w:val="•"/>
      <w:lvlJc w:val="left"/>
      <w:pPr>
        <w:ind w:left="4788"/>
      </w:pPr>
      <w:rPr>
        <w:rFonts w:ascii="Arial" w:eastAsia="Arial" w:hAnsi="Arial" w:cs="Arial"/>
        <w:b w:val="0"/>
        <w:i w:val="0"/>
        <w:strike w:val="0"/>
        <w:dstrike w:val="0"/>
        <w:color w:val="001133"/>
        <w:sz w:val="20"/>
        <w:szCs w:val="20"/>
        <w:u w:val="none" w:color="000000"/>
        <w:bdr w:val="none" w:sz="0" w:space="0" w:color="auto"/>
        <w:shd w:val="clear" w:color="auto" w:fill="auto"/>
        <w:vertAlign w:val="baseline"/>
      </w:rPr>
    </w:lvl>
    <w:lvl w:ilvl="7" w:tplc="7F988EF4">
      <w:start w:val="1"/>
      <w:numFmt w:val="bullet"/>
      <w:lvlText w:val="o"/>
      <w:lvlJc w:val="left"/>
      <w:pPr>
        <w:ind w:left="550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8" w:tplc="9B6ABE8C">
      <w:start w:val="1"/>
      <w:numFmt w:val="bullet"/>
      <w:lvlText w:val="▪"/>
      <w:lvlJc w:val="left"/>
      <w:pPr>
        <w:ind w:left="622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abstractNum>
  <w:abstractNum w:abstractNumId="1" w15:restartNumberingAfterBreak="0">
    <w:nsid w:val="29B654F5"/>
    <w:multiLevelType w:val="hybridMultilevel"/>
    <w:tmpl w:val="1FFA20E0"/>
    <w:lvl w:ilvl="0" w:tplc="72FCC4DC">
      <w:start w:val="1"/>
      <w:numFmt w:val="bullet"/>
      <w:lvlText w:val="•"/>
      <w:lvlJc w:val="left"/>
      <w:pPr>
        <w:ind w:left="405"/>
      </w:pPr>
      <w:rPr>
        <w:rFonts w:ascii="Arial" w:eastAsia="Arial" w:hAnsi="Arial" w:cs="Arial"/>
        <w:b w:val="0"/>
        <w:i w:val="0"/>
        <w:strike w:val="0"/>
        <w:dstrike w:val="0"/>
        <w:color w:val="001133"/>
        <w:sz w:val="20"/>
        <w:szCs w:val="20"/>
        <w:u w:val="none" w:color="000000"/>
        <w:bdr w:val="none" w:sz="0" w:space="0" w:color="auto"/>
        <w:shd w:val="clear" w:color="auto" w:fill="auto"/>
        <w:vertAlign w:val="baseline"/>
      </w:rPr>
    </w:lvl>
    <w:lvl w:ilvl="1" w:tplc="E15C0488">
      <w:start w:val="1"/>
      <w:numFmt w:val="bullet"/>
      <w:lvlText w:val="o"/>
      <w:lvlJc w:val="left"/>
      <w:pPr>
        <w:ind w:left="1254"/>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2" w:tplc="27EABCEC">
      <w:start w:val="1"/>
      <w:numFmt w:val="bullet"/>
      <w:lvlText w:val="▪"/>
      <w:lvlJc w:val="left"/>
      <w:pPr>
        <w:ind w:left="1974"/>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3" w:tplc="3CBA3696">
      <w:start w:val="1"/>
      <w:numFmt w:val="bullet"/>
      <w:lvlText w:val="•"/>
      <w:lvlJc w:val="left"/>
      <w:pPr>
        <w:ind w:left="2694"/>
      </w:pPr>
      <w:rPr>
        <w:rFonts w:ascii="Arial" w:eastAsia="Arial" w:hAnsi="Arial" w:cs="Arial"/>
        <w:b w:val="0"/>
        <w:i w:val="0"/>
        <w:strike w:val="0"/>
        <w:dstrike w:val="0"/>
        <w:color w:val="001133"/>
        <w:sz w:val="20"/>
        <w:szCs w:val="20"/>
        <w:u w:val="none" w:color="000000"/>
        <w:bdr w:val="none" w:sz="0" w:space="0" w:color="auto"/>
        <w:shd w:val="clear" w:color="auto" w:fill="auto"/>
        <w:vertAlign w:val="baseline"/>
      </w:rPr>
    </w:lvl>
    <w:lvl w:ilvl="4" w:tplc="9ACAE4D2">
      <w:start w:val="1"/>
      <w:numFmt w:val="bullet"/>
      <w:lvlText w:val="o"/>
      <w:lvlJc w:val="left"/>
      <w:pPr>
        <w:ind w:left="3414"/>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5" w:tplc="EF6491FE">
      <w:start w:val="1"/>
      <w:numFmt w:val="bullet"/>
      <w:lvlText w:val="▪"/>
      <w:lvlJc w:val="left"/>
      <w:pPr>
        <w:ind w:left="4134"/>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6" w:tplc="5270E4EE">
      <w:start w:val="1"/>
      <w:numFmt w:val="bullet"/>
      <w:lvlText w:val="•"/>
      <w:lvlJc w:val="left"/>
      <w:pPr>
        <w:ind w:left="4854"/>
      </w:pPr>
      <w:rPr>
        <w:rFonts w:ascii="Arial" w:eastAsia="Arial" w:hAnsi="Arial" w:cs="Arial"/>
        <w:b w:val="0"/>
        <w:i w:val="0"/>
        <w:strike w:val="0"/>
        <w:dstrike w:val="0"/>
        <w:color w:val="001133"/>
        <w:sz w:val="20"/>
        <w:szCs w:val="20"/>
        <w:u w:val="none" w:color="000000"/>
        <w:bdr w:val="none" w:sz="0" w:space="0" w:color="auto"/>
        <w:shd w:val="clear" w:color="auto" w:fill="auto"/>
        <w:vertAlign w:val="baseline"/>
      </w:rPr>
    </w:lvl>
    <w:lvl w:ilvl="7" w:tplc="2CE842C0">
      <w:start w:val="1"/>
      <w:numFmt w:val="bullet"/>
      <w:lvlText w:val="o"/>
      <w:lvlJc w:val="left"/>
      <w:pPr>
        <w:ind w:left="5574"/>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8" w:tplc="3BEA10D4">
      <w:start w:val="1"/>
      <w:numFmt w:val="bullet"/>
      <w:lvlText w:val="▪"/>
      <w:lvlJc w:val="left"/>
      <w:pPr>
        <w:ind w:left="6294"/>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abstractNum>
  <w:abstractNum w:abstractNumId="2" w15:restartNumberingAfterBreak="0">
    <w:nsid w:val="6E0922DA"/>
    <w:multiLevelType w:val="hybridMultilevel"/>
    <w:tmpl w:val="7CAE9ABC"/>
    <w:lvl w:ilvl="0" w:tplc="8CA41AEA">
      <w:start w:val="1"/>
      <w:numFmt w:val="decimal"/>
      <w:lvlText w:val="%1."/>
      <w:lvlJc w:val="left"/>
      <w:pPr>
        <w:ind w:left="453"/>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0888B28E">
      <w:start w:val="1"/>
      <w:numFmt w:val="lowerLetter"/>
      <w:lvlText w:val="%2"/>
      <w:lvlJc w:val="left"/>
      <w:pPr>
        <w:ind w:left="125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2" w:tplc="87483FBA">
      <w:start w:val="1"/>
      <w:numFmt w:val="lowerRoman"/>
      <w:lvlText w:val="%3"/>
      <w:lvlJc w:val="left"/>
      <w:pPr>
        <w:ind w:left="197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5130F7FC">
      <w:start w:val="1"/>
      <w:numFmt w:val="decimal"/>
      <w:lvlText w:val="%4"/>
      <w:lvlJc w:val="left"/>
      <w:pPr>
        <w:ind w:left="26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04520F1C">
      <w:start w:val="1"/>
      <w:numFmt w:val="lowerLetter"/>
      <w:lvlText w:val="%5"/>
      <w:lvlJc w:val="left"/>
      <w:pPr>
        <w:ind w:left="341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18B0904A">
      <w:start w:val="1"/>
      <w:numFmt w:val="lowerRoman"/>
      <w:lvlText w:val="%6"/>
      <w:lvlJc w:val="left"/>
      <w:pPr>
        <w:ind w:left="413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D970600A">
      <w:start w:val="1"/>
      <w:numFmt w:val="decimal"/>
      <w:lvlText w:val="%7"/>
      <w:lvlJc w:val="left"/>
      <w:pPr>
        <w:ind w:left="485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D1E4BC8A">
      <w:start w:val="1"/>
      <w:numFmt w:val="lowerLetter"/>
      <w:lvlText w:val="%8"/>
      <w:lvlJc w:val="left"/>
      <w:pPr>
        <w:ind w:left="557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B37656EA">
      <w:start w:val="1"/>
      <w:numFmt w:val="lowerRoman"/>
      <w:lvlText w:val="%9"/>
      <w:lvlJc w:val="left"/>
      <w:pPr>
        <w:ind w:left="62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abstractNum w:abstractNumId="3" w15:restartNumberingAfterBreak="0">
    <w:nsid w:val="6F305C16"/>
    <w:multiLevelType w:val="hybridMultilevel"/>
    <w:tmpl w:val="EC32E6CE"/>
    <w:lvl w:ilvl="0" w:tplc="31F4B9A8">
      <w:start w:val="1"/>
      <w:numFmt w:val="bullet"/>
      <w:lvlText w:val="•"/>
      <w:lvlJc w:val="left"/>
      <w:pPr>
        <w:ind w:left="170"/>
      </w:pPr>
      <w:rPr>
        <w:rFonts w:ascii="Arial" w:eastAsia="Arial" w:hAnsi="Arial" w:cs="Arial"/>
        <w:b w:val="0"/>
        <w:i w:val="0"/>
        <w:strike w:val="0"/>
        <w:dstrike w:val="0"/>
        <w:color w:val="001133"/>
        <w:sz w:val="20"/>
        <w:szCs w:val="20"/>
        <w:u w:val="none" w:color="000000"/>
        <w:bdr w:val="none" w:sz="0" w:space="0" w:color="auto"/>
        <w:shd w:val="clear" w:color="auto" w:fill="auto"/>
        <w:vertAlign w:val="baseline"/>
      </w:rPr>
    </w:lvl>
    <w:lvl w:ilvl="1" w:tplc="F36AC3A6">
      <w:start w:val="1"/>
      <w:numFmt w:val="bullet"/>
      <w:lvlText w:val="o"/>
      <w:lvlJc w:val="left"/>
      <w:pPr>
        <w:ind w:left="118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2" w:tplc="5D445460">
      <w:start w:val="1"/>
      <w:numFmt w:val="bullet"/>
      <w:lvlText w:val="▪"/>
      <w:lvlJc w:val="left"/>
      <w:pPr>
        <w:ind w:left="190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3" w:tplc="7C0A0BC8">
      <w:start w:val="1"/>
      <w:numFmt w:val="bullet"/>
      <w:lvlText w:val="•"/>
      <w:lvlJc w:val="left"/>
      <w:pPr>
        <w:ind w:left="2628"/>
      </w:pPr>
      <w:rPr>
        <w:rFonts w:ascii="Arial" w:eastAsia="Arial" w:hAnsi="Arial" w:cs="Arial"/>
        <w:b w:val="0"/>
        <w:i w:val="0"/>
        <w:strike w:val="0"/>
        <w:dstrike w:val="0"/>
        <w:color w:val="001133"/>
        <w:sz w:val="20"/>
        <w:szCs w:val="20"/>
        <w:u w:val="none" w:color="000000"/>
        <w:bdr w:val="none" w:sz="0" w:space="0" w:color="auto"/>
        <w:shd w:val="clear" w:color="auto" w:fill="auto"/>
        <w:vertAlign w:val="baseline"/>
      </w:rPr>
    </w:lvl>
    <w:lvl w:ilvl="4" w:tplc="7D3C0D64">
      <w:start w:val="1"/>
      <w:numFmt w:val="bullet"/>
      <w:lvlText w:val="o"/>
      <w:lvlJc w:val="left"/>
      <w:pPr>
        <w:ind w:left="334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5" w:tplc="010EF0D4">
      <w:start w:val="1"/>
      <w:numFmt w:val="bullet"/>
      <w:lvlText w:val="▪"/>
      <w:lvlJc w:val="left"/>
      <w:pPr>
        <w:ind w:left="406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6" w:tplc="78E0CA64">
      <w:start w:val="1"/>
      <w:numFmt w:val="bullet"/>
      <w:lvlText w:val="•"/>
      <w:lvlJc w:val="left"/>
      <w:pPr>
        <w:ind w:left="4788"/>
      </w:pPr>
      <w:rPr>
        <w:rFonts w:ascii="Arial" w:eastAsia="Arial" w:hAnsi="Arial" w:cs="Arial"/>
        <w:b w:val="0"/>
        <w:i w:val="0"/>
        <w:strike w:val="0"/>
        <w:dstrike w:val="0"/>
        <w:color w:val="001133"/>
        <w:sz w:val="20"/>
        <w:szCs w:val="20"/>
        <w:u w:val="none" w:color="000000"/>
        <w:bdr w:val="none" w:sz="0" w:space="0" w:color="auto"/>
        <w:shd w:val="clear" w:color="auto" w:fill="auto"/>
        <w:vertAlign w:val="baseline"/>
      </w:rPr>
    </w:lvl>
    <w:lvl w:ilvl="7" w:tplc="14AC8BEC">
      <w:start w:val="1"/>
      <w:numFmt w:val="bullet"/>
      <w:lvlText w:val="o"/>
      <w:lvlJc w:val="left"/>
      <w:pPr>
        <w:ind w:left="550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lvl w:ilvl="8" w:tplc="5282ADC6">
      <w:start w:val="1"/>
      <w:numFmt w:val="bullet"/>
      <w:lvlText w:val="▪"/>
      <w:lvlJc w:val="left"/>
      <w:pPr>
        <w:ind w:left="6228"/>
      </w:pPr>
      <w:rPr>
        <w:rFonts w:ascii="Segoe UI Symbol" w:eastAsia="Segoe UI Symbol" w:hAnsi="Segoe UI Symbol" w:cs="Segoe UI Symbol"/>
        <w:b w:val="0"/>
        <w:i w:val="0"/>
        <w:strike w:val="0"/>
        <w:dstrike w:val="0"/>
        <w:color w:val="001133"/>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AF"/>
    <w:rsid w:val="004A0FA8"/>
    <w:rsid w:val="009533AF"/>
    <w:rsid w:val="00973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CDAF"/>
  <w15:docId w15:val="{DF79A859-4A41-4327-A8D2-6DFF84E6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82" w:line="267" w:lineRule="auto"/>
      <w:ind w:left="44" w:right="3" w:hanging="10"/>
      <w:jc w:val="both"/>
    </w:pPr>
    <w:rPr>
      <w:rFonts w:ascii="Calibri" w:eastAsia="Calibri" w:hAnsi="Calibri" w:cs="Calibri"/>
      <w:color w:val="2222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2informatik.de/wissen-kompakt/80-20-reg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2informatik.de/wissen-kompakt/80-20-regel/"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t2informatik.de/wissen-kompakt/80-20-regel/" TargetMode="External"/><Relationship Id="rId5" Type="http://schemas.openxmlformats.org/officeDocument/2006/relationships/image" Target="media/image1.png"/><Relationship Id="rId10" Type="http://schemas.openxmlformats.org/officeDocument/2006/relationships/hyperlink" Target="https://t2informatik.de/wissen-kompakt/80-20-regel/" TargetMode="External"/><Relationship Id="rId4" Type="http://schemas.openxmlformats.org/officeDocument/2006/relationships/webSettings" Target="webSettings.xml"/><Relationship Id="rId9" Type="http://schemas.openxmlformats.org/officeDocument/2006/relationships/hyperlink" Target="https://t2informatik.de/wissen-kompakt/80-20-rege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835</Words>
  <Characters>5263</Characters>
  <Application>Microsoft Office Word</Application>
  <DocSecurity>4</DocSecurity>
  <Lines>43</Lines>
  <Paragraphs>12</Paragraphs>
  <ScaleCrop>false</ScaleCrop>
  <Company>SenBJF Office 2019</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Herde</dc:creator>
  <cp:keywords/>
  <cp:lastModifiedBy>Babst Stefan</cp:lastModifiedBy>
  <cp:revision>2</cp:revision>
  <dcterms:created xsi:type="dcterms:W3CDTF">2021-12-16T12:02:00Z</dcterms:created>
  <dcterms:modified xsi:type="dcterms:W3CDTF">2021-12-16T12:02:00Z</dcterms:modified>
</cp:coreProperties>
</file>