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0C5" w:rsidRDefault="00133C26" w:rsidP="002970C5">
      <w:pPr>
        <w:spacing w:after="60"/>
        <w:ind w:left="425"/>
        <w:rPr>
          <w:rFonts w:ascii="Arial" w:hAnsi="Arial" w:cs="Arial"/>
          <w:sz w:val="22"/>
          <w:szCs w:val="20"/>
        </w:rPr>
      </w:pPr>
      <w:bookmarkStart w:id="0" w:name="_GoBack"/>
      <w:bookmarkEnd w:id="0"/>
      <w:r>
        <w:rPr>
          <w:rFonts w:ascii="Arial" w:hAnsi="Arial" w:cs="Arial"/>
          <w:noProof/>
          <w:sz w:val="28"/>
          <w:szCs w:val="28"/>
        </w:rPr>
        <w:drawing>
          <wp:anchor distT="0" distB="0" distL="114300" distR="114300" simplePos="0" relativeHeight="251657728" behindDoc="0" locked="0" layoutInCell="1" allowOverlap="0">
            <wp:simplePos x="0" y="0"/>
            <wp:positionH relativeFrom="column">
              <wp:posOffset>4343400</wp:posOffset>
            </wp:positionH>
            <wp:positionV relativeFrom="paragraph">
              <wp:posOffset>184785</wp:posOffset>
            </wp:positionV>
            <wp:extent cx="728133" cy="770467"/>
            <wp:effectExtent l="25400" t="0" r="8467" b="0"/>
            <wp:wrapNone/>
            <wp:docPr id="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133" cy="770467"/>
                    </a:xfrm>
                    <a:prstGeom prst="rect">
                      <a:avLst/>
                    </a:prstGeom>
                    <a:noFill/>
                    <a:ln>
                      <a:noFill/>
                    </a:ln>
                  </pic:spPr>
                </pic:pic>
              </a:graphicData>
            </a:graphic>
          </wp:anchor>
        </w:drawing>
      </w:r>
    </w:p>
    <w:p w:rsidR="00E74231" w:rsidRPr="00E213F6" w:rsidRDefault="00E74231" w:rsidP="00E74231"/>
    <w:p w:rsidR="00E74231" w:rsidRPr="00071269" w:rsidRDefault="00E74231" w:rsidP="00E74231">
      <w:pPr>
        <w:tabs>
          <w:tab w:val="left" w:pos="2573"/>
          <w:tab w:val="left" w:pos="8505"/>
        </w:tabs>
        <w:ind w:left="142"/>
        <w:rPr>
          <w:rFonts w:ascii="Arial" w:hAnsi="Arial"/>
          <w:sz w:val="28"/>
        </w:rPr>
      </w:pPr>
      <w:r w:rsidRPr="00071269">
        <w:rPr>
          <w:rFonts w:ascii="Arial" w:hAnsi="Arial" w:cs="Arial"/>
          <w:sz w:val="28"/>
          <w:szCs w:val="28"/>
          <w:u w:val="single"/>
        </w:rPr>
        <w:t xml:space="preserve">Arbeitsauftrag </w:t>
      </w:r>
      <w:r w:rsidRPr="00071269">
        <w:rPr>
          <w:rFonts w:ascii="Arial" w:hAnsi="Arial" w:cs="Arial"/>
          <w:sz w:val="28"/>
          <w:szCs w:val="28"/>
        </w:rPr>
        <w:sym w:font="Wingdings" w:char="F021"/>
      </w:r>
      <w:r w:rsidR="002944A2">
        <w:rPr>
          <w:rFonts w:ascii="Arial" w:hAnsi="Arial" w:cs="Arial"/>
          <w:sz w:val="28"/>
          <w:szCs w:val="28"/>
        </w:rPr>
        <w:t>:</w:t>
      </w:r>
      <w:r w:rsidR="002944A2">
        <w:rPr>
          <w:rFonts w:ascii="Arial" w:hAnsi="Arial" w:cs="Arial"/>
          <w:sz w:val="28"/>
          <w:szCs w:val="28"/>
        </w:rPr>
        <w:tab/>
      </w:r>
      <w:r w:rsidR="002944A2">
        <w:rPr>
          <w:rFonts w:ascii="Arial" w:hAnsi="Arial" w:cs="Arial"/>
          <w:sz w:val="28"/>
          <w:szCs w:val="28"/>
        </w:rPr>
        <w:tab/>
        <w:t>10</w:t>
      </w:r>
      <w:r w:rsidRPr="00071269">
        <w:rPr>
          <w:rFonts w:ascii="Arial" w:hAnsi="Arial" w:cs="Arial"/>
          <w:sz w:val="28"/>
          <w:szCs w:val="28"/>
        </w:rPr>
        <w:t xml:space="preserve"> min</w:t>
      </w:r>
    </w:p>
    <w:p w:rsidR="00E74231" w:rsidRPr="002944A2" w:rsidRDefault="00E74231" w:rsidP="00E74231">
      <w:pPr>
        <w:rPr>
          <w:rFonts w:ascii="Arial" w:hAnsi="Arial"/>
          <w:sz w:val="26"/>
        </w:rPr>
      </w:pPr>
    </w:p>
    <w:p w:rsidR="002944A2" w:rsidRDefault="002944A2" w:rsidP="00E74231">
      <w:pPr>
        <w:spacing w:after="120"/>
        <w:rPr>
          <w:rFonts w:ascii="Arial" w:hAnsi="Arial" w:cs="Arial"/>
          <w:b/>
          <w:sz w:val="26"/>
          <w:szCs w:val="20"/>
          <w:u w:val="single"/>
        </w:rPr>
      </w:pPr>
    </w:p>
    <w:p w:rsidR="00E74231" w:rsidRPr="002944A2" w:rsidRDefault="00E74231" w:rsidP="00E74231">
      <w:pPr>
        <w:spacing w:after="120"/>
        <w:rPr>
          <w:rFonts w:ascii="Arial" w:hAnsi="Arial" w:cs="Arial"/>
          <w:b/>
          <w:sz w:val="26"/>
          <w:szCs w:val="20"/>
          <w:u w:val="single"/>
        </w:rPr>
      </w:pPr>
    </w:p>
    <w:p w:rsidR="00E74231" w:rsidRPr="002944A2" w:rsidRDefault="00E74231" w:rsidP="00E74231">
      <w:pPr>
        <w:numPr>
          <w:ilvl w:val="0"/>
          <w:numId w:val="13"/>
        </w:numPr>
        <w:tabs>
          <w:tab w:val="left" w:pos="426"/>
        </w:tabs>
        <w:ind w:left="770" w:hanging="426"/>
        <w:rPr>
          <w:rFonts w:ascii="Arial" w:hAnsi="Arial" w:cs="Arial"/>
          <w:sz w:val="26"/>
        </w:rPr>
      </w:pPr>
      <w:r w:rsidRPr="002944A2">
        <w:rPr>
          <w:rFonts w:ascii="Arial" w:hAnsi="Arial" w:cs="Arial"/>
          <w:sz w:val="26"/>
        </w:rPr>
        <w:t xml:space="preserve">Lesen Sie den Informationstext über </w:t>
      </w:r>
      <w:r w:rsidR="004C08BA" w:rsidRPr="002944A2">
        <w:rPr>
          <w:rFonts w:ascii="Arial" w:hAnsi="Arial" w:cs="Arial"/>
          <w:sz w:val="26"/>
        </w:rPr>
        <w:t xml:space="preserve">den </w:t>
      </w:r>
      <w:r w:rsidR="002944A2">
        <w:rPr>
          <w:rFonts w:ascii="Arial" w:hAnsi="Arial" w:cs="Arial"/>
          <w:sz w:val="26"/>
        </w:rPr>
        <w:t>Kommissionär</w:t>
      </w:r>
      <w:r w:rsidRPr="002944A2">
        <w:rPr>
          <w:rFonts w:ascii="Arial" w:hAnsi="Arial" w:cs="Arial"/>
          <w:sz w:val="26"/>
        </w:rPr>
        <w:t xml:space="preserve"> aufmerksam durch!</w:t>
      </w:r>
    </w:p>
    <w:p w:rsidR="00E74231" w:rsidRPr="002944A2" w:rsidRDefault="00E74231" w:rsidP="00E74231">
      <w:pPr>
        <w:tabs>
          <w:tab w:val="left" w:pos="426"/>
        </w:tabs>
        <w:rPr>
          <w:rFonts w:ascii="Arial" w:hAnsi="Arial" w:cs="Arial"/>
          <w:sz w:val="26"/>
        </w:rPr>
      </w:pPr>
    </w:p>
    <w:p w:rsidR="00E74231" w:rsidRPr="002944A2" w:rsidRDefault="00E74231" w:rsidP="00E74231">
      <w:pPr>
        <w:rPr>
          <w:rFonts w:ascii="Arial" w:hAnsi="Arial" w:cs="Arial"/>
          <w:sz w:val="26"/>
        </w:rPr>
      </w:pPr>
    </w:p>
    <w:p w:rsidR="00E74231" w:rsidRPr="002944A2" w:rsidRDefault="00E74231" w:rsidP="00E74231">
      <w:pPr>
        <w:ind w:left="708"/>
        <w:rPr>
          <w:rFonts w:ascii="Arial" w:hAnsi="Arial" w:cs="Arial"/>
          <w:sz w:val="26"/>
        </w:rPr>
      </w:pPr>
      <w:r w:rsidRPr="002944A2">
        <w:rPr>
          <w:rFonts w:ascii="Arial" w:hAnsi="Arial" w:cs="Arial"/>
          <w:sz w:val="26"/>
        </w:rPr>
        <w:t>a)</w:t>
      </w:r>
      <w:r w:rsidRPr="002944A2">
        <w:rPr>
          <w:rFonts w:ascii="Arial" w:hAnsi="Arial" w:cs="Arial"/>
          <w:b/>
          <w:sz w:val="26"/>
        </w:rPr>
        <w:t xml:space="preserve"> </w:t>
      </w:r>
      <w:r w:rsidR="004C08BA" w:rsidRPr="002944A2">
        <w:rPr>
          <w:rFonts w:ascii="Arial" w:hAnsi="Arial" w:cs="Arial"/>
          <w:b/>
          <w:sz w:val="26"/>
        </w:rPr>
        <w:t>Füllen</w:t>
      </w:r>
      <w:r w:rsidRPr="002944A2">
        <w:rPr>
          <w:rFonts w:ascii="Arial" w:hAnsi="Arial" w:cs="Arial"/>
          <w:b/>
          <w:sz w:val="26"/>
        </w:rPr>
        <w:t xml:space="preserve"> </w:t>
      </w:r>
      <w:r w:rsidRPr="002944A2">
        <w:rPr>
          <w:rFonts w:ascii="Arial" w:hAnsi="Arial" w:cs="Arial"/>
          <w:sz w:val="26"/>
        </w:rPr>
        <w:t xml:space="preserve">Sie </w:t>
      </w:r>
      <w:r w:rsidR="004C08BA" w:rsidRPr="002944A2">
        <w:rPr>
          <w:rFonts w:ascii="Arial" w:hAnsi="Arial" w:cs="Arial"/>
          <w:sz w:val="26"/>
        </w:rPr>
        <w:t xml:space="preserve">in Ihrer Folie den Teil zum </w:t>
      </w:r>
      <w:r w:rsidR="002944A2">
        <w:rPr>
          <w:rFonts w:ascii="Arial" w:hAnsi="Arial" w:cs="Arial"/>
          <w:sz w:val="26"/>
        </w:rPr>
        <w:t>Kommissionär</w:t>
      </w:r>
      <w:r w:rsidR="004C08BA" w:rsidRPr="002944A2">
        <w:rPr>
          <w:rFonts w:ascii="Arial" w:hAnsi="Arial" w:cs="Arial"/>
          <w:sz w:val="26"/>
        </w:rPr>
        <w:t xml:space="preserve"> </w:t>
      </w:r>
      <w:r w:rsidR="004C08BA" w:rsidRPr="002944A2">
        <w:rPr>
          <w:rFonts w:ascii="Arial" w:hAnsi="Arial" w:cs="Arial"/>
          <w:b/>
          <w:sz w:val="26"/>
        </w:rPr>
        <w:t>aus</w:t>
      </w:r>
      <w:r w:rsidRPr="002944A2">
        <w:rPr>
          <w:rFonts w:ascii="Arial" w:hAnsi="Arial" w:cs="Arial"/>
          <w:sz w:val="26"/>
        </w:rPr>
        <w:t>!</w:t>
      </w:r>
    </w:p>
    <w:p w:rsidR="00E74231" w:rsidRPr="002944A2" w:rsidRDefault="00E74231" w:rsidP="00E74231">
      <w:pPr>
        <w:ind w:left="708"/>
        <w:rPr>
          <w:rFonts w:ascii="Arial" w:hAnsi="Arial" w:cs="Arial"/>
          <w:b/>
          <w:sz w:val="26"/>
        </w:rPr>
      </w:pPr>
    </w:p>
    <w:p w:rsidR="00E74231" w:rsidRPr="002944A2" w:rsidRDefault="00E74231" w:rsidP="00E74231">
      <w:pPr>
        <w:ind w:left="708"/>
        <w:rPr>
          <w:rFonts w:ascii="Arial" w:hAnsi="Arial" w:cs="Arial"/>
          <w:sz w:val="26"/>
        </w:rPr>
      </w:pPr>
      <w:r w:rsidRPr="002944A2">
        <w:rPr>
          <w:rFonts w:ascii="Arial" w:hAnsi="Arial" w:cs="Arial"/>
          <w:sz w:val="26"/>
        </w:rPr>
        <w:t>b)</w:t>
      </w:r>
      <w:r w:rsidRPr="002944A2">
        <w:rPr>
          <w:rFonts w:ascii="Arial" w:hAnsi="Arial" w:cs="Arial"/>
          <w:b/>
          <w:sz w:val="26"/>
        </w:rPr>
        <w:t xml:space="preserve"> </w:t>
      </w:r>
      <w:r w:rsidR="004C08BA" w:rsidRPr="002944A2">
        <w:rPr>
          <w:rFonts w:ascii="Arial" w:hAnsi="Arial" w:cs="Arial"/>
          <w:b/>
          <w:sz w:val="26"/>
        </w:rPr>
        <w:t>Stellen</w:t>
      </w:r>
      <w:r w:rsidRPr="002944A2">
        <w:rPr>
          <w:rFonts w:ascii="Arial" w:hAnsi="Arial" w:cs="Arial"/>
          <w:sz w:val="26"/>
        </w:rPr>
        <w:t xml:space="preserve"> Sie </w:t>
      </w:r>
      <w:r w:rsidR="004C08BA" w:rsidRPr="002944A2">
        <w:rPr>
          <w:rFonts w:ascii="Arial" w:hAnsi="Arial" w:cs="Arial"/>
          <w:sz w:val="26"/>
        </w:rPr>
        <w:t>ihre Gruppenergebnisse der Klasse vor</w:t>
      </w:r>
      <w:r w:rsidRPr="002944A2">
        <w:rPr>
          <w:rFonts w:ascii="Arial" w:hAnsi="Arial" w:cs="Arial"/>
          <w:sz w:val="26"/>
        </w:rPr>
        <w:t>!</w:t>
      </w:r>
    </w:p>
    <w:p w:rsidR="00E74231" w:rsidRPr="002944A2" w:rsidRDefault="00E74231" w:rsidP="00E74231">
      <w:pPr>
        <w:tabs>
          <w:tab w:val="left" w:pos="426"/>
        </w:tabs>
        <w:ind w:left="426"/>
        <w:rPr>
          <w:rFonts w:ascii="Arial" w:hAnsi="Arial" w:cs="Arial"/>
          <w:sz w:val="26"/>
        </w:rPr>
      </w:pPr>
    </w:p>
    <w:p w:rsidR="002970C5" w:rsidRPr="002944A2" w:rsidRDefault="002970C5" w:rsidP="002970C5">
      <w:pPr>
        <w:tabs>
          <w:tab w:val="left" w:pos="567"/>
        </w:tabs>
        <w:ind w:left="360"/>
        <w:rPr>
          <w:rFonts w:ascii="Arial" w:hAnsi="Arial" w:cs="Arial"/>
          <w:sz w:val="26"/>
        </w:rPr>
      </w:pPr>
    </w:p>
    <w:p w:rsidR="002970C5" w:rsidRPr="002944A2" w:rsidRDefault="004C08BA" w:rsidP="00565584">
      <w:pPr>
        <w:tabs>
          <w:tab w:val="left" w:pos="567"/>
        </w:tabs>
        <w:rPr>
          <w:rFonts w:ascii="Arial" w:hAnsi="Arial" w:cs="Arial"/>
          <w:sz w:val="26"/>
          <w:u w:val="single"/>
        </w:rPr>
      </w:pPr>
      <w:r w:rsidRPr="002944A2">
        <w:rPr>
          <w:rFonts w:ascii="Arial" w:hAnsi="Arial" w:cs="Arial"/>
          <w:sz w:val="26"/>
          <w:u w:val="single"/>
        </w:rPr>
        <w:t xml:space="preserve">Der </w:t>
      </w:r>
      <w:r w:rsidR="002944A2">
        <w:rPr>
          <w:rFonts w:ascii="Arial" w:hAnsi="Arial" w:cs="Arial"/>
          <w:sz w:val="26"/>
          <w:u w:val="single"/>
        </w:rPr>
        <w:t>Kommissionär</w:t>
      </w:r>
    </w:p>
    <w:p w:rsidR="002970C5" w:rsidRPr="002944A2" w:rsidRDefault="002970C5" w:rsidP="002970C5">
      <w:pPr>
        <w:tabs>
          <w:tab w:val="left" w:pos="567"/>
        </w:tabs>
        <w:ind w:left="360"/>
        <w:rPr>
          <w:rFonts w:ascii="Arial" w:hAnsi="Arial" w:cs="Arial"/>
          <w:sz w:val="26"/>
        </w:rPr>
      </w:pPr>
    </w:p>
    <w:p w:rsidR="002944A2" w:rsidRDefault="002944A2" w:rsidP="00565584">
      <w:pPr>
        <w:spacing w:after="60"/>
        <w:ind w:left="142"/>
        <w:jc w:val="both"/>
        <w:rPr>
          <w:rFonts w:ascii="Arial" w:hAnsi="Arial" w:cs="Arial"/>
          <w:sz w:val="26"/>
          <w:szCs w:val="20"/>
        </w:rPr>
      </w:pPr>
      <w:r w:rsidRPr="002944A2">
        <w:rPr>
          <w:rFonts w:ascii="Arial" w:hAnsi="Arial" w:cs="Arial"/>
          <w:sz w:val="26"/>
          <w:szCs w:val="20"/>
        </w:rPr>
        <w:t>K</w:t>
      </w:r>
      <w:r>
        <w:rPr>
          <w:rFonts w:ascii="Arial" w:hAnsi="Arial" w:cs="Arial"/>
          <w:sz w:val="26"/>
          <w:szCs w:val="20"/>
        </w:rPr>
        <w:t>ommissionäre sind – soweit sie nach Art oder Umfang in kaufmännischer Weise eingerichteten Geschäftsbetrieb verfügen – als selbstständige Kaufleute damit betraut gewerbsmäßig Waren oder Wertpapiere in eigenem Namen und auf Rechnung eines anderen (des Kommittenten) zu kaufen oder zu verkaufen.</w:t>
      </w:r>
    </w:p>
    <w:p w:rsidR="00E34FA8" w:rsidRDefault="002944A2" w:rsidP="00565584">
      <w:pPr>
        <w:spacing w:after="60"/>
        <w:ind w:left="142"/>
        <w:jc w:val="both"/>
        <w:rPr>
          <w:rFonts w:ascii="Arial" w:hAnsi="Arial" w:cs="Arial"/>
          <w:sz w:val="26"/>
          <w:szCs w:val="20"/>
        </w:rPr>
      </w:pPr>
      <w:r>
        <w:rPr>
          <w:rFonts w:ascii="Arial" w:hAnsi="Arial" w:cs="Arial"/>
          <w:sz w:val="26"/>
          <w:szCs w:val="20"/>
        </w:rPr>
        <w:t>Kommissionäre können nach dem Kommissionsvertrag in einem Dauervertragsverhältnis zum Kommittenten stehen. Sie können aber auch von Fall zu Fall Aufträge annehmen. In jedem Fall sind Sie befugt Geschäfte abzuschließen.</w:t>
      </w:r>
    </w:p>
    <w:p w:rsidR="00E34FA8" w:rsidRDefault="00E34FA8" w:rsidP="00565584">
      <w:pPr>
        <w:spacing w:after="60"/>
        <w:ind w:left="142"/>
        <w:jc w:val="both"/>
        <w:rPr>
          <w:rFonts w:ascii="Arial" w:hAnsi="Arial" w:cs="Arial"/>
          <w:sz w:val="26"/>
          <w:szCs w:val="20"/>
        </w:rPr>
      </w:pPr>
      <w:r>
        <w:rPr>
          <w:rFonts w:ascii="Arial" w:hAnsi="Arial" w:cs="Arial"/>
          <w:sz w:val="26"/>
          <w:szCs w:val="20"/>
        </w:rPr>
        <w:t>Nach der Einteilung nach dem Tätigkeitsbereich der Kommissionäre unterscheidet man den Warenkommissionär (Einkaufs- und Verkaufskommissionäre, Ein. Und Verkauf aller Waren) und dem Wertpapierkommissionär (Wertpapiere zu kaufen oder zu verkaufen).</w:t>
      </w:r>
    </w:p>
    <w:p w:rsidR="00E34FA8" w:rsidRDefault="00E34FA8" w:rsidP="00565584">
      <w:pPr>
        <w:spacing w:after="60"/>
        <w:ind w:left="142"/>
        <w:jc w:val="both"/>
        <w:rPr>
          <w:rFonts w:ascii="Arial" w:hAnsi="Arial" w:cs="Arial"/>
          <w:sz w:val="26"/>
          <w:szCs w:val="20"/>
        </w:rPr>
      </w:pPr>
      <w:r>
        <w:rPr>
          <w:rFonts w:ascii="Arial" w:hAnsi="Arial" w:cs="Arial"/>
          <w:sz w:val="26"/>
          <w:szCs w:val="20"/>
        </w:rPr>
        <w:t xml:space="preserve">Der Kommissionär hat ein Recht auf Provision, einen Anspruch auf den Ersatz der ihm entstandenen Aufwendungen und ein Selbsteintrittsrecht, d.h. die Kommissionäre können Waren oder Wertpapiere, die sie verkaufen sollen, aus eigenen Beständen liefern. Waren oder Wertpapiere, die sie verkaufen sollen, dürfen sie selbst übernehmen (kaufen). </w:t>
      </w:r>
    </w:p>
    <w:p w:rsidR="00E34FA8" w:rsidRDefault="00E34FA8" w:rsidP="00565584">
      <w:pPr>
        <w:spacing w:after="60"/>
        <w:ind w:left="142"/>
        <w:jc w:val="both"/>
        <w:rPr>
          <w:rFonts w:ascii="Arial" w:hAnsi="Arial" w:cs="Arial"/>
          <w:sz w:val="26"/>
          <w:szCs w:val="20"/>
        </w:rPr>
      </w:pPr>
      <w:r>
        <w:rPr>
          <w:rFonts w:ascii="Arial" w:hAnsi="Arial" w:cs="Arial"/>
          <w:sz w:val="26"/>
          <w:szCs w:val="20"/>
        </w:rPr>
        <w:t>Der Kommissionär hat ein Veräußerungsrecht an den Waren seines Auftraggebers, deren Eigentümer er nicht wird.</w:t>
      </w:r>
    </w:p>
    <w:p w:rsidR="00EF3096" w:rsidRDefault="00E34FA8" w:rsidP="00565584">
      <w:pPr>
        <w:spacing w:after="60"/>
        <w:ind w:left="142"/>
        <w:jc w:val="both"/>
        <w:rPr>
          <w:rFonts w:ascii="Arial" w:hAnsi="Arial" w:cs="Arial"/>
          <w:sz w:val="26"/>
          <w:szCs w:val="20"/>
        </w:rPr>
      </w:pPr>
      <w:r>
        <w:rPr>
          <w:rFonts w:ascii="Arial" w:hAnsi="Arial" w:cs="Arial"/>
          <w:sz w:val="26"/>
          <w:szCs w:val="20"/>
        </w:rPr>
        <w:t xml:space="preserve">Er hat aber die Pflicht den Gegenwert </w:t>
      </w:r>
      <w:r w:rsidR="00EF3096">
        <w:rPr>
          <w:rFonts w:ascii="Arial" w:hAnsi="Arial" w:cs="Arial"/>
          <w:sz w:val="26"/>
          <w:szCs w:val="20"/>
        </w:rPr>
        <w:t>für die veräußerten Waren, an den Auftraggeber, dem Kommittenten, abzuliefern. Der Verkauf erfolgt also im eigenen Namen und auf eigene Rechnung über den indirekten Absatzweg.</w:t>
      </w:r>
    </w:p>
    <w:p w:rsidR="00EF3096" w:rsidRDefault="00EF3096" w:rsidP="00565584">
      <w:pPr>
        <w:spacing w:after="60"/>
        <w:ind w:left="142"/>
        <w:jc w:val="both"/>
        <w:rPr>
          <w:rFonts w:ascii="Arial" w:hAnsi="Arial" w:cs="Arial"/>
          <w:sz w:val="26"/>
          <w:szCs w:val="20"/>
        </w:rPr>
      </w:pPr>
      <w:r>
        <w:rPr>
          <w:rFonts w:ascii="Arial" w:hAnsi="Arial" w:cs="Arial"/>
          <w:sz w:val="26"/>
          <w:szCs w:val="20"/>
        </w:rPr>
        <w:t>Für Kommissionär und Kommittent ist das Kommissionsgeschäft vorteilhaft. Der Kommissionär übernimmt die Waren in sein Lager, mit  dem Recht, nicht verkaufte Ware nach Ablauf einer gewissen Frist zurück zu geben.</w:t>
      </w:r>
    </w:p>
    <w:p w:rsidR="00EF3096" w:rsidRDefault="00334F1F" w:rsidP="00565584">
      <w:pPr>
        <w:spacing w:after="60"/>
        <w:ind w:left="142"/>
        <w:jc w:val="both"/>
        <w:rPr>
          <w:rFonts w:ascii="Arial" w:hAnsi="Arial" w:cs="Arial"/>
          <w:sz w:val="26"/>
          <w:szCs w:val="20"/>
        </w:rPr>
      </w:pPr>
      <w:r>
        <w:rPr>
          <w:rFonts w:ascii="Arial" w:hAnsi="Arial" w:cs="Arial"/>
          <w:sz w:val="26"/>
          <w:szCs w:val="20"/>
        </w:rPr>
        <w:t>Der Gewinnzuschlag fließt dem</w:t>
      </w:r>
      <w:r w:rsidR="00EF3096">
        <w:rPr>
          <w:rFonts w:ascii="Arial" w:hAnsi="Arial" w:cs="Arial"/>
          <w:sz w:val="26"/>
          <w:szCs w:val="20"/>
        </w:rPr>
        <w:t xml:space="preserve"> Kommissionär zu, da dieser die Lagerhaltung und die Abrechnung erledigt. Das Absatzrisiko jedoch liegt beim Kommittenten.</w:t>
      </w:r>
    </w:p>
    <w:p w:rsidR="002F4E57" w:rsidRPr="002944A2" w:rsidRDefault="002F4E57">
      <w:pPr>
        <w:spacing w:after="60"/>
        <w:ind w:left="142"/>
        <w:rPr>
          <w:rFonts w:ascii="Arial" w:hAnsi="Arial" w:cs="Arial"/>
          <w:sz w:val="26"/>
          <w:szCs w:val="20"/>
        </w:rPr>
      </w:pPr>
    </w:p>
    <w:sectPr w:rsidR="002F4E57" w:rsidRPr="002944A2" w:rsidSect="002970C5">
      <w:headerReference w:type="even" r:id="rId8"/>
      <w:headerReference w:type="default" r:id="rId9"/>
      <w:footerReference w:type="even" r:id="rId10"/>
      <w:footerReference w:type="default" r:id="rId11"/>
      <w:headerReference w:type="first" r:id="rId12"/>
      <w:footerReference w:type="first" r:id="rId13"/>
      <w:pgSz w:w="11906" w:h="16838"/>
      <w:pgMar w:top="1735" w:right="499" w:bottom="902" w:left="1418" w:header="539" w:footer="66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FA8" w:rsidRDefault="00E34FA8">
      <w:r>
        <w:separator/>
      </w:r>
    </w:p>
  </w:endnote>
  <w:endnote w:type="continuationSeparator" w:id="0">
    <w:p w:rsidR="00E34FA8" w:rsidRDefault="00E3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584" w:rsidRDefault="00565584">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FA8" w:rsidRPr="00F4245A" w:rsidRDefault="00E34FA8" w:rsidP="002970C5">
    <w:pPr>
      <w:tabs>
        <w:tab w:val="left" w:pos="1140"/>
      </w:tabs>
      <w:rPr>
        <w:rFonts w:cs="Arial"/>
        <w:sz w:val="4"/>
        <w:szCs w:val="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584" w:rsidRDefault="0056558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FA8" w:rsidRDefault="00E34FA8">
      <w:r>
        <w:separator/>
      </w:r>
    </w:p>
  </w:footnote>
  <w:footnote w:type="continuationSeparator" w:id="0">
    <w:p w:rsidR="00E34FA8" w:rsidRDefault="00E34F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584" w:rsidRDefault="00565584">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64" w:type="dxa"/>
      <w:tblInd w:w="-79"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99"/>
      <w:gridCol w:w="2465"/>
      <w:gridCol w:w="2495"/>
      <w:gridCol w:w="2605"/>
    </w:tblGrid>
    <w:tr w:rsidR="00E34FA8" w:rsidRPr="00E7724D">
      <w:trPr>
        <w:trHeight w:hRule="exact" w:val="1077"/>
      </w:trPr>
      <w:tc>
        <w:tcPr>
          <w:tcW w:w="2599" w:type="dxa"/>
          <w:tcBorders>
            <w:top w:val="single" w:sz="4" w:space="0" w:color="auto"/>
            <w:left w:val="single" w:sz="4" w:space="0" w:color="auto"/>
            <w:bottom w:val="single" w:sz="4" w:space="0" w:color="auto"/>
          </w:tcBorders>
          <w:vAlign w:val="center"/>
        </w:tcPr>
        <w:p w:rsidR="00E34FA8" w:rsidRPr="00E7724D" w:rsidRDefault="00E403E6" w:rsidP="002970C5">
          <w:pPr>
            <w:spacing w:before="100"/>
            <w:jc w:val="center"/>
            <w:rPr>
              <w:rFonts w:ascii="Arial" w:hAnsi="Arial" w:cs="Arial"/>
            </w:rPr>
          </w:pPr>
          <w:r>
            <w:rPr>
              <w:rFonts w:ascii="Arial" w:hAnsi="Arial" w:cs="Arial"/>
              <w:noProof/>
            </w:rPr>
            <mc:AlternateContent>
              <mc:Choice Requires="wps">
                <w:drawing>
                  <wp:anchor distT="0" distB="0" distL="114300" distR="114300" simplePos="0" relativeHeight="251657728" behindDoc="1" locked="0" layoutInCell="1" allowOverlap="1">
                    <wp:simplePos x="0" y="0"/>
                    <wp:positionH relativeFrom="column">
                      <wp:posOffset>-7620</wp:posOffset>
                    </wp:positionH>
                    <wp:positionV relativeFrom="paragraph">
                      <wp:posOffset>8890</wp:posOffset>
                    </wp:positionV>
                    <wp:extent cx="6464935" cy="9896475"/>
                    <wp:effectExtent l="0" t="0" r="0" b="952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4935" cy="9896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600A9" id="Rectangle 19" o:spid="_x0000_s1026" style="position:absolute;margin-left:-.6pt;margin-top:.7pt;width:509.05pt;height:77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JUIgIAAD4EAAAOAAAAZHJzL2Uyb0RvYy54bWysU1Fv0zAQfkfiP1h+p2lL2r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"/>
                </w:pict>
              </mc:Fallback>
            </mc:AlternateContent>
          </w:r>
          <w:r w:rsidR="00E34FA8">
            <w:rPr>
              <w:noProof/>
            </w:rPr>
            <w:drawing>
              <wp:inline distT="0" distB="0" distL="0" distR="0">
                <wp:extent cx="1270000" cy="36830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368300"/>
                        </a:xfrm>
                        <a:prstGeom prst="rect">
                          <a:avLst/>
                        </a:prstGeom>
                        <a:noFill/>
                        <a:ln>
                          <a:noFill/>
                        </a:ln>
                      </pic:spPr>
                    </pic:pic>
                  </a:graphicData>
                </a:graphic>
              </wp:inline>
            </w:drawing>
          </w:r>
        </w:p>
      </w:tc>
      <w:tc>
        <w:tcPr>
          <w:tcW w:w="4960" w:type="dxa"/>
          <w:gridSpan w:val="2"/>
          <w:tcBorders>
            <w:top w:val="single" w:sz="4" w:space="0" w:color="auto"/>
          </w:tcBorders>
          <w:vAlign w:val="center"/>
        </w:tcPr>
        <w:p w:rsidR="00E34FA8" w:rsidRPr="00565584" w:rsidRDefault="00E34FA8" w:rsidP="00565584">
          <w:pPr>
            <w:jc w:val="center"/>
            <w:rPr>
              <w:rFonts w:ascii="Arial" w:hAnsi="Arial" w:cs="Arial"/>
              <w:b/>
            </w:rPr>
          </w:pPr>
          <w:r>
            <w:rPr>
              <w:rFonts w:ascii="Arial" w:hAnsi="Arial" w:cs="Arial"/>
              <w:b/>
            </w:rPr>
            <w:t>Distributionspolitik</w:t>
          </w:r>
        </w:p>
      </w:tc>
      <w:tc>
        <w:tcPr>
          <w:tcW w:w="2605" w:type="dxa"/>
          <w:tcBorders>
            <w:top w:val="single" w:sz="4" w:space="0" w:color="auto"/>
            <w:bottom w:val="single" w:sz="4" w:space="0" w:color="auto"/>
            <w:right w:val="single" w:sz="4" w:space="0" w:color="auto"/>
          </w:tcBorders>
          <w:vAlign w:val="center"/>
        </w:tcPr>
        <w:p w:rsidR="0041141D" w:rsidRDefault="00E34FA8" w:rsidP="002970C5">
          <w:pPr>
            <w:pStyle w:val="Themenbereich"/>
            <w:rPr>
              <w:rFonts w:ascii="Arial" w:hAnsi="Arial"/>
            </w:rPr>
          </w:pPr>
          <w:r w:rsidRPr="00E7724D">
            <w:rPr>
              <w:rFonts w:ascii="Arial" w:hAnsi="Arial"/>
            </w:rPr>
            <w:t>BP</w:t>
          </w:r>
        </w:p>
        <w:p w:rsidR="00E34FA8" w:rsidRPr="00E7724D" w:rsidRDefault="0041141D" w:rsidP="002970C5">
          <w:pPr>
            <w:pStyle w:val="Themenbereich"/>
            <w:rPr>
              <w:rFonts w:ascii="Arial" w:hAnsi="Arial"/>
            </w:rPr>
          </w:pPr>
          <w:r>
            <w:rPr>
              <w:rFonts w:ascii="Arial" w:hAnsi="Arial"/>
            </w:rPr>
            <w:t>Theorie</w:t>
          </w:r>
        </w:p>
      </w:tc>
    </w:tr>
    <w:tr w:rsidR="00E34FA8" w:rsidRPr="00E7724D">
      <w:trPr>
        <w:trHeight w:hRule="exact" w:val="312"/>
      </w:trPr>
      <w:tc>
        <w:tcPr>
          <w:tcW w:w="2599" w:type="dxa"/>
          <w:tcBorders>
            <w:top w:val="single" w:sz="4" w:space="0" w:color="auto"/>
            <w:left w:val="single" w:sz="4" w:space="0" w:color="auto"/>
          </w:tcBorders>
          <w:tcMar>
            <w:left w:w="113" w:type="dxa"/>
          </w:tcMar>
          <w:vAlign w:val="center"/>
        </w:tcPr>
        <w:p w:rsidR="00E34FA8" w:rsidRPr="00E7724D" w:rsidRDefault="00E34FA8" w:rsidP="002970C5">
          <w:pPr>
            <w:rPr>
              <w:rFonts w:ascii="Arial" w:hAnsi="Arial" w:cs="Arial"/>
              <w:sz w:val="20"/>
              <w:szCs w:val="20"/>
            </w:rPr>
          </w:pPr>
          <w:r w:rsidRPr="00E7724D">
            <w:rPr>
              <w:rFonts w:ascii="Arial" w:hAnsi="Arial" w:cs="Arial"/>
              <w:sz w:val="20"/>
              <w:szCs w:val="20"/>
            </w:rPr>
            <w:t>Name:</w:t>
          </w:r>
        </w:p>
      </w:tc>
      <w:tc>
        <w:tcPr>
          <w:tcW w:w="2465" w:type="dxa"/>
          <w:tcMar>
            <w:left w:w="113" w:type="dxa"/>
          </w:tcMar>
          <w:vAlign w:val="center"/>
        </w:tcPr>
        <w:p w:rsidR="00E34FA8" w:rsidRPr="00E7724D" w:rsidRDefault="00E34FA8" w:rsidP="002970C5">
          <w:pPr>
            <w:rPr>
              <w:rFonts w:ascii="Arial" w:hAnsi="Arial" w:cs="Arial"/>
              <w:sz w:val="20"/>
              <w:szCs w:val="20"/>
            </w:rPr>
          </w:pPr>
          <w:r w:rsidRPr="00E7724D">
            <w:rPr>
              <w:rFonts w:ascii="Arial" w:hAnsi="Arial" w:cs="Arial"/>
              <w:sz w:val="20"/>
              <w:szCs w:val="20"/>
            </w:rPr>
            <w:t>Klasse:</w:t>
          </w:r>
        </w:p>
      </w:tc>
      <w:tc>
        <w:tcPr>
          <w:tcW w:w="2495" w:type="dxa"/>
          <w:tcMar>
            <w:left w:w="113" w:type="dxa"/>
          </w:tcMar>
          <w:vAlign w:val="center"/>
        </w:tcPr>
        <w:p w:rsidR="00E34FA8" w:rsidRPr="00E7724D" w:rsidRDefault="00E34FA8" w:rsidP="002970C5">
          <w:pPr>
            <w:rPr>
              <w:rFonts w:ascii="Arial" w:hAnsi="Arial" w:cs="Arial"/>
              <w:sz w:val="20"/>
              <w:szCs w:val="20"/>
            </w:rPr>
          </w:pPr>
          <w:r w:rsidRPr="00E7724D">
            <w:rPr>
              <w:rFonts w:ascii="Arial" w:hAnsi="Arial" w:cs="Arial"/>
              <w:sz w:val="20"/>
              <w:szCs w:val="20"/>
            </w:rPr>
            <w:t xml:space="preserve">Datum: </w:t>
          </w:r>
        </w:p>
      </w:tc>
      <w:tc>
        <w:tcPr>
          <w:tcW w:w="2605" w:type="dxa"/>
          <w:tcBorders>
            <w:top w:val="single" w:sz="4" w:space="0" w:color="auto"/>
            <w:right w:val="single" w:sz="4" w:space="0" w:color="auto"/>
          </w:tcBorders>
          <w:tcMar>
            <w:left w:w="113" w:type="dxa"/>
          </w:tcMar>
          <w:vAlign w:val="center"/>
        </w:tcPr>
        <w:p w:rsidR="00E34FA8" w:rsidRPr="00E7724D" w:rsidRDefault="00E34FA8" w:rsidP="002970C5">
          <w:pPr>
            <w:rPr>
              <w:rFonts w:ascii="Arial" w:hAnsi="Arial" w:cs="Arial"/>
              <w:sz w:val="20"/>
              <w:szCs w:val="20"/>
            </w:rPr>
          </w:pPr>
          <w:r w:rsidRPr="00E7724D">
            <w:rPr>
              <w:rFonts w:ascii="Arial" w:hAnsi="Arial" w:cs="Arial"/>
              <w:sz w:val="20"/>
              <w:szCs w:val="20"/>
            </w:rPr>
            <w:t xml:space="preserve">Blatt Nr.: </w:t>
          </w:r>
          <w:r w:rsidR="00E403E6">
            <w:fldChar w:fldCharType="begin"/>
          </w:r>
          <w:r w:rsidR="00E403E6">
            <w:instrText xml:space="preserve"> PAGE  \* Arabic  \* MERGEFORMAT </w:instrText>
          </w:r>
          <w:r w:rsidR="00E403E6">
            <w:fldChar w:fldCharType="separate"/>
          </w:r>
          <w:r w:rsidR="00E403E6" w:rsidRPr="00E403E6">
            <w:rPr>
              <w:rFonts w:ascii="Arial" w:hAnsi="Arial" w:cs="Arial"/>
              <w:noProof/>
              <w:sz w:val="20"/>
              <w:szCs w:val="20"/>
            </w:rPr>
            <w:t>1</w:t>
          </w:r>
          <w:r w:rsidR="00E403E6">
            <w:rPr>
              <w:rFonts w:ascii="Arial" w:hAnsi="Arial" w:cs="Arial"/>
              <w:noProof/>
              <w:sz w:val="20"/>
              <w:szCs w:val="20"/>
            </w:rPr>
            <w:fldChar w:fldCharType="end"/>
          </w:r>
          <w:r w:rsidRPr="00E7724D">
            <w:rPr>
              <w:rFonts w:ascii="Arial" w:hAnsi="Arial" w:cs="Arial"/>
              <w:sz w:val="20"/>
              <w:szCs w:val="20"/>
            </w:rPr>
            <w:t>/</w:t>
          </w:r>
          <w:r w:rsidR="00E403E6">
            <w:fldChar w:fldCharType="begin"/>
          </w:r>
          <w:r w:rsidR="00E403E6">
            <w:instrText xml:space="preserve"> NUMPAGES  \* Arabic  \* MERGEFORMAT </w:instrText>
          </w:r>
          <w:r w:rsidR="00E403E6">
            <w:fldChar w:fldCharType="separate"/>
          </w:r>
          <w:r w:rsidR="00E403E6" w:rsidRPr="00E403E6">
            <w:rPr>
              <w:rFonts w:ascii="Arial" w:hAnsi="Arial" w:cs="Arial"/>
              <w:noProof/>
              <w:sz w:val="20"/>
              <w:szCs w:val="20"/>
            </w:rPr>
            <w:t>1</w:t>
          </w:r>
          <w:r w:rsidR="00E403E6">
            <w:rPr>
              <w:rFonts w:ascii="Arial" w:hAnsi="Arial" w:cs="Arial"/>
              <w:noProof/>
              <w:sz w:val="20"/>
              <w:szCs w:val="20"/>
            </w:rPr>
            <w:fldChar w:fldCharType="end"/>
          </w:r>
          <w:r w:rsidRPr="00E7724D">
            <w:rPr>
              <w:rFonts w:cs="Arial"/>
              <w:sz w:val="20"/>
              <w:szCs w:val="20"/>
            </w:rPr>
            <w:t> </w:t>
          </w:r>
          <w:r w:rsidRPr="00E7724D">
            <w:rPr>
              <w:rFonts w:ascii="Arial" w:hAnsi="Arial" w:cs="Arial"/>
              <w:sz w:val="20"/>
              <w:szCs w:val="20"/>
            </w:rPr>
            <w:t xml:space="preserve">lfd. Nr.:  </w:t>
          </w:r>
        </w:p>
      </w:tc>
    </w:tr>
  </w:tbl>
  <w:p w:rsidR="00E34FA8" w:rsidRPr="00E7724D" w:rsidRDefault="00E34FA8" w:rsidP="002970C5">
    <w:pPr>
      <w:rPr>
        <w:rFonts w:ascii="Arial" w:hAnsi="Arial" w:cs="Arial"/>
        <w:sz w:val="4"/>
        <w:szCs w:val="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584" w:rsidRDefault="00565584">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3FD3"/>
    <w:multiLevelType w:val="multilevel"/>
    <w:tmpl w:val="A41099D8"/>
    <w:lvl w:ilvl="0">
      <w:start w:val="1"/>
      <w:numFmt w:val="decimal"/>
      <w:lvlText w:val="%1."/>
      <w:lvlJc w:val="left"/>
      <w:pPr>
        <w:tabs>
          <w:tab w:val="num" w:pos="720"/>
        </w:tabs>
        <w:ind w:left="720" w:hanging="360"/>
      </w:pPr>
      <w:rPr>
        <w:rFonts w:hint="default"/>
      </w:rPr>
    </w:lvl>
    <w:lvl w:ilvl="1">
      <w:start w:val="1"/>
      <w:numFmt w:val="decimal"/>
      <w:pStyle w:val="berschrift2"/>
      <w:lvlText w:val="%1.%2."/>
      <w:lvlJc w:val="left"/>
      <w:pPr>
        <w:tabs>
          <w:tab w:val="num" w:pos="1152"/>
        </w:tabs>
        <w:ind w:left="1152" w:hanging="432"/>
      </w:pPr>
      <w:rPr>
        <w:rFonts w:hint="default"/>
      </w:rPr>
    </w:lvl>
    <w:lvl w:ilvl="2">
      <w:start w:val="1"/>
      <w:numFmt w:val="decimal"/>
      <w:pStyle w:val="berschrift3"/>
      <w:lvlText w:val="%1.%2.%3."/>
      <w:lvlJc w:val="left"/>
      <w:pPr>
        <w:tabs>
          <w:tab w:val="num" w:pos="7560"/>
        </w:tabs>
        <w:ind w:left="734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15:restartNumberingAfterBreak="0">
    <w:nsid w:val="090C4DB7"/>
    <w:multiLevelType w:val="hybridMultilevel"/>
    <w:tmpl w:val="E8E0582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4603E2"/>
    <w:multiLevelType w:val="hybridMultilevel"/>
    <w:tmpl w:val="3A38F63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630EEA"/>
    <w:multiLevelType w:val="multilevel"/>
    <w:tmpl w:val="FA44A4D8"/>
    <w:lvl w:ilvl="0">
      <w:start w:val="1"/>
      <w:numFmt w:val="decimal"/>
      <w:lvlText w:val="%1."/>
      <w:lvlJc w:val="left"/>
      <w:pPr>
        <w:ind w:left="720" w:hanging="360"/>
      </w:pPr>
      <w:rPr>
        <w:b w:val="0"/>
      </w:rPr>
    </w:lvl>
    <w:lvl w:ilvl="1">
      <w:start w:val="1"/>
      <w:numFmt w:val="decimal"/>
      <w:isLgl/>
      <w:lvlText w:val="%1.%2"/>
      <w:lvlJc w:val="left"/>
      <w:pPr>
        <w:ind w:left="502" w:hanging="360"/>
      </w:pPr>
      <w:rPr>
        <w:rFonts w:hint="default"/>
        <w:b/>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E06705"/>
    <w:multiLevelType w:val="hybridMultilevel"/>
    <w:tmpl w:val="82903360"/>
    <w:lvl w:ilvl="0" w:tplc="805E1A54">
      <w:start w:val="1"/>
      <w:numFmt w:val="upperRoman"/>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C7700A7"/>
    <w:multiLevelType w:val="hybridMultilevel"/>
    <w:tmpl w:val="6750E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0D76EB"/>
    <w:multiLevelType w:val="hybridMultilevel"/>
    <w:tmpl w:val="AB7E6EA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FA345B1"/>
    <w:multiLevelType w:val="hybridMultilevel"/>
    <w:tmpl w:val="802A51E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04D2C66"/>
    <w:multiLevelType w:val="hybridMultilevel"/>
    <w:tmpl w:val="1DBAEB9C"/>
    <w:lvl w:ilvl="0" w:tplc="C290C1B0">
      <w:start w:val="1"/>
      <w:numFmt w:val="decimal"/>
      <w:lvlText w:val="%1.)"/>
      <w:lvlJc w:val="left"/>
      <w:pPr>
        <w:ind w:left="720" w:hanging="360"/>
      </w:pPr>
      <w:rPr>
        <w:rFonts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F2140A"/>
    <w:multiLevelType w:val="hybridMultilevel"/>
    <w:tmpl w:val="8FB46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6D7394"/>
    <w:multiLevelType w:val="hybridMultilevel"/>
    <w:tmpl w:val="9C284D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775523"/>
    <w:multiLevelType w:val="hybridMultilevel"/>
    <w:tmpl w:val="4BDA77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D87A16"/>
    <w:multiLevelType w:val="hybridMultilevel"/>
    <w:tmpl w:val="7498838E"/>
    <w:lvl w:ilvl="0" w:tplc="9F46CA46">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1"/>
  </w:num>
  <w:num w:numId="5">
    <w:abstractNumId w:val="2"/>
  </w:num>
  <w:num w:numId="6">
    <w:abstractNumId w:val="1"/>
  </w:num>
  <w:num w:numId="7">
    <w:abstractNumId w:val="9"/>
  </w:num>
  <w:num w:numId="8">
    <w:abstractNumId w:val="8"/>
  </w:num>
  <w:num w:numId="9">
    <w:abstractNumId w:val="10"/>
  </w:num>
  <w:num w:numId="10">
    <w:abstractNumId w:val="5"/>
  </w:num>
  <w:num w:numId="11">
    <w:abstractNumId w:val="6"/>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alignBordersAndEdge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4D"/>
    <w:rsid w:val="000D228F"/>
    <w:rsid w:val="00107C57"/>
    <w:rsid w:val="00133C26"/>
    <w:rsid w:val="002944A2"/>
    <w:rsid w:val="002970C5"/>
    <w:rsid w:val="002F4E57"/>
    <w:rsid w:val="00334F1F"/>
    <w:rsid w:val="00393989"/>
    <w:rsid w:val="0041141D"/>
    <w:rsid w:val="00415D1F"/>
    <w:rsid w:val="004C08BA"/>
    <w:rsid w:val="00565584"/>
    <w:rsid w:val="00580546"/>
    <w:rsid w:val="006134AB"/>
    <w:rsid w:val="00617296"/>
    <w:rsid w:val="0067173F"/>
    <w:rsid w:val="007009D9"/>
    <w:rsid w:val="008B08C5"/>
    <w:rsid w:val="008B09D3"/>
    <w:rsid w:val="00902EC3"/>
    <w:rsid w:val="009F2FB0"/>
    <w:rsid w:val="00B843CC"/>
    <w:rsid w:val="00BE7FA5"/>
    <w:rsid w:val="00DB396B"/>
    <w:rsid w:val="00E34FA8"/>
    <w:rsid w:val="00E403E6"/>
    <w:rsid w:val="00E74231"/>
    <w:rsid w:val="00E7724D"/>
    <w:rsid w:val="00EF3096"/>
    <w:rsid w:val="00FB67F9"/>
  </w:rsids>
  <m:mathPr>
    <m:mathFont m:val="Cambria Math"/>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C778BFE-2041-4921-B604-596842DB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7724D"/>
    <w:rPr>
      <w:sz w:val="24"/>
      <w:szCs w:val="24"/>
    </w:rPr>
  </w:style>
  <w:style w:type="paragraph" w:styleId="berschrift1">
    <w:name w:val="heading 1"/>
    <w:basedOn w:val="Standard"/>
    <w:next w:val="Standard"/>
    <w:autoRedefine/>
    <w:qFormat/>
    <w:rsid w:val="00EB69C3"/>
    <w:pPr>
      <w:keepNext/>
      <w:spacing w:before="60" w:after="60"/>
      <w:outlineLvl w:val="0"/>
    </w:pPr>
    <w:rPr>
      <w:rFonts w:cs="Arial"/>
      <w:b/>
      <w:bCs/>
      <w:kern w:val="32"/>
      <w:sz w:val="32"/>
      <w:szCs w:val="32"/>
    </w:rPr>
  </w:style>
  <w:style w:type="paragraph" w:styleId="berschrift2">
    <w:name w:val="heading 2"/>
    <w:basedOn w:val="Standard"/>
    <w:next w:val="Standard"/>
    <w:autoRedefine/>
    <w:qFormat/>
    <w:rsid w:val="00EB69C3"/>
    <w:pPr>
      <w:keepNext/>
      <w:numPr>
        <w:ilvl w:val="1"/>
        <w:numId w:val="1"/>
      </w:numPr>
      <w:spacing w:before="60" w:after="60"/>
      <w:outlineLvl w:val="1"/>
    </w:pPr>
    <w:rPr>
      <w:rFonts w:cs="Arial"/>
      <w:b/>
      <w:bCs/>
      <w:i/>
      <w:iCs/>
      <w:sz w:val="28"/>
      <w:szCs w:val="28"/>
    </w:rPr>
  </w:style>
  <w:style w:type="paragraph" w:styleId="berschrift3">
    <w:name w:val="heading 3"/>
    <w:basedOn w:val="Standard"/>
    <w:next w:val="Standard"/>
    <w:autoRedefine/>
    <w:qFormat/>
    <w:rsid w:val="00A343B1"/>
    <w:pPr>
      <w:keepNext/>
      <w:numPr>
        <w:ilvl w:val="2"/>
        <w:numId w:val="1"/>
      </w:numPr>
      <w:shd w:val="clear" w:color="auto" w:fill="D9D9D9"/>
      <w:spacing w:before="180" w:after="18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E42B3"/>
    <w:pPr>
      <w:tabs>
        <w:tab w:val="center" w:pos="4536"/>
        <w:tab w:val="right" w:pos="9072"/>
      </w:tabs>
    </w:pPr>
    <w:rPr>
      <w:lang w:val="x-none" w:eastAsia="x-none"/>
    </w:rPr>
  </w:style>
  <w:style w:type="paragraph" w:styleId="Sprechblasentext">
    <w:name w:val="Balloon Text"/>
    <w:basedOn w:val="Standard"/>
    <w:semiHidden/>
    <w:rsid w:val="008D0DD1"/>
    <w:rPr>
      <w:rFonts w:ascii="Tahoma" w:hAnsi="Tahoma" w:cs="Tahoma"/>
      <w:sz w:val="16"/>
      <w:szCs w:val="16"/>
    </w:rPr>
  </w:style>
  <w:style w:type="paragraph" w:styleId="Fuzeile">
    <w:name w:val="footer"/>
    <w:basedOn w:val="Standard"/>
    <w:rsid w:val="00BE42B3"/>
    <w:pPr>
      <w:tabs>
        <w:tab w:val="center" w:pos="4536"/>
        <w:tab w:val="right" w:pos="9072"/>
      </w:tabs>
    </w:pPr>
  </w:style>
  <w:style w:type="paragraph" w:customStyle="1" w:styleId="Seitentitel">
    <w:name w:val="Seitentitel"/>
    <w:basedOn w:val="Standard"/>
    <w:rsid w:val="00BE42B3"/>
    <w:pPr>
      <w:jc w:val="center"/>
    </w:pPr>
    <w:rPr>
      <w:b/>
      <w:sz w:val="28"/>
      <w:szCs w:val="28"/>
    </w:rPr>
  </w:style>
  <w:style w:type="paragraph" w:styleId="Untertitel">
    <w:name w:val="Subtitle"/>
    <w:basedOn w:val="Standard"/>
    <w:autoRedefine/>
    <w:qFormat/>
    <w:rsid w:val="00F4245A"/>
    <w:pPr>
      <w:jc w:val="center"/>
      <w:outlineLvl w:val="1"/>
    </w:pPr>
    <w:rPr>
      <w:rFonts w:cs="Arial"/>
    </w:rPr>
  </w:style>
  <w:style w:type="paragraph" w:customStyle="1" w:styleId="Quelltext">
    <w:name w:val="Quelltext"/>
    <w:basedOn w:val="Standard"/>
    <w:rsid w:val="00CB57A3"/>
    <w:rPr>
      <w:rFonts w:ascii="Courier New" w:hAnsi="Courier New" w:cs="Courier New"/>
    </w:rPr>
  </w:style>
  <w:style w:type="paragraph" w:customStyle="1" w:styleId="Fach">
    <w:name w:val="Fach"/>
    <w:basedOn w:val="Standard"/>
    <w:autoRedefine/>
    <w:rsid w:val="00F4245A"/>
    <w:pPr>
      <w:jc w:val="center"/>
    </w:pPr>
    <w:rPr>
      <w:rFonts w:cs="Arial"/>
      <w:b/>
    </w:rPr>
  </w:style>
  <w:style w:type="paragraph" w:customStyle="1" w:styleId="Themenbereich">
    <w:name w:val="Themenbereich"/>
    <w:basedOn w:val="Standard"/>
    <w:autoRedefine/>
    <w:rsid w:val="00F4245A"/>
    <w:pPr>
      <w:jc w:val="center"/>
    </w:pPr>
    <w:rPr>
      <w:rFonts w:cs="Arial"/>
    </w:rPr>
  </w:style>
  <w:style w:type="paragraph" w:styleId="Dokumentstruktur">
    <w:name w:val="Document Map"/>
    <w:basedOn w:val="Standard"/>
    <w:semiHidden/>
    <w:rsid w:val="00F4245A"/>
    <w:pPr>
      <w:shd w:val="clear" w:color="auto" w:fill="000080"/>
    </w:pPr>
    <w:rPr>
      <w:rFonts w:ascii="Tahoma" w:hAnsi="Tahoma" w:cs="Tahoma"/>
    </w:rPr>
  </w:style>
  <w:style w:type="paragraph" w:styleId="Textkrper">
    <w:name w:val="Body Text"/>
    <w:basedOn w:val="Standard"/>
    <w:autoRedefine/>
    <w:rsid w:val="00EB69C3"/>
    <w:pPr>
      <w:spacing w:before="60" w:after="60"/>
    </w:pPr>
    <w:rPr>
      <w:sz w:val="20"/>
    </w:rPr>
  </w:style>
  <w:style w:type="character" w:styleId="BesuchterLink">
    <w:name w:val="FollowedHyperlink"/>
    <w:rsid w:val="000E68AE"/>
    <w:rPr>
      <w:rFonts w:ascii="Arial" w:hAnsi="Arial"/>
      <w:b/>
      <w:color w:val="auto"/>
      <w:sz w:val="24"/>
      <w:u w:val="single"/>
    </w:rPr>
  </w:style>
  <w:style w:type="table" w:styleId="Tabellenraster">
    <w:name w:val="Table Grid"/>
    <w:basedOn w:val="NormaleTabelle"/>
    <w:rsid w:val="00630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fzeileZchn">
    <w:name w:val="Kopfzeile Zchn"/>
    <w:link w:val="Kopfzeile"/>
    <w:rsid w:val="00DC6DDF"/>
    <w:rPr>
      <w:sz w:val="24"/>
      <w:szCs w:val="24"/>
    </w:rPr>
  </w:style>
  <w:style w:type="character" w:customStyle="1" w:styleId="boxtext">
    <w:name w:val="boxtext"/>
    <w:rsid w:val="000D0239"/>
  </w:style>
  <w:style w:type="paragraph" w:customStyle="1" w:styleId="MittleresRaster1-Akzent21">
    <w:name w:val="Mittleres Raster 1 - Akzent 21"/>
    <w:basedOn w:val="Standard"/>
    <w:qFormat/>
    <w:rsid w:val="0028189B"/>
    <w:pPr>
      <w:ind w:left="708"/>
    </w:pPr>
  </w:style>
  <w:style w:type="paragraph" w:customStyle="1" w:styleId="Default">
    <w:name w:val="Default"/>
    <w:rsid w:val="004C08B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06044">
      <w:bodyDiv w:val="1"/>
      <w:marLeft w:val="0"/>
      <w:marRight w:val="0"/>
      <w:marTop w:val="0"/>
      <w:marBottom w:val="0"/>
      <w:divBdr>
        <w:top w:val="none" w:sz="0" w:space="0" w:color="auto"/>
        <w:left w:val="none" w:sz="0" w:space="0" w:color="auto"/>
        <w:bottom w:val="none" w:sz="0" w:space="0" w:color="auto"/>
        <w:right w:val="none" w:sz="0" w:space="0" w:color="auto"/>
      </w:divBdr>
    </w:div>
    <w:div w:id="1652908622">
      <w:bodyDiv w:val="1"/>
      <w:marLeft w:val="0"/>
      <w:marRight w:val="0"/>
      <w:marTop w:val="0"/>
      <w:marBottom w:val="0"/>
      <w:divBdr>
        <w:top w:val="none" w:sz="0" w:space="0" w:color="auto"/>
        <w:left w:val="none" w:sz="0" w:space="0" w:color="auto"/>
        <w:bottom w:val="none" w:sz="0" w:space="0" w:color="auto"/>
        <w:right w:val="none" w:sz="0" w:space="0" w:color="auto"/>
      </w:divBdr>
      <w:divsChild>
        <w:div w:id="1557739458">
          <w:marLeft w:val="0"/>
          <w:marRight w:val="0"/>
          <w:marTop w:val="0"/>
          <w:marBottom w:val="0"/>
          <w:divBdr>
            <w:top w:val="single" w:sz="2" w:space="4" w:color="D4D4D4"/>
            <w:left w:val="single" w:sz="2" w:space="4" w:color="D4D4D4"/>
            <w:bottom w:val="single" w:sz="2" w:space="4" w:color="D4D4D4"/>
            <w:right w:val="single" w:sz="2" w:space="4" w:color="D4D4D4"/>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dministrator\Anwendungsdaten\Microsoft\Vorlagen\Vorlage%20Berufsschul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 Berufsschule</Template>
  <TotalTime>0</TotalTime>
  <Pages>1</Pages>
  <Words>278</Words>
  <Characters>1753</Characters>
  <Application>Microsoft Office Word</Application>
  <DocSecurity>4</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Der Kopf  ( Tabelle) des Info- oder Arbeitsblattes befindet sich im „Kopfzeilenbereich“ des Dokumentes</vt:lpstr>
      <vt:lpstr>Der Kopf  ( Tabelle) des Info- oder Arbeitsblattes befindet sich im „Kopfzeilenbereich“ des Dokumentes</vt:lpstr>
    </vt:vector>
  </TitlesOfParts>
  <Company>OSZ Informations- und Medizintechnik Berlin</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Kopf  ( Tabelle) des Info- oder Arbeitsblattes befindet sich im „Kopfzeilenbereich“ des Dokumentes</dc:title>
  <dc:creator>Privat</dc:creator>
  <cp:lastModifiedBy>Babst Stefan</cp:lastModifiedBy>
  <cp:revision>2</cp:revision>
  <cp:lastPrinted>2013-06-06T08:00:00Z</cp:lastPrinted>
  <dcterms:created xsi:type="dcterms:W3CDTF">2021-12-14T09:51:00Z</dcterms:created>
  <dcterms:modified xsi:type="dcterms:W3CDTF">2021-12-14T09:51:00Z</dcterms:modified>
  <cp:category>Fach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1667670530</vt:i4>
  </property>
  <property fmtid="{D5CDD505-2E9C-101B-9397-08002B2CF9AE}" pid="3" name="_EmailSubject">
    <vt:lpwstr>Formblätter OSZIMT</vt:lpwstr>
  </property>
  <property fmtid="{D5CDD505-2E9C-101B-9397-08002B2CF9AE}" pid="4" name="_AuthorEmail">
    <vt:lpwstr>scholl@oszimt.de</vt:lpwstr>
  </property>
  <property fmtid="{D5CDD505-2E9C-101B-9397-08002B2CF9AE}" pid="5" name="_AuthorEmailDisplayName">
    <vt:lpwstr>Helmut Scholl</vt:lpwstr>
  </property>
  <property fmtid="{D5CDD505-2E9C-101B-9397-08002B2CF9AE}" pid="6" name="_PreviousAdHocReviewCycleID">
    <vt:i4>-202166768</vt:i4>
  </property>
  <property fmtid="{D5CDD505-2E9C-101B-9397-08002B2CF9AE}" pid="7" name="_ReviewingToolsShownOnce">
    <vt:lpwstr/>
  </property>
</Properties>
</file>