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A365F" w14:textId="77777777" w:rsidR="00A87889" w:rsidRPr="006C36D4" w:rsidRDefault="00F14966" w:rsidP="00B64289">
      <w:pPr>
        <w:pStyle w:val="Listenabsatz"/>
        <w:spacing w:after="0" w:line="240" w:lineRule="auto"/>
        <w:rPr>
          <w:rFonts w:ascii="Arial" w:eastAsia="Times New Roman" w:hAnsi="Arial" w:cs="Arial"/>
          <w:b/>
          <w:sz w:val="24"/>
          <w:szCs w:val="24"/>
          <w:lang w:eastAsia="de-DE"/>
        </w:rPr>
      </w:pPr>
      <w:r w:rsidRPr="006C36D4">
        <w:rPr>
          <w:rFonts w:ascii="Arial" w:eastAsia="Times New Roman" w:hAnsi="Arial" w:cs="Arial"/>
          <w:b/>
          <w:sz w:val="24"/>
          <w:szCs w:val="24"/>
          <w:lang w:eastAsia="de-DE"/>
        </w:rPr>
        <w:t>K</w:t>
      </w:r>
      <w:bookmarkStart w:id="0" w:name="_GoBack"/>
      <w:bookmarkEnd w:id="0"/>
      <w:r w:rsidRPr="006C36D4">
        <w:rPr>
          <w:rFonts w:ascii="Arial" w:eastAsia="Times New Roman" w:hAnsi="Arial" w:cs="Arial"/>
          <w:b/>
          <w:sz w:val="24"/>
          <w:szCs w:val="24"/>
          <w:lang w:eastAsia="de-DE"/>
        </w:rPr>
        <w:t xml:space="preserve">onjunkturindikatoren </w:t>
      </w:r>
      <w:r w:rsidR="00A87889" w:rsidRPr="006C36D4">
        <w:rPr>
          <w:rFonts w:ascii="Arial" w:eastAsia="Times New Roman" w:hAnsi="Arial" w:cs="Arial"/>
          <w:b/>
          <w:sz w:val="24"/>
          <w:szCs w:val="24"/>
          <w:lang w:eastAsia="de-DE"/>
        </w:rPr>
        <w:t xml:space="preserve">zur Prognose der wirtschaftlichen Entwicklung </w:t>
      </w:r>
    </w:p>
    <w:p w14:paraId="7084B912" w14:textId="77777777" w:rsidR="00A87889" w:rsidRDefault="00A87889" w:rsidP="00A87889">
      <w:pPr>
        <w:spacing w:after="0" w:line="240" w:lineRule="auto"/>
        <w:rPr>
          <w:rFonts w:ascii="Arial" w:eastAsia="Times New Roman" w:hAnsi="Arial" w:cs="Arial"/>
          <w:color w:val="FF0000"/>
          <w:sz w:val="24"/>
          <w:szCs w:val="24"/>
          <w:lang w:eastAsia="de-DE"/>
        </w:rPr>
      </w:pPr>
    </w:p>
    <w:p w14:paraId="2EBCCA39" w14:textId="77777777" w:rsidR="00A87889" w:rsidRDefault="00A87889" w:rsidP="00A8788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Konjunkturindikatoren sind Daten, die den Konjunkturverlauf messen und/oder Voraussagen (Prognosen) für künftige Entwicklung zulassen. </w:t>
      </w:r>
    </w:p>
    <w:p w14:paraId="1BA6A8BA" w14:textId="77777777" w:rsidR="00A87889" w:rsidRDefault="00A87889" w:rsidP="00A87889">
      <w:pPr>
        <w:spacing w:after="0" w:line="240" w:lineRule="auto"/>
        <w:rPr>
          <w:rFonts w:ascii="Arial" w:eastAsia="Times New Roman" w:hAnsi="Arial" w:cs="Arial"/>
          <w:sz w:val="24"/>
          <w:szCs w:val="24"/>
          <w:lang w:eastAsia="de-DE"/>
        </w:rPr>
      </w:pPr>
    </w:p>
    <w:p w14:paraId="63A3AE00" w14:textId="77777777" w:rsidR="00A87889" w:rsidRDefault="00A87889" w:rsidP="00A8788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Das wirtschaftliche Auf und Ab lässt sich mithilfe unterschiedlicher Größen messen. Bestimmte wirtschaftliche Erscheinungen lassen sogar Rückschlüsse auf die künftige Entwicklung zu, dienen also der Konjunkturprognose. </w:t>
      </w:r>
    </w:p>
    <w:p w14:paraId="19572C51" w14:textId="77777777" w:rsidR="00A87889" w:rsidRDefault="00A87889" w:rsidP="00A87889">
      <w:pPr>
        <w:spacing w:after="0" w:line="240" w:lineRule="auto"/>
        <w:rPr>
          <w:rFonts w:ascii="Arial" w:eastAsia="Times New Roman" w:hAnsi="Arial" w:cs="Arial"/>
          <w:sz w:val="24"/>
          <w:szCs w:val="24"/>
          <w:lang w:eastAsia="de-DE"/>
        </w:rPr>
      </w:pPr>
    </w:p>
    <w:p w14:paraId="404BCBA2" w14:textId="77777777" w:rsidR="00A87889" w:rsidRPr="006C36D4" w:rsidRDefault="00A87889" w:rsidP="00A87889">
      <w:pPr>
        <w:spacing w:after="0" w:line="240" w:lineRule="auto"/>
        <w:rPr>
          <w:rFonts w:ascii="Arial" w:eastAsia="Times New Roman" w:hAnsi="Arial" w:cs="Arial"/>
          <w:b/>
          <w:sz w:val="24"/>
          <w:szCs w:val="24"/>
          <w:lang w:eastAsia="de-DE"/>
        </w:rPr>
      </w:pPr>
      <w:r w:rsidRPr="006C36D4">
        <w:rPr>
          <w:rFonts w:ascii="Arial" w:eastAsia="Times New Roman" w:hAnsi="Arial" w:cs="Arial"/>
          <w:b/>
          <w:sz w:val="24"/>
          <w:szCs w:val="24"/>
          <w:lang w:eastAsia="de-DE"/>
        </w:rPr>
        <w:t xml:space="preserve">Realwirtschaftliche Konjunkturindikatoren </w:t>
      </w:r>
    </w:p>
    <w:p w14:paraId="36CFE623" w14:textId="77777777" w:rsidR="00A87889" w:rsidRDefault="00A87889" w:rsidP="00A87889">
      <w:pPr>
        <w:spacing w:after="0" w:line="240" w:lineRule="auto"/>
        <w:rPr>
          <w:rFonts w:ascii="Arial" w:eastAsia="Times New Roman" w:hAnsi="Arial" w:cs="Arial"/>
          <w:sz w:val="24"/>
          <w:szCs w:val="24"/>
          <w:lang w:eastAsia="de-DE"/>
        </w:rPr>
      </w:pPr>
    </w:p>
    <w:p w14:paraId="60BC8FD9" w14:textId="77777777" w:rsidR="00A87889" w:rsidRDefault="00A87889" w:rsidP="00A8788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Realwirtschaftliche Konjunkturindikatoren beziehen sich vor allem auf die Entwicklung der volkswirtschaftlichen Gesamtnachfrage (Inlandsnachfrage nach Konsum- und Investitionsgütern, Exportgüternachfrage) sowie auf den Arbeitsmarkt: </w:t>
      </w:r>
    </w:p>
    <w:p w14:paraId="3CE76E72" w14:textId="77777777" w:rsidR="00A87889" w:rsidRDefault="00A87889" w:rsidP="00A87889">
      <w:pPr>
        <w:spacing w:after="0" w:line="240" w:lineRule="auto"/>
        <w:rPr>
          <w:rFonts w:ascii="Arial" w:eastAsia="Times New Roman" w:hAnsi="Arial" w:cs="Arial"/>
          <w:sz w:val="24"/>
          <w:szCs w:val="24"/>
          <w:lang w:eastAsia="de-DE"/>
        </w:rPr>
      </w:pPr>
    </w:p>
    <w:tbl>
      <w:tblPr>
        <w:tblStyle w:val="Tabellenraster"/>
        <w:tblW w:w="0" w:type="auto"/>
        <w:tblLayout w:type="fixed"/>
        <w:tblLook w:val="04A0" w:firstRow="1" w:lastRow="0" w:firstColumn="1" w:lastColumn="0" w:noHBand="0" w:noVBand="1"/>
      </w:tblPr>
      <w:tblGrid>
        <w:gridCol w:w="2235"/>
        <w:gridCol w:w="7195"/>
      </w:tblGrid>
      <w:tr w:rsidR="00A87889" w:rsidRPr="006C36D4" w14:paraId="11BC81D3" w14:textId="77777777" w:rsidTr="006C36D4">
        <w:tc>
          <w:tcPr>
            <w:tcW w:w="2235" w:type="dxa"/>
          </w:tcPr>
          <w:p w14:paraId="1584D37F" w14:textId="77777777" w:rsidR="00A87889" w:rsidRPr="006C36D4" w:rsidRDefault="00A87889"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t>Indikator</w:t>
            </w:r>
          </w:p>
        </w:tc>
        <w:tc>
          <w:tcPr>
            <w:tcW w:w="7195" w:type="dxa"/>
          </w:tcPr>
          <w:p w14:paraId="23B27EF0" w14:textId="77777777" w:rsidR="00A87889" w:rsidRPr="006C36D4" w:rsidRDefault="00A87889" w:rsidP="00A87889">
            <w:pPr>
              <w:rPr>
                <w:rFonts w:ascii="Arial" w:eastAsia="Times New Roman" w:hAnsi="Arial" w:cs="Arial"/>
                <w:b/>
                <w:color w:val="FF0000"/>
                <w:sz w:val="24"/>
                <w:szCs w:val="24"/>
                <w:lang w:eastAsia="de-DE"/>
              </w:rPr>
            </w:pPr>
          </w:p>
        </w:tc>
      </w:tr>
      <w:tr w:rsidR="00A87889" w14:paraId="34A156FD" w14:textId="77777777" w:rsidTr="006C36D4">
        <w:tc>
          <w:tcPr>
            <w:tcW w:w="2235" w:type="dxa"/>
            <w:shd w:val="clear" w:color="auto" w:fill="B8CCE4" w:themeFill="accent1" w:themeFillTint="66"/>
          </w:tcPr>
          <w:p w14:paraId="07CD3DD1" w14:textId="77777777" w:rsidR="00A87889" w:rsidRPr="006C36D4" w:rsidRDefault="00A87889"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t>Entwicklung der Arbeitslosen</w:t>
            </w:r>
            <w:r w:rsidR="006C36D4" w:rsidRPr="006C36D4">
              <w:rPr>
                <w:rFonts w:ascii="Arial" w:eastAsia="Times New Roman" w:hAnsi="Arial" w:cs="Arial"/>
                <w:b/>
                <w:sz w:val="24"/>
                <w:szCs w:val="24"/>
                <w:lang w:eastAsia="de-DE"/>
              </w:rPr>
              <w:t>-</w:t>
            </w:r>
            <w:r w:rsidRPr="006C36D4">
              <w:rPr>
                <w:rFonts w:ascii="Arial" w:eastAsia="Times New Roman" w:hAnsi="Arial" w:cs="Arial"/>
                <w:b/>
                <w:sz w:val="24"/>
                <w:szCs w:val="24"/>
                <w:lang w:eastAsia="de-DE"/>
              </w:rPr>
              <w:t xml:space="preserve">zahlen  und offenen Stellen </w:t>
            </w:r>
          </w:p>
        </w:tc>
        <w:tc>
          <w:tcPr>
            <w:tcW w:w="7195" w:type="dxa"/>
          </w:tcPr>
          <w:p w14:paraId="67C93D4F" w14:textId="77777777" w:rsidR="00A87889" w:rsidRPr="006C36D4" w:rsidRDefault="00A87889" w:rsidP="00A87889">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Steigende Arbeitslosenzahlen und sinkende offene Stellen zeigen an, dass die Wirtschaft unterbeschäftigt ist. Die Unternehmen werden sich bei den Investitionen zurückhalten, weil sie eine stagnierende oder gar zurückgehende Konsumgüternachfrage erwarten </w:t>
            </w:r>
          </w:p>
          <w:p w14:paraId="2E41FD5B" w14:textId="77777777" w:rsidR="00A87889" w:rsidRPr="006C36D4" w:rsidRDefault="00A87889" w:rsidP="00A87889">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Die umgekehrte Reaktion tritt ein, wenn die Bundesagentur für Arbeit eine steigende Zahl offener Stellen meldet und wenn die Arbeitslosenzahlen zurückgehen </w:t>
            </w:r>
          </w:p>
        </w:tc>
      </w:tr>
      <w:tr w:rsidR="00A87889" w14:paraId="20D09F0B" w14:textId="77777777" w:rsidTr="006C36D4">
        <w:tc>
          <w:tcPr>
            <w:tcW w:w="2235" w:type="dxa"/>
            <w:shd w:val="clear" w:color="auto" w:fill="B8CCE4" w:themeFill="accent1" w:themeFillTint="66"/>
          </w:tcPr>
          <w:p w14:paraId="2C92F3F7" w14:textId="77777777" w:rsidR="00A87889" w:rsidRPr="006C36D4" w:rsidRDefault="00A87889"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t>Entwicklung der Konsumgüter</w:t>
            </w:r>
            <w:r w:rsidR="006C36D4" w:rsidRPr="006C36D4">
              <w:rPr>
                <w:rFonts w:ascii="Arial" w:eastAsia="Times New Roman" w:hAnsi="Arial" w:cs="Arial"/>
                <w:b/>
                <w:sz w:val="24"/>
                <w:szCs w:val="24"/>
                <w:lang w:eastAsia="de-DE"/>
              </w:rPr>
              <w:t>-</w:t>
            </w:r>
            <w:r w:rsidRPr="006C36D4">
              <w:rPr>
                <w:rFonts w:ascii="Arial" w:eastAsia="Times New Roman" w:hAnsi="Arial" w:cs="Arial"/>
                <w:b/>
                <w:sz w:val="24"/>
                <w:szCs w:val="24"/>
                <w:lang w:eastAsia="de-DE"/>
              </w:rPr>
              <w:t>nachfrage</w:t>
            </w:r>
          </w:p>
        </w:tc>
        <w:tc>
          <w:tcPr>
            <w:tcW w:w="7195" w:type="dxa"/>
          </w:tcPr>
          <w:p w14:paraId="1CA60C38" w14:textId="77777777" w:rsidR="00A87889" w:rsidRPr="006C36D4" w:rsidRDefault="0081656E"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Steigt der private Konsum (angezeigt durch steigende Einzelhandelsumsätze), ist eine positive Entwicklung des wirtschaftlichen Geschehens zu erwarten, weil in der Folge die Großhandelsumsätze und schließlich die Umsätze der Herstellerbetriebe steigen werden. Ist die Wirtschaft vollbeschäftigt, werden Preissteigerungen eintreten. </w:t>
            </w:r>
          </w:p>
          <w:p w14:paraId="292F90BE" w14:textId="77777777" w:rsidR="0081656E" w:rsidRPr="006C36D4" w:rsidRDefault="0081656E"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Stagnierende oder sinkende Einzelhandelsumsätze bewirken das Gegenteil. </w:t>
            </w:r>
          </w:p>
        </w:tc>
      </w:tr>
      <w:tr w:rsidR="00A87889" w14:paraId="0C4B0820" w14:textId="77777777" w:rsidTr="006C36D4">
        <w:tc>
          <w:tcPr>
            <w:tcW w:w="2235" w:type="dxa"/>
            <w:shd w:val="clear" w:color="auto" w:fill="B8CCE4" w:themeFill="accent1" w:themeFillTint="66"/>
          </w:tcPr>
          <w:p w14:paraId="7E72308D" w14:textId="77777777" w:rsidR="00A87889" w:rsidRPr="006C36D4" w:rsidRDefault="0081656E"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t>Entwicklung der Investitions</w:t>
            </w:r>
            <w:r w:rsidR="006C36D4" w:rsidRPr="006C36D4">
              <w:rPr>
                <w:rFonts w:ascii="Arial" w:eastAsia="Times New Roman" w:hAnsi="Arial" w:cs="Arial"/>
                <w:b/>
                <w:sz w:val="24"/>
                <w:szCs w:val="24"/>
                <w:lang w:eastAsia="de-DE"/>
              </w:rPr>
              <w:t>-</w:t>
            </w:r>
            <w:r w:rsidRPr="006C36D4">
              <w:rPr>
                <w:rFonts w:ascii="Arial" w:eastAsia="Times New Roman" w:hAnsi="Arial" w:cs="Arial"/>
                <w:b/>
                <w:sz w:val="24"/>
                <w:szCs w:val="24"/>
                <w:lang w:eastAsia="de-DE"/>
              </w:rPr>
              <w:t>güternachfrage</w:t>
            </w:r>
          </w:p>
        </w:tc>
        <w:tc>
          <w:tcPr>
            <w:tcW w:w="7195" w:type="dxa"/>
          </w:tcPr>
          <w:p w14:paraId="7DBD7CF7" w14:textId="77777777" w:rsidR="00A87889" w:rsidRPr="006C36D4" w:rsidRDefault="0081656E"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Steigt die Investitionsgüternachfrage (angezeigt durch steigende Umsätze und/oder Auftragsbestände in der Investitionsgüterindustrie), kann eine Erhöhung der Beschäftigung erwartet werden, die auch nicht ohne Einfluss auf die Arbeitsnachfrage bleiben wird. Bei Vollbeschäftigung können steigende Preise (zunächst in der Investitionsgüterindustrie) und steigende Löhne vorausgesagt werden. </w:t>
            </w:r>
          </w:p>
          <w:p w14:paraId="697017B9" w14:textId="77777777" w:rsidR="0081656E" w:rsidRPr="006C36D4" w:rsidRDefault="0081656E"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Sinkende Investitionsgüternachfrage lässt den gegenteiligen Schluss zu. </w:t>
            </w:r>
          </w:p>
        </w:tc>
      </w:tr>
      <w:tr w:rsidR="0081656E" w14:paraId="396C3EE8" w14:textId="77777777" w:rsidTr="006C36D4">
        <w:tc>
          <w:tcPr>
            <w:tcW w:w="2235" w:type="dxa"/>
            <w:shd w:val="clear" w:color="auto" w:fill="B8CCE4" w:themeFill="accent1" w:themeFillTint="66"/>
          </w:tcPr>
          <w:p w14:paraId="35836707" w14:textId="77777777" w:rsidR="0081656E" w:rsidRPr="006C36D4" w:rsidRDefault="0081656E"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t>Entwicklung des Außenhandels</w:t>
            </w:r>
          </w:p>
        </w:tc>
        <w:tc>
          <w:tcPr>
            <w:tcW w:w="7195" w:type="dxa"/>
          </w:tcPr>
          <w:p w14:paraId="0D144240" w14:textId="77777777" w:rsidR="0081656E" w:rsidRPr="006C36D4" w:rsidRDefault="0081656E"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Nimmt der Export schneller als der Import zu, ist auf eine Belebung der Konjunktur zu schließen. Eine vollbeschäftigte Wirtschaft muss mit Preissteigerungen rechnen, weil die Gesamtnachfrage </w:t>
            </w:r>
            <w:r w:rsidR="00B945C2" w:rsidRPr="006C36D4">
              <w:rPr>
                <w:rFonts w:ascii="Arial" w:eastAsia="Times New Roman" w:hAnsi="Arial" w:cs="Arial"/>
                <w:sz w:val="24"/>
                <w:szCs w:val="24"/>
                <w:lang w:eastAsia="de-DE"/>
              </w:rPr>
              <w:t xml:space="preserve">(Auslands- und </w:t>
            </w:r>
            <w:r w:rsidR="00B945C2" w:rsidRPr="006C36D4">
              <w:rPr>
                <w:rFonts w:ascii="Arial" w:eastAsia="Times New Roman" w:hAnsi="Arial" w:cs="Arial"/>
                <w:sz w:val="24"/>
                <w:szCs w:val="24"/>
                <w:lang w:eastAsia="de-DE"/>
              </w:rPr>
              <w:lastRenderedPageBreak/>
              <w:t xml:space="preserve">Inlandsnachfrage) das Gesamtangebot der Volkswirtschaft übersteigt. </w:t>
            </w:r>
          </w:p>
          <w:p w14:paraId="5D3E4865" w14:textId="77777777" w:rsidR="00B945C2" w:rsidRPr="006C36D4" w:rsidRDefault="00B945C2"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Steigen die Importe indessen schneller als die Exporte, ist der gegenteilige Effekt wahrscheinlich. </w:t>
            </w:r>
          </w:p>
        </w:tc>
      </w:tr>
      <w:tr w:rsidR="0081656E" w14:paraId="3678FB9E" w14:textId="77777777" w:rsidTr="006C36D4">
        <w:tc>
          <w:tcPr>
            <w:tcW w:w="2235" w:type="dxa"/>
            <w:shd w:val="clear" w:color="auto" w:fill="B8CCE4" w:themeFill="accent1" w:themeFillTint="66"/>
          </w:tcPr>
          <w:p w14:paraId="08B6198F" w14:textId="77777777" w:rsidR="0081656E" w:rsidRPr="006C36D4" w:rsidRDefault="00B945C2"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lastRenderedPageBreak/>
              <w:t>Kapazitäts</w:t>
            </w:r>
            <w:r w:rsidR="006C36D4" w:rsidRPr="006C36D4">
              <w:rPr>
                <w:rFonts w:ascii="Arial" w:eastAsia="Times New Roman" w:hAnsi="Arial" w:cs="Arial"/>
                <w:b/>
                <w:sz w:val="24"/>
                <w:szCs w:val="24"/>
                <w:lang w:eastAsia="de-DE"/>
              </w:rPr>
              <w:t>-</w:t>
            </w:r>
            <w:r w:rsidRPr="006C36D4">
              <w:rPr>
                <w:rFonts w:ascii="Arial" w:eastAsia="Times New Roman" w:hAnsi="Arial" w:cs="Arial"/>
                <w:b/>
                <w:sz w:val="24"/>
                <w:szCs w:val="24"/>
                <w:lang w:eastAsia="de-DE"/>
              </w:rPr>
              <w:t>auslastung und Auftrags</w:t>
            </w:r>
            <w:r w:rsidR="006C36D4" w:rsidRPr="006C36D4">
              <w:rPr>
                <w:rFonts w:ascii="Arial" w:eastAsia="Times New Roman" w:hAnsi="Arial" w:cs="Arial"/>
                <w:b/>
                <w:sz w:val="24"/>
                <w:szCs w:val="24"/>
                <w:lang w:eastAsia="de-DE"/>
              </w:rPr>
              <w:t>-</w:t>
            </w:r>
            <w:r w:rsidRPr="006C36D4">
              <w:rPr>
                <w:rFonts w:ascii="Arial" w:eastAsia="Times New Roman" w:hAnsi="Arial" w:cs="Arial"/>
                <w:b/>
                <w:sz w:val="24"/>
                <w:szCs w:val="24"/>
                <w:lang w:eastAsia="de-DE"/>
              </w:rPr>
              <w:t>bestände</w:t>
            </w:r>
          </w:p>
        </w:tc>
        <w:tc>
          <w:tcPr>
            <w:tcW w:w="7195" w:type="dxa"/>
          </w:tcPr>
          <w:p w14:paraId="4CFF3D2B" w14:textId="77777777" w:rsidR="0081656E" w:rsidRPr="006C36D4" w:rsidRDefault="00B945C2"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Steigende Auftragsbestände kündigen einen Konjunkturaufschwung an. Die Auslastung der Kapazität folgt der Entwicklung der Auftragsbestände. </w:t>
            </w:r>
          </w:p>
          <w:p w14:paraId="76DA79A1" w14:textId="77777777" w:rsidR="00B945C2" w:rsidRPr="006C36D4" w:rsidRDefault="00B945C2"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Rückläufige Auftragsbestände kündigen einen Konjunkturabschwung an. </w:t>
            </w:r>
          </w:p>
        </w:tc>
      </w:tr>
      <w:tr w:rsidR="0081656E" w14:paraId="7830C6FE" w14:textId="77777777" w:rsidTr="006C36D4">
        <w:tc>
          <w:tcPr>
            <w:tcW w:w="2235" w:type="dxa"/>
            <w:shd w:val="clear" w:color="auto" w:fill="B8CCE4" w:themeFill="accent1" w:themeFillTint="66"/>
          </w:tcPr>
          <w:p w14:paraId="5A59A60D" w14:textId="77777777" w:rsidR="0081656E" w:rsidRPr="006C36D4" w:rsidRDefault="00B945C2"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t xml:space="preserve">Entwicklung der Staatsausgaben und –einnahmen </w:t>
            </w:r>
          </w:p>
        </w:tc>
        <w:tc>
          <w:tcPr>
            <w:tcW w:w="7195" w:type="dxa"/>
          </w:tcPr>
          <w:p w14:paraId="3C442FC4" w14:textId="77777777" w:rsidR="0081656E" w:rsidRPr="006C36D4" w:rsidRDefault="00B945C2"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Aus dem Staatshaushaltsplan kann entnommen werden, in welchem Verhältnis die Staatsausgaben zu den Staatseinnahmen stehen werden. Strebt der Staat große zusätzliche Konsum- oder Investitionsvorhaben an, ohne die Steuern zu erhöhen, ist eine Belebung der Wirtschaftstätigkeit wahrscheinlich. Auch in diesem Fall sind Preiserhöhungen zu erwarten, wenn die Wirtschaft vollbeschäftigt ist. </w:t>
            </w:r>
          </w:p>
          <w:p w14:paraId="1EE95363" w14:textId="77777777" w:rsidR="00B945C2" w:rsidRPr="006C36D4" w:rsidRDefault="00B945C2"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Voraussichtliche Steuererhöhungen indessen können die Investitionstätigkeit der Unternehmen vermindern. </w:t>
            </w:r>
          </w:p>
        </w:tc>
      </w:tr>
      <w:tr w:rsidR="0081656E" w14:paraId="6F158CE9" w14:textId="77777777" w:rsidTr="006C36D4">
        <w:tc>
          <w:tcPr>
            <w:tcW w:w="2235" w:type="dxa"/>
            <w:shd w:val="clear" w:color="auto" w:fill="B8CCE4" w:themeFill="accent1" w:themeFillTint="66"/>
          </w:tcPr>
          <w:p w14:paraId="024EE9CD" w14:textId="77777777" w:rsidR="0081656E" w:rsidRPr="006C36D4" w:rsidRDefault="00B945C2"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t>Entwicklung der Lagerbestände</w:t>
            </w:r>
          </w:p>
        </w:tc>
        <w:tc>
          <w:tcPr>
            <w:tcW w:w="7195" w:type="dxa"/>
          </w:tcPr>
          <w:p w14:paraId="286C03C3" w14:textId="77777777" w:rsidR="0081656E" w:rsidRPr="006C36D4" w:rsidRDefault="00B945C2"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Steigen die Lagerbestände der Unternehmen über das saisonal übliche Maß, so liegt offenbar Überproduktion vor. Es kann der Schluss gezogen werden, dass die Unternehmen ihre Produktion drosseln werden, was einen Konjunkturabschwung bewirken kann. </w:t>
            </w:r>
          </w:p>
          <w:p w14:paraId="52D922B6" w14:textId="77777777" w:rsidR="00B945C2" w:rsidRPr="006C36D4" w:rsidRDefault="00B945C2" w:rsidP="0081656E">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Nehmen die Lagerbestände ab, ist das Gegenteil der Fall. Diese Aussage gilt jedoch nicht uneingeschränkt. Es mag nämlich sein, dass die Unternehmen ihre Lagerbestände bewusst abbauen, weil sie sinkende Umsatzzahlen erwarten und ihre Lagerbestände </w:t>
            </w:r>
            <w:proofErr w:type="spellStart"/>
            <w:proofErr w:type="gramStart"/>
            <w:r w:rsidRPr="006C36D4">
              <w:rPr>
                <w:rFonts w:ascii="Arial" w:eastAsia="Times New Roman" w:hAnsi="Arial" w:cs="Arial"/>
                <w:sz w:val="24"/>
                <w:szCs w:val="24"/>
                <w:lang w:eastAsia="de-DE"/>
              </w:rPr>
              <w:t>aufstocken,weil</w:t>
            </w:r>
            <w:proofErr w:type="spellEnd"/>
            <w:proofErr w:type="gramEnd"/>
            <w:r w:rsidRPr="006C36D4">
              <w:rPr>
                <w:rFonts w:ascii="Arial" w:eastAsia="Times New Roman" w:hAnsi="Arial" w:cs="Arial"/>
                <w:sz w:val="24"/>
                <w:szCs w:val="24"/>
                <w:lang w:eastAsia="de-DE"/>
              </w:rPr>
              <w:t xml:space="preserve"> ein Konjunkturanstieg eingesetzt hat. </w:t>
            </w:r>
          </w:p>
        </w:tc>
      </w:tr>
      <w:tr w:rsidR="00A87889" w14:paraId="2149B4F7" w14:textId="77777777" w:rsidTr="006C36D4">
        <w:tc>
          <w:tcPr>
            <w:tcW w:w="2235" w:type="dxa"/>
            <w:shd w:val="clear" w:color="auto" w:fill="B8CCE4" w:themeFill="accent1" w:themeFillTint="66"/>
          </w:tcPr>
          <w:p w14:paraId="28CBBCF5" w14:textId="77777777" w:rsidR="00A87889" w:rsidRPr="006C36D4" w:rsidRDefault="00B945C2" w:rsidP="00A87889">
            <w:pPr>
              <w:rPr>
                <w:rFonts w:ascii="Arial" w:eastAsia="Times New Roman" w:hAnsi="Arial" w:cs="Arial"/>
                <w:b/>
                <w:sz w:val="24"/>
                <w:szCs w:val="24"/>
                <w:lang w:eastAsia="de-DE"/>
              </w:rPr>
            </w:pPr>
            <w:r w:rsidRPr="006C36D4">
              <w:rPr>
                <w:rFonts w:ascii="Arial" w:eastAsia="Times New Roman" w:hAnsi="Arial" w:cs="Arial"/>
                <w:b/>
                <w:sz w:val="24"/>
                <w:szCs w:val="24"/>
                <w:lang w:eastAsia="de-DE"/>
              </w:rPr>
              <w:t>Vertrauens</w:t>
            </w:r>
            <w:r w:rsidR="006C36D4" w:rsidRPr="006C36D4">
              <w:rPr>
                <w:rFonts w:ascii="Arial" w:eastAsia="Times New Roman" w:hAnsi="Arial" w:cs="Arial"/>
                <w:b/>
                <w:sz w:val="24"/>
                <w:szCs w:val="24"/>
                <w:lang w:eastAsia="de-DE"/>
              </w:rPr>
              <w:t>-</w:t>
            </w:r>
            <w:r w:rsidRPr="006C36D4">
              <w:rPr>
                <w:rFonts w:ascii="Arial" w:eastAsia="Times New Roman" w:hAnsi="Arial" w:cs="Arial"/>
                <w:b/>
                <w:sz w:val="24"/>
                <w:szCs w:val="24"/>
                <w:lang w:eastAsia="de-DE"/>
              </w:rPr>
              <w:t>indikatoren (Zukunfts</w:t>
            </w:r>
            <w:r w:rsidR="006C36D4" w:rsidRPr="006C36D4">
              <w:rPr>
                <w:rFonts w:ascii="Arial" w:eastAsia="Times New Roman" w:hAnsi="Arial" w:cs="Arial"/>
                <w:b/>
                <w:sz w:val="24"/>
                <w:szCs w:val="24"/>
                <w:lang w:eastAsia="de-DE"/>
              </w:rPr>
              <w:t>-</w:t>
            </w:r>
            <w:r w:rsidRPr="006C36D4">
              <w:rPr>
                <w:rFonts w:ascii="Arial" w:eastAsia="Times New Roman" w:hAnsi="Arial" w:cs="Arial"/>
                <w:b/>
                <w:sz w:val="24"/>
                <w:szCs w:val="24"/>
                <w:lang w:eastAsia="de-DE"/>
              </w:rPr>
              <w:t>einschätzungen)</w:t>
            </w:r>
          </w:p>
        </w:tc>
        <w:tc>
          <w:tcPr>
            <w:tcW w:w="7195" w:type="dxa"/>
          </w:tcPr>
          <w:p w14:paraId="2B1CD5A7" w14:textId="77777777" w:rsidR="00A87889" w:rsidRPr="006C36D4" w:rsidRDefault="00B945C2" w:rsidP="00B945C2">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Für die Beurteilung zukünftiger Entwicklungen spielen die Erwartungen der Unternehmen und der Verbraucher eine große Rolle. Nimmt das Vertrauen in eine (positive) wirtschaftliche Entwicklung zu, ist mit einer steigenden Konsum- und Investitionsgüternachfrage zu rechnen. </w:t>
            </w:r>
          </w:p>
          <w:p w14:paraId="0C3D288F" w14:textId="77777777" w:rsidR="00B945C2" w:rsidRPr="006C36D4" w:rsidRDefault="00B945C2" w:rsidP="00B945C2">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Nimmt das Vertrauen der Unternehmer und der Verbraucher ab, ist mit einer fallenden Investitions- und Konsumgüternachfrage zu rechnen. </w:t>
            </w:r>
          </w:p>
        </w:tc>
      </w:tr>
    </w:tbl>
    <w:p w14:paraId="23B0385B" w14:textId="77777777" w:rsidR="0068456F" w:rsidRDefault="00CC6EAF" w:rsidP="00A87889">
      <w:pPr>
        <w:spacing w:after="0" w:line="240" w:lineRule="auto"/>
        <w:rPr>
          <w:rFonts w:ascii="Arial" w:eastAsia="Times New Roman" w:hAnsi="Arial" w:cs="Arial"/>
          <w:color w:val="FF0000"/>
          <w:sz w:val="24"/>
          <w:szCs w:val="24"/>
          <w:lang w:eastAsia="de-DE"/>
        </w:rPr>
      </w:pPr>
      <w:r w:rsidRPr="00A87889">
        <w:rPr>
          <w:rFonts w:ascii="Arial" w:eastAsia="Times New Roman" w:hAnsi="Arial" w:cs="Arial"/>
          <w:color w:val="FF0000"/>
          <w:sz w:val="24"/>
          <w:szCs w:val="24"/>
          <w:lang w:eastAsia="de-DE"/>
        </w:rPr>
        <w:t xml:space="preserve"> </w:t>
      </w:r>
      <w:r w:rsidR="0068456F" w:rsidRPr="00A87889">
        <w:rPr>
          <w:rFonts w:ascii="Arial" w:eastAsia="Times New Roman" w:hAnsi="Arial" w:cs="Arial"/>
          <w:color w:val="FF0000"/>
          <w:sz w:val="24"/>
          <w:szCs w:val="24"/>
          <w:lang w:eastAsia="de-DE"/>
        </w:rPr>
        <w:t xml:space="preserve"> </w:t>
      </w:r>
    </w:p>
    <w:p w14:paraId="3A6EBF9E" w14:textId="77777777" w:rsidR="006C36D4" w:rsidRDefault="006C36D4" w:rsidP="00A87889">
      <w:pPr>
        <w:spacing w:after="0" w:line="240" w:lineRule="auto"/>
        <w:rPr>
          <w:rFonts w:ascii="Arial" w:eastAsia="Times New Roman" w:hAnsi="Arial" w:cs="Arial"/>
          <w:color w:val="FF0000"/>
          <w:sz w:val="24"/>
          <w:szCs w:val="24"/>
          <w:lang w:eastAsia="de-DE"/>
        </w:rPr>
      </w:pPr>
    </w:p>
    <w:p w14:paraId="45B9F1F4" w14:textId="77777777" w:rsidR="005C287D" w:rsidRDefault="005C287D" w:rsidP="00A87889">
      <w:pPr>
        <w:spacing w:after="0" w:line="240" w:lineRule="auto"/>
        <w:rPr>
          <w:rFonts w:ascii="Arial" w:eastAsia="Times New Roman" w:hAnsi="Arial" w:cs="Arial"/>
          <w:color w:val="FF0000"/>
          <w:sz w:val="24"/>
          <w:szCs w:val="24"/>
          <w:lang w:eastAsia="de-DE"/>
        </w:rPr>
      </w:pPr>
    </w:p>
    <w:p w14:paraId="09840A84" w14:textId="77777777" w:rsidR="005C287D" w:rsidRDefault="005C287D" w:rsidP="00A87889">
      <w:pPr>
        <w:spacing w:after="0" w:line="240" w:lineRule="auto"/>
        <w:rPr>
          <w:rFonts w:ascii="Arial" w:eastAsia="Times New Roman" w:hAnsi="Arial" w:cs="Arial"/>
          <w:color w:val="FF0000"/>
          <w:sz w:val="24"/>
          <w:szCs w:val="24"/>
          <w:lang w:eastAsia="de-DE"/>
        </w:rPr>
      </w:pPr>
    </w:p>
    <w:p w14:paraId="29941A82" w14:textId="77777777" w:rsidR="005C287D" w:rsidRDefault="005C287D" w:rsidP="00A87889">
      <w:pPr>
        <w:spacing w:after="0" w:line="240" w:lineRule="auto"/>
        <w:rPr>
          <w:rFonts w:ascii="Arial" w:eastAsia="Times New Roman" w:hAnsi="Arial" w:cs="Arial"/>
          <w:color w:val="FF0000"/>
          <w:sz w:val="24"/>
          <w:szCs w:val="24"/>
          <w:lang w:eastAsia="de-DE"/>
        </w:rPr>
      </w:pPr>
    </w:p>
    <w:p w14:paraId="31C9BBAD" w14:textId="77777777" w:rsidR="005C287D" w:rsidRDefault="005C287D" w:rsidP="00A87889">
      <w:pPr>
        <w:spacing w:after="0" w:line="240" w:lineRule="auto"/>
        <w:rPr>
          <w:rFonts w:ascii="Arial" w:eastAsia="Times New Roman" w:hAnsi="Arial" w:cs="Arial"/>
          <w:color w:val="FF0000"/>
          <w:sz w:val="24"/>
          <w:szCs w:val="24"/>
          <w:lang w:eastAsia="de-DE"/>
        </w:rPr>
      </w:pPr>
    </w:p>
    <w:p w14:paraId="2331BC82" w14:textId="77777777" w:rsidR="005C287D" w:rsidRDefault="005C287D" w:rsidP="00A87889">
      <w:pPr>
        <w:spacing w:after="0" w:line="240" w:lineRule="auto"/>
        <w:rPr>
          <w:rFonts w:ascii="Arial" w:eastAsia="Times New Roman" w:hAnsi="Arial" w:cs="Arial"/>
          <w:color w:val="FF0000"/>
          <w:sz w:val="24"/>
          <w:szCs w:val="24"/>
          <w:lang w:eastAsia="de-DE"/>
        </w:rPr>
      </w:pPr>
    </w:p>
    <w:p w14:paraId="461986D7" w14:textId="77777777" w:rsidR="005C287D" w:rsidRDefault="005C287D" w:rsidP="00A87889">
      <w:pPr>
        <w:spacing w:after="0" w:line="240" w:lineRule="auto"/>
        <w:rPr>
          <w:rFonts w:ascii="Arial" w:eastAsia="Times New Roman" w:hAnsi="Arial" w:cs="Arial"/>
          <w:color w:val="FF0000"/>
          <w:sz w:val="24"/>
          <w:szCs w:val="24"/>
          <w:lang w:eastAsia="de-DE"/>
        </w:rPr>
      </w:pPr>
    </w:p>
    <w:p w14:paraId="5C56C81C" w14:textId="77777777" w:rsidR="005C287D" w:rsidRDefault="005C287D" w:rsidP="00A87889">
      <w:pPr>
        <w:spacing w:after="0" w:line="240" w:lineRule="auto"/>
        <w:rPr>
          <w:rFonts w:ascii="Arial" w:eastAsia="Times New Roman" w:hAnsi="Arial" w:cs="Arial"/>
          <w:color w:val="FF0000"/>
          <w:sz w:val="24"/>
          <w:szCs w:val="24"/>
          <w:lang w:eastAsia="de-DE"/>
        </w:rPr>
      </w:pPr>
    </w:p>
    <w:p w14:paraId="0847CA7E" w14:textId="77777777" w:rsidR="006C36D4" w:rsidRPr="005C287D" w:rsidRDefault="006C36D4" w:rsidP="00A87889">
      <w:pPr>
        <w:spacing w:after="0" w:line="240" w:lineRule="auto"/>
        <w:rPr>
          <w:rFonts w:ascii="Arial" w:eastAsia="Times New Roman" w:hAnsi="Arial" w:cs="Arial"/>
          <w:b/>
          <w:sz w:val="24"/>
          <w:szCs w:val="24"/>
          <w:lang w:eastAsia="de-DE"/>
        </w:rPr>
      </w:pPr>
      <w:r w:rsidRPr="005C287D">
        <w:rPr>
          <w:rFonts w:ascii="Arial" w:eastAsia="Times New Roman" w:hAnsi="Arial" w:cs="Arial"/>
          <w:b/>
          <w:sz w:val="24"/>
          <w:szCs w:val="24"/>
          <w:lang w:eastAsia="de-DE"/>
        </w:rPr>
        <w:lastRenderedPageBreak/>
        <w:t xml:space="preserve">Finanzwirtschaftliche Konjunkturindikatoren </w:t>
      </w:r>
    </w:p>
    <w:p w14:paraId="453001F7" w14:textId="77777777" w:rsidR="005C287D" w:rsidRPr="005C287D" w:rsidRDefault="005C287D" w:rsidP="00A87889">
      <w:pPr>
        <w:spacing w:after="0" w:line="240" w:lineRule="auto"/>
        <w:rPr>
          <w:rFonts w:ascii="Arial" w:eastAsia="Times New Roman" w:hAnsi="Arial" w:cs="Arial"/>
          <w:b/>
          <w:sz w:val="24"/>
          <w:szCs w:val="24"/>
          <w:lang w:eastAsia="de-DE"/>
        </w:rPr>
      </w:pPr>
    </w:p>
    <w:tbl>
      <w:tblPr>
        <w:tblStyle w:val="Tabellenraster"/>
        <w:tblW w:w="0" w:type="auto"/>
        <w:tblLook w:val="04A0" w:firstRow="1" w:lastRow="0" w:firstColumn="1" w:lastColumn="0" w:noHBand="0" w:noVBand="1"/>
      </w:tblPr>
      <w:tblGrid>
        <w:gridCol w:w="2235"/>
        <w:gridCol w:w="7119"/>
      </w:tblGrid>
      <w:tr w:rsidR="006C36D4" w:rsidRPr="005C287D" w14:paraId="4AA7DCD8" w14:textId="77777777" w:rsidTr="006C36D4">
        <w:tc>
          <w:tcPr>
            <w:tcW w:w="2235" w:type="dxa"/>
          </w:tcPr>
          <w:p w14:paraId="5DC8316D" w14:textId="77777777" w:rsidR="006C36D4" w:rsidRPr="005C287D" w:rsidRDefault="006C36D4"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Indikator</w:t>
            </w:r>
          </w:p>
        </w:tc>
        <w:tc>
          <w:tcPr>
            <w:tcW w:w="7119" w:type="dxa"/>
          </w:tcPr>
          <w:p w14:paraId="641D147D" w14:textId="77777777" w:rsidR="006C36D4" w:rsidRPr="005C287D" w:rsidRDefault="006C36D4" w:rsidP="00A87889">
            <w:pPr>
              <w:rPr>
                <w:rFonts w:ascii="Arial" w:eastAsia="Times New Roman" w:hAnsi="Arial" w:cs="Arial"/>
                <w:b/>
                <w:sz w:val="24"/>
                <w:szCs w:val="24"/>
                <w:lang w:eastAsia="de-DE"/>
              </w:rPr>
            </w:pPr>
          </w:p>
        </w:tc>
      </w:tr>
      <w:tr w:rsidR="006C36D4" w14:paraId="21EDCDA9" w14:textId="77777777" w:rsidTr="005C287D">
        <w:tc>
          <w:tcPr>
            <w:tcW w:w="2235" w:type="dxa"/>
            <w:shd w:val="clear" w:color="auto" w:fill="B8CCE4" w:themeFill="accent1" w:themeFillTint="66"/>
          </w:tcPr>
          <w:p w14:paraId="24D037B7" w14:textId="77777777" w:rsidR="006C36D4" w:rsidRPr="005C287D" w:rsidRDefault="006C36D4"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Geldpolitik</w:t>
            </w:r>
          </w:p>
        </w:tc>
        <w:tc>
          <w:tcPr>
            <w:tcW w:w="7119" w:type="dxa"/>
          </w:tcPr>
          <w:p w14:paraId="62F63AE0" w14:textId="77777777" w:rsidR="006C36D4" w:rsidRPr="006C36D4" w:rsidRDefault="006C36D4" w:rsidP="006C36D4">
            <w:pPr>
              <w:pStyle w:val="Listenabsatz"/>
              <w:numPr>
                <w:ilvl w:val="0"/>
                <w:numId w:val="35"/>
              </w:numPr>
              <w:rPr>
                <w:rFonts w:ascii="Arial" w:eastAsia="Times New Roman" w:hAnsi="Arial" w:cs="Arial"/>
                <w:sz w:val="24"/>
                <w:szCs w:val="24"/>
                <w:lang w:eastAsia="de-DE"/>
              </w:rPr>
            </w:pPr>
            <w:r w:rsidRPr="006C36D4">
              <w:rPr>
                <w:rFonts w:ascii="Arial" w:eastAsia="Times New Roman" w:hAnsi="Arial" w:cs="Arial"/>
                <w:sz w:val="24"/>
                <w:szCs w:val="24"/>
                <w:lang w:eastAsia="de-DE"/>
              </w:rPr>
              <w:t xml:space="preserve">Als Konjunkturindikator zählt auch die (vermutete) künftige Geldpolitik einer Zentralbank. Aufgrund von Zinssenkungen kann die Konjunktur belebt werden. </w:t>
            </w:r>
          </w:p>
          <w:p w14:paraId="1B3D8396" w14:textId="77777777" w:rsidR="006C36D4" w:rsidRPr="006C36D4" w:rsidRDefault="006C36D4" w:rsidP="006C36D4">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 xml:space="preserve">Aufgrund von Zinserhöhungen wird ein „Überschäumen“ der Konjunktur verhindert. </w:t>
            </w:r>
          </w:p>
        </w:tc>
      </w:tr>
      <w:tr w:rsidR="006C36D4" w14:paraId="59937BF8" w14:textId="77777777" w:rsidTr="005C287D">
        <w:tc>
          <w:tcPr>
            <w:tcW w:w="2235" w:type="dxa"/>
            <w:shd w:val="clear" w:color="auto" w:fill="B8CCE4" w:themeFill="accent1" w:themeFillTint="66"/>
          </w:tcPr>
          <w:p w14:paraId="3AF7A0C4" w14:textId="77777777" w:rsidR="006C36D4" w:rsidRPr="005C287D" w:rsidRDefault="006C36D4"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Wechselkurse</w:t>
            </w:r>
          </w:p>
        </w:tc>
        <w:tc>
          <w:tcPr>
            <w:tcW w:w="7119" w:type="dxa"/>
          </w:tcPr>
          <w:p w14:paraId="48DF46E9" w14:textId="77777777" w:rsidR="006C36D4" w:rsidRDefault="006C36D4" w:rsidP="006C36D4">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 xml:space="preserve">Steigende Wechselkurse verteuern </w:t>
            </w:r>
            <w:r w:rsidR="002A336C">
              <w:rPr>
                <w:rFonts w:ascii="Arial" w:eastAsia="Times New Roman" w:hAnsi="Arial" w:cs="Arial"/>
                <w:sz w:val="24"/>
                <w:szCs w:val="24"/>
                <w:lang w:eastAsia="de-DE"/>
              </w:rPr>
              <w:t xml:space="preserve">die Binnenwährung. Der Export in Fremdwährungsländer wird gebremst, die Konjunktur wird negativ beeinflusst. </w:t>
            </w:r>
          </w:p>
          <w:p w14:paraId="38B02BF7" w14:textId="77777777" w:rsidR="002A336C" w:rsidRPr="006C36D4" w:rsidRDefault="002A336C" w:rsidP="006C36D4">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 xml:space="preserve">Sinken die Wechselkurse, wird die Binnenwährung für die Devisenausländer billiger. Es ist zu erwarten, dass die Exporte steigen und die Konjunktur angekurbelt wird. </w:t>
            </w:r>
          </w:p>
        </w:tc>
      </w:tr>
    </w:tbl>
    <w:p w14:paraId="0A07BFC0" w14:textId="77777777" w:rsidR="006C36D4" w:rsidRDefault="006C36D4" w:rsidP="00A87889">
      <w:pPr>
        <w:spacing w:after="0" w:line="240" w:lineRule="auto"/>
        <w:rPr>
          <w:rFonts w:ascii="Arial" w:eastAsia="Times New Roman" w:hAnsi="Arial" w:cs="Arial"/>
          <w:sz w:val="24"/>
          <w:szCs w:val="24"/>
          <w:lang w:eastAsia="de-DE"/>
        </w:rPr>
      </w:pPr>
    </w:p>
    <w:p w14:paraId="6653D661" w14:textId="77777777" w:rsidR="002A336C" w:rsidRPr="005C287D" w:rsidRDefault="002A336C" w:rsidP="00A87889">
      <w:pPr>
        <w:spacing w:after="0" w:line="240" w:lineRule="auto"/>
        <w:rPr>
          <w:rFonts w:ascii="Arial" w:eastAsia="Times New Roman" w:hAnsi="Arial" w:cs="Arial"/>
          <w:b/>
          <w:sz w:val="24"/>
          <w:szCs w:val="24"/>
          <w:lang w:eastAsia="de-DE"/>
        </w:rPr>
      </w:pPr>
      <w:r w:rsidRPr="005C287D">
        <w:rPr>
          <w:rFonts w:ascii="Arial" w:eastAsia="Times New Roman" w:hAnsi="Arial" w:cs="Arial"/>
          <w:b/>
          <w:sz w:val="24"/>
          <w:szCs w:val="24"/>
          <w:lang w:eastAsia="de-DE"/>
        </w:rPr>
        <w:t>Früh-, Präsenz- und Spätindikatoren</w:t>
      </w:r>
    </w:p>
    <w:p w14:paraId="395438D5" w14:textId="77777777" w:rsidR="002A336C" w:rsidRDefault="002A336C" w:rsidP="00A87889">
      <w:pPr>
        <w:spacing w:after="0" w:line="240" w:lineRule="auto"/>
        <w:rPr>
          <w:rFonts w:ascii="Arial" w:eastAsia="Times New Roman" w:hAnsi="Arial" w:cs="Arial"/>
          <w:sz w:val="24"/>
          <w:szCs w:val="24"/>
          <w:lang w:eastAsia="de-DE"/>
        </w:rPr>
      </w:pPr>
    </w:p>
    <w:p w14:paraId="6F1504F0" w14:textId="77777777" w:rsidR="002A336C" w:rsidRDefault="002A336C" w:rsidP="00A8788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Die Indikatoren lassen sich auch hinsichtlich der zeitlichen Erkennbarkeit der jeweiligen Konjunkturphase unterscheiden. </w:t>
      </w:r>
    </w:p>
    <w:p w14:paraId="146B68EC" w14:textId="77777777" w:rsidR="002A336C" w:rsidRDefault="002A336C" w:rsidP="00A87889">
      <w:pPr>
        <w:spacing w:after="0" w:line="240" w:lineRule="auto"/>
        <w:rPr>
          <w:rFonts w:ascii="Arial" w:eastAsia="Times New Roman" w:hAnsi="Arial" w:cs="Arial"/>
          <w:sz w:val="24"/>
          <w:szCs w:val="24"/>
          <w:lang w:eastAsia="de-DE"/>
        </w:rPr>
      </w:pPr>
    </w:p>
    <w:tbl>
      <w:tblPr>
        <w:tblStyle w:val="Tabellenraster"/>
        <w:tblW w:w="0" w:type="auto"/>
        <w:tblLook w:val="04A0" w:firstRow="1" w:lastRow="0" w:firstColumn="1" w:lastColumn="0" w:noHBand="0" w:noVBand="1"/>
      </w:tblPr>
      <w:tblGrid>
        <w:gridCol w:w="2043"/>
        <w:gridCol w:w="3265"/>
        <w:gridCol w:w="4122"/>
      </w:tblGrid>
      <w:tr w:rsidR="002A336C" w14:paraId="2E9ED44F" w14:textId="77777777" w:rsidTr="005C287D">
        <w:tc>
          <w:tcPr>
            <w:tcW w:w="1884" w:type="dxa"/>
            <w:shd w:val="clear" w:color="auto" w:fill="B8CCE4" w:themeFill="accent1" w:themeFillTint="66"/>
          </w:tcPr>
          <w:p w14:paraId="77A4D16A" w14:textId="77777777" w:rsidR="002A336C" w:rsidRPr="005C287D" w:rsidRDefault="002A336C"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Indikator</w:t>
            </w:r>
          </w:p>
        </w:tc>
        <w:tc>
          <w:tcPr>
            <w:tcW w:w="3327" w:type="dxa"/>
          </w:tcPr>
          <w:p w14:paraId="0902CBBE" w14:textId="77777777" w:rsidR="002A336C" w:rsidRPr="005C287D" w:rsidRDefault="002A336C"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 xml:space="preserve">Erläuterungen </w:t>
            </w:r>
          </w:p>
        </w:tc>
        <w:tc>
          <w:tcPr>
            <w:tcW w:w="4143" w:type="dxa"/>
          </w:tcPr>
          <w:p w14:paraId="4B4EF1CB" w14:textId="77777777" w:rsidR="002A336C" w:rsidRPr="005C287D" w:rsidRDefault="002A336C"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 xml:space="preserve">Beispiele </w:t>
            </w:r>
          </w:p>
        </w:tc>
      </w:tr>
      <w:tr w:rsidR="002A336C" w14:paraId="06590B81" w14:textId="77777777" w:rsidTr="005C287D">
        <w:trPr>
          <w:cantSplit/>
          <w:trHeight w:val="1134"/>
        </w:trPr>
        <w:tc>
          <w:tcPr>
            <w:tcW w:w="1884" w:type="dxa"/>
            <w:shd w:val="clear" w:color="auto" w:fill="B8CCE4" w:themeFill="accent1" w:themeFillTint="66"/>
          </w:tcPr>
          <w:p w14:paraId="1E43B331" w14:textId="77777777" w:rsidR="002A336C" w:rsidRPr="005C287D" w:rsidRDefault="002A336C"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 xml:space="preserve">Frühindikatoren </w:t>
            </w:r>
          </w:p>
        </w:tc>
        <w:tc>
          <w:tcPr>
            <w:tcW w:w="3327" w:type="dxa"/>
          </w:tcPr>
          <w:p w14:paraId="263E2622" w14:textId="77777777" w:rsidR="002A336C" w:rsidRDefault="002A336C" w:rsidP="00A87889">
            <w:pPr>
              <w:rPr>
                <w:rFonts w:ascii="Arial" w:eastAsia="Times New Roman" w:hAnsi="Arial" w:cs="Arial"/>
                <w:sz w:val="24"/>
                <w:szCs w:val="24"/>
                <w:lang w:eastAsia="de-DE"/>
              </w:rPr>
            </w:pPr>
            <w:r>
              <w:rPr>
                <w:rFonts w:ascii="Arial" w:eastAsia="Times New Roman" w:hAnsi="Arial" w:cs="Arial"/>
                <w:sz w:val="24"/>
                <w:szCs w:val="24"/>
                <w:lang w:eastAsia="de-DE"/>
              </w:rPr>
              <w:t xml:space="preserve">Sie sollen anzeigen, wie sich die Konjunktur in den kommenden Monaten entwickeln wird. </w:t>
            </w:r>
          </w:p>
        </w:tc>
        <w:tc>
          <w:tcPr>
            <w:tcW w:w="4143" w:type="dxa"/>
          </w:tcPr>
          <w:p w14:paraId="3949BD32" w14:textId="77777777" w:rsidR="002A336C" w:rsidRDefault="002A336C" w:rsidP="002A336C">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Entwicklung der Aktienmärkte</w:t>
            </w:r>
          </w:p>
          <w:p w14:paraId="5CEBEEA5" w14:textId="77777777" w:rsidR="005C287D" w:rsidRDefault="005C287D" w:rsidP="002A336C">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Auftragseingänge der verarbeitenden Industrie</w:t>
            </w:r>
          </w:p>
          <w:p w14:paraId="622F14B8" w14:textId="77777777" w:rsidR="005C287D" w:rsidRDefault="005C287D" w:rsidP="002A336C">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Baugenehmigungen im Hochbau</w:t>
            </w:r>
          </w:p>
          <w:p w14:paraId="433ABC72" w14:textId="77777777" w:rsidR="005C287D" w:rsidRDefault="005C287D" w:rsidP="002A336C">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Investitionsabsichten</w:t>
            </w:r>
          </w:p>
          <w:p w14:paraId="3F5C46F1" w14:textId="77777777" w:rsidR="005C287D" w:rsidRDefault="005C287D" w:rsidP="002A336C">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Geschäftsklimaindex</w:t>
            </w:r>
          </w:p>
          <w:p w14:paraId="521A6A1C" w14:textId="77777777" w:rsidR="005C287D" w:rsidRDefault="005C287D" w:rsidP="002A336C">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Konsumklimaindex</w:t>
            </w:r>
          </w:p>
          <w:p w14:paraId="5A6596DA" w14:textId="77777777" w:rsidR="005C287D" w:rsidRPr="005C287D" w:rsidRDefault="005C287D" w:rsidP="005C287D">
            <w:pPr>
              <w:ind w:left="360"/>
              <w:rPr>
                <w:rFonts w:ascii="Arial" w:eastAsia="Times New Roman" w:hAnsi="Arial" w:cs="Arial"/>
                <w:sz w:val="24"/>
                <w:szCs w:val="24"/>
                <w:lang w:eastAsia="de-DE"/>
              </w:rPr>
            </w:pPr>
          </w:p>
        </w:tc>
      </w:tr>
      <w:tr w:rsidR="002A336C" w14:paraId="5E8A69CA" w14:textId="77777777" w:rsidTr="005C287D">
        <w:tc>
          <w:tcPr>
            <w:tcW w:w="1884" w:type="dxa"/>
            <w:shd w:val="clear" w:color="auto" w:fill="B8CCE4" w:themeFill="accent1" w:themeFillTint="66"/>
          </w:tcPr>
          <w:p w14:paraId="211B1354" w14:textId="77777777" w:rsidR="002A336C" w:rsidRPr="005C287D" w:rsidRDefault="005C287D"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 xml:space="preserve">Präsenz-indikatoren </w:t>
            </w:r>
          </w:p>
        </w:tc>
        <w:tc>
          <w:tcPr>
            <w:tcW w:w="3327" w:type="dxa"/>
          </w:tcPr>
          <w:p w14:paraId="26C15196" w14:textId="77777777" w:rsidR="002A336C" w:rsidRDefault="005C287D" w:rsidP="00A87889">
            <w:pPr>
              <w:rPr>
                <w:rFonts w:ascii="Arial" w:eastAsia="Times New Roman" w:hAnsi="Arial" w:cs="Arial"/>
                <w:sz w:val="24"/>
                <w:szCs w:val="24"/>
                <w:lang w:eastAsia="de-DE"/>
              </w:rPr>
            </w:pPr>
            <w:r>
              <w:rPr>
                <w:rFonts w:ascii="Arial" w:eastAsia="Times New Roman" w:hAnsi="Arial" w:cs="Arial"/>
                <w:sz w:val="24"/>
                <w:szCs w:val="24"/>
                <w:lang w:eastAsia="de-DE"/>
              </w:rPr>
              <w:t xml:space="preserve">Sie beschreiben den augenblicklichen Stand der Konjunktur. </w:t>
            </w:r>
          </w:p>
        </w:tc>
        <w:tc>
          <w:tcPr>
            <w:tcW w:w="4143" w:type="dxa"/>
          </w:tcPr>
          <w:p w14:paraId="6163B9B0" w14:textId="77777777" w:rsidR="002A336C"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Kapazitätsauslastung</w:t>
            </w:r>
          </w:p>
          <w:p w14:paraId="49D778BE" w14:textId="77777777" w:rsid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 xml:space="preserve">Aktuelle Konsumdaten </w:t>
            </w:r>
          </w:p>
          <w:p w14:paraId="6A3FE8C3" w14:textId="77777777" w:rsid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Bruttoinlandsprodukt</w:t>
            </w:r>
          </w:p>
          <w:p w14:paraId="30D17594" w14:textId="77777777" w:rsid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Kurzarbeit</w:t>
            </w:r>
          </w:p>
          <w:p w14:paraId="6E988874" w14:textId="77777777" w:rsid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Lagerbestände</w:t>
            </w:r>
          </w:p>
          <w:p w14:paraId="6CB7B43D" w14:textId="77777777" w:rsidR="005C287D" w:rsidRP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 xml:space="preserve">Zinsen </w:t>
            </w:r>
          </w:p>
        </w:tc>
      </w:tr>
      <w:tr w:rsidR="002A336C" w14:paraId="67A53DE5" w14:textId="77777777" w:rsidTr="005C287D">
        <w:tc>
          <w:tcPr>
            <w:tcW w:w="1884" w:type="dxa"/>
            <w:shd w:val="clear" w:color="auto" w:fill="B8CCE4" w:themeFill="accent1" w:themeFillTint="66"/>
          </w:tcPr>
          <w:p w14:paraId="7F095E4B" w14:textId="77777777" w:rsidR="002A336C" w:rsidRPr="005C287D" w:rsidRDefault="005C287D" w:rsidP="00A87889">
            <w:pPr>
              <w:rPr>
                <w:rFonts w:ascii="Arial" w:eastAsia="Times New Roman" w:hAnsi="Arial" w:cs="Arial"/>
                <w:b/>
                <w:sz w:val="24"/>
                <w:szCs w:val="24"/>
                <w:lang w:eastAsia="de-DE"/>
              </w:rPr>
            </w:pPr>
            <w:r w:rsidRPr="005C287D">
              <w:rPr>
                <w:rFonts w:ascii="Arial" w:eastAsia="Times New Roman" w:hAnsi="Arial" w:cs="Arial"/>
                <w:b/>
                <w:sz w:val="24"/>
                <w:szCs w:val="24"/>
                <w:lang w:eastAsia="de-DE"/>
              </w:rPr>
              <w:t>Spätindikatoren</w:t>
            </w:r>
          </w:p>
        </w:tc>
        <w:tc>
          <w:tcPr>
            <w:tcW w:w="3327" w:type="dxa"/>
          </w:tcPr>
          <w:p w14:paraId="25736360" w14:textId="77777777" w:rsidR="002A336C" w:rsidRDefault="005C287D" w:rsidP="00A87889">
            <w:pPr>
              <w:rPr>
                <w:rFonts w:ascii="Arial" w:eastAsia="Times New Roman" w:hAnsi="Arial" w:cs="Arial"/>
                <w:sz w:val="24"/>
                <w:szCs w:val="24"/>
                <w:lang w:eastAsia="de-DE"/>
              </w:rPr>
            </w:pPr>
            <w:r>
              <w:rPr>
                <w:rFonts w:ascii="Arial" w:eastAsia="Times New Roman" w:hAnsi="Arial" w:cs="Arial"/>
                <w:sz w:val="24"/>
                <w:szCs w:val="24"/>
                <w:lang w:eastAsia="de-DE"/>
              </w:rPr>
              <w:t xml:space="preserve">Sie hinken dem eigentlichen Konjunkturverlauf hinterher. </w:t>
            </w:r>
          </w:p>
        </w:tc>
        <w:tc>
          <w:tcPr>
            <w:tcW w:w="4143" w:type="dxa"/>
          </w:tcPr>
          <w:p w14:paraId="56B824BA" w14:textId="77777777" w:rsidR="002A336C"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Steuereinnahmen des Staates</w:t>
            </w:r>
          </w:p>
          <w:p w14:paraId="7165DF04" w14:textId="77777777" w:rsid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Insolvenzen</w:t>
            </w:r>
          </w:p>
          <w:p w14:paraId="6C29886C" w14:textId="77777777" w:rsid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Arbeitslosenquote</w:t>
            </w:r>
          </w:p>
          <w:p w14:paraId="10638DB3" w14:textId="77777777" w:rsid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Preisindizes</w:t>
            </w:r>
          </w:p>
          <w:p w14:paraId="563FC63F" w14:textId="77777777" w:rsidR="005C287D" w:rsidRPr="005C287D" w:rsidRDefault="005C287D" w:rsidP="005C287D">
            <w:pPr>
              <w:pStyle w:val="Listenabsatz"/>
              <w:numPr>
                <w:ilvl w:val="0"/>
                <w:numId w:val="35"/>
              </w:numPr>
              <w:rPr>
                <w:rFonts w:ascii="Arial" w:eastAsia="Times New Roman" w:hAnsi="Arial" w:cs="Arial"/>
                <w:sz w:val="24"/>
                <w:szCs w:val="24"/>
                <w:lang w:eastAsia="de-DE"/>
              </w:rPr>
            </w:pPr>
            <w:r>
              <w:rPr>
                <w:rFonts w:ascii="Arial" w:eastAsia="Times New Roman" w:hAnsi="Arial" w:cs="Arial"/>
                <w:sz w:val="24"/>
                <w:szCs w:val="24"/>
                <w:lang w:eastAsia="de-DE"/>
              </w:rPr>
              <w:t xml:space="preserve">Zinsniveauentwicklung </w:t>
            </w:r>
          </w:p>
        </w:tc>
      </w:tr>
    </w:tbl>
    <w:p w14:paraId="49446052" w14:textId="77777777" w:rsidR="002A336C" w:rsidRPr="006C36D4" w:rsidRDefault="002A336C" w:rsidP="00A87889">
      <w:pPr>
        <w:spacing w:after="0" w:line="240" w:lineRule="auto"/>
        <w:rPr>
          <w:rFonts w:ascii="Arial" w:eastAsia="Times New Roman" w:hAnsi="Arial" w:cs="Arial"/>
          <w:sz w:val="24"/>
          <w:szCs w:val="24"/>
          <w:lang w:eastAsia="de-DE"/>
        </w:rPr>
      </w:pPr>
    </w:p>
    <w:sectPr w:rsidR="002A336C" w:rsidRPr="006C36D4" w:rsidSect="00650DBD">
      <w:headerReference w:type="default" r:id="rId8"/>
      <w:footerReference w:type="default" r:id="rId9"/>
      <w:pgSz w:w="11906" w:h="16838"/>
      <w:pgMar w:top="851" w:right="1274" w:bottom="1134"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2EF64" w14:textId="77777777" w:rsidR="007B563B" w:rsidRDefault="007B563B" w:rsidP="00AB44B1">
      <w:pPr>
        <w:spacing w:after="0" w:line="240" w:lineRule="auto"/>
      </w:pPr>
      <w:r>
        <w:separator/>
      </w:r>
    </w:p>
  </w:endnote>
  <w:endnote w:type="continuationSeparator" w:id="0">
    <w:p w14:paraId="6BCC3E97" w14:textId="77777777" w:rsidR="007B563B" w:rsidRDefault="007B563B"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147A5" w14:textId="77777777"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0952C1D5" wp14:editId="46E2C958">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5530675" w14:textId="77777777"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61B1A17" wp14:editId="68C4B8F3">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" filled="f" stroked="f">
              <v:textbox inset="0">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14:paraId="19C6721D" w14:textId="77777777" w:rsidR="007C4BC1" w:rsidRDefault="007C4BC1" w:rsidP="00CA3C61">
    <w:pPr>
      <w:pStyle w:val="Fuzeile"/>
      <w:jc w:val="center"/>
    </w:pPr>
  </w:p>
  <w:p w14:paraId="6D148EF6" w14:textId="77777777" w:rsidR="00406642" w:rsidRPr="008C60E0" w:rsidRDefault="007727DA" w:rsidP="00BA5403">
    <w:pPr>
      <w:pStyle w:val="Fuzeile"/>
      <w:rPr>
        <w:color w:val="BFBFBF" w:themeColor="background1" w:themeShade="BF"/>
        <w:sz w:val="16"/>
        <w:szCs w:val="16"/>
      </w:rPr>
    </w:pPr>
    <w:r w:rsidRPr="008C60E0">
      <w:rPr>
        <w:color w:val="BFBFBF" w:themeColor="background1" w:themeShade="BF"/>
        <w:sz w:val="16"/>
        <w:szCs w:val="16"/>
      </w:rPr>
      <w:t xml:space="preserve"> </w:t>
    </w:r>
    <w:r w:rsidR="00406642" w:rsidRPr="008C60E0">
      <w:rPr>
        <w:color w:val="BFBFBF" w:themeColor="background1" w:themeShade="BF"/>
        <w:sz w:val="16"/>
        <w:szCs w:val="16"/>
      </w:rPr>
      <w:t>Z:\Hier kommt der Dokumentenpfad hin</w:t>
    </w:r>
    <w:r w:rsidR="007C4BC1" w:rsidRPr="008C60E0">
      <w:rPr>
        <w:color w:val="BFBFBF" w:themeColor="background1" w:themeShade="BF"/>
        <w:sz w:val="16"/>
        <w:szCs w:val="16"/>
      </w:rPr>
      <w:softHyphen/>
    </w:r>
    <w:r w:rsidR="007C4BC1" w:rsidRPr="008C60E0">
      <w:rPr>
        <w:color w:val="BFBFBF" w:themeColor="background1" w:themeShade="BF"/>
        <w:sz w:val="16"/>
        <w:szCs w:val="16"/>
      </w:rPr>
      <w:softHyphen/>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B721C" w14:textId="77777777" w:rsidR="007B563B" w:rsidRDefault="007B563B" w:rsidP="00AB44B1">
      <w:pPr>
        <w:spacing w:after="0" w:line="240" w:lineRule="auto"/>
      </w:pPr>
      <w:r>
        <w:separator/>
      </w:r>
    </w:p>
  </w:footnote>
  <w:footnote w:type="continuationSeparator" w:id="0">
    <w:p w14:paraId="2CD7589F" w14:textId="77777777" w:rsidR="007B563B" w:rsidRDefault="007B563B" w:rsidP="00AB44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1701"/>
      <w:gridCol w:w="1701"/>
      <w:gridCol w:w="1276"/>
      <w:gridCol w:w="1166"/>
    </w:tblGrid>
    <w:tr w:rsidR="006D628D" w14:paraId="6E6E8089" w14:textId="77777777" w:rsidTr="007D3C1E">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C540DDE" w14:textId="77777777" w:rsidR="00C30020" w:rsidRPr="00783868" w:rsidRDefault="005B43A8" w:rsidP="00C30020">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W</w:t>
          </w:r>
          <w:r w:rsidR="0022163A">
            <w:rPr>
              <w:rFonts w:ascii="Arial" w:hAnsi="Arial" w:cs="Arial"/>
              <w:color w:val="C00000"/>
              <w:sz w:val="24"/>
              <w:szCs w:val="24"/>
            </w:rPr>
            <w:t>irtschaft</w:t>
          </w:r>
        </w:p>
        <w:p w14:paraId="0FA4AE6E" w14:textId="77777777" w:rsidR="006D628D" w:rsidRPr="00783868" w:rsidRDefault="006D628D" w:rsidP="00C30020">
          <w:pPr>
            <w:pStyle w:val="Kopfzeile"/>
            <w:tabs>
              <w:tab w:val="clear" w:pos="9072"/>
              <w:tab w:val="right" w:pos="9214"/>
            </w:tabs>
            <w:rPr>
              <w:rFonts w:ascii="Arial" w:hAnsi="Arial" w:cs="Arial"/>
              <w:sz w:val="20"/>
              <w:szCs w:val="20"/>
            </w:rPr>
          </w:pPr>
        </w:p>
      </w:tc>
      <w:tc>
        <w:tcPr>
          <w:tcW w:w="340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C46EF4" w14:textId="77777777" w:rsidR="006D628D" w:rsidRPr="00783868" w:rsidRDefault="00F14966" w:rsidP="00E42F58">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 xml:space="preserve">Konjunkturindikatoren </w:t>
          </w:r>
        </w:p>
        <w:p w14:paraId="79E15AEF" w14:textId="77777777" w:rsidR="006D628D" w:rsidRPr="00783868" w:rsidRDefault="006D628D" w:rsidP="00E42F58">
          <w:pPr>
            <w:pStyle w:val="Kopfzeile"/>
            <w:tabs>
              <w:tab w:val="clear" w:pos="9072"/>
              <w:tab w:val="right" w:pos="9214"/>
            </w:tabs>
            <w:rPr>
              <w:sz w:val="20"/>
              <w:szCs w:val="20"/>
            </w:rPr>
          </w:pPr>
        </w:p>
      </w:tc>
      <w:tc>
        <w:tcPr>
          <w:tcW w:w="244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6A69ED" w14:textId="77777777" w:rsidR="006D628D" w:rsidRPr="00EE328E" w:rsidRDefault="006D628D" w:rsidP="000D1650">
          <w:pPr>
            <w:pStyle w:val="Kopfzeile"/>
            <w:tabs>
              <w:tab w:val="clear" w:pos="9072"/>
              <w:tab w:val="right" w:pos="9214"/>
            </w:tabs>
            <w:rPr>
              <w:sz w:val="2"/>
              <w:szCs w:val="2"/>
            </w:rPr>
          </w:pPr>
          <w:r w:rsidRPr="00405215">
            <w:rPr>
              <w:rFonts w:ascii="Arial" w:hAnsi="Arial" w:cs="Arial"/>
              <w:noProof/>
              <w:sz w:val="20"/>
              <w:szCs w:val="20"/>
              <w:lang w:eastAsia="de-DE"/>
            </w:rPr>
            <w:drawing>
              <wp:anchor distT="0" distB="0" distL="114300" distR="114300" simplePos="0" relativeHeight="251669504" behindDoc="1" locked="0" layoutInCell="1" allowOverlap="1" wp14:anchorId="2686150D" wp14:editId="00E26BEB">
                <wp:simplePos x="5369560" y="457200"/>
                <wp:positionH relativeFrom="margin">
                  <wp:posOffset>0</wp:posOffset>
                </wp:positionH>
                <wp:positionV relativeFrom="margin">
                  <wp:posOffset>8890</wp:posOffset>
                </wp:positionV>
                <wp:extent cx="1409700" cy="4660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14:paraId="305A7B7B"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20460700" w14:textId="77777777"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single" w:sz="4" w:space="0" w:color="D9D9D9" w:themeColor="background1" w:themeShade="D9"/>
            <w:bottom w:val="nil"/>
            <w:right w:val="nil"/>
          </w:tcBorders>
        </w:tcPr>
        <w:p w14:paraId="39874EF6" w14:textId="77777777"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nil"/>
            <w:bottom w:val="nil"/>
            <w:right w:val="single" w:sz="4" w:space="0" w:color="D9D9D9" w:themeColor="background1" w:themeShade="D9"/>
          </w:tcBorders>
        </w:tcPr>
        <w:p w14:paraId="16ED038B" w14:textId="77777777" w:rsidR="004410B5" w:rsidRPr="0007299C" w:rsidRDefault="004410B5" w:rsidP="0039103E">
          <w:pPr>
            <w:pStyle w:val="Kopfzeile"/>
            <w:rPr>
              <w:rFonts w:ascii="Arial" w:hAnsi="Arial" w:cs="Arial"/>
              <w:sz w:val="20"/>
              <w:szCs w:val="20"/>
            </w:rPr>
          </w:pPr>
        </w:p>
      </w:tc>
      <w:tc>
        <w:tcPr>
          <w:tcW w:w="1276" w:type="dxa"/>
          <w:tcBorders>
            <w:top w:val="single" w:sz="4" w:space="0" w:color="D9D9D9" w:themeColor="background1" w:themeShade="D9"/>
            <w:left w:val="single" w:sz="4" w:space="0" w:color="D9D9D9" w:themeColor="background1" w:themeShade="D9"/>
            <w:bottom w:val="nil"/>
            <w:right w:val="nil"/>
          </w:tcBorders>
        </w:tcPr>
        <w:p w14:paraId="1DADAC9C" w14:textId="77777777" w:rsidR="004410B5" w:rsidRPr="0007299C" w:rsidRDefault="004410B5" w:rsidP="0039103E">
          <w:pPr>
            <w:pStyle w:val="Kopfzeile"/>
            <w:rPr>
              <w:rFonts w:ascii="Arial" w:hAnsi="Arial" w:cs="Arial"/>
              <w:sz w:val="20"/>
              <w:szCs w:val="20"/>
            </w:rPr>
          </w:pPr>
        </w:p>
      </w:tc>
      <w:tc>
        <w:tcPr>
          <w:tcW w:w="1166" w:type="dxa"/>
          <w:tcBorders>
            <w:top w:val="single" w:sz="4" w:space="0" w:color="D9D9D9" w:themeColor="background1" w:themeShade="D9"/>
            <w:left w:val="nil"/>
            <w:bottom w:val="nil"/>
            <w:right w:val="single" w:sz="4" w:space="0" w:color="D9D9D9" w:themeColor="background1" w:themeShade="D9"/>
          </w:tcBorders>
        </w:tcPr>
        <w:p w14:paraId="2AC3B098" w14:textId="77777777" w:rsidR="004410B5" w:rsidRPr="0007299C" w:rsidRDefault="004410B5" w:rsidP="0039103E">
          <w:pPr>
            <w:pStyle w:val="Kopfzeile"/>
            <w:rPr>
              <w:rFonts w:ascii="Arial" w:hAnsi="Arial" w:cs="Arial"/>
              <w:sz w:val="20"/>
              <w:szCs w:val="20"/>
            </w:rPr>
          </w:pPr>
        </w:p>
      </w:tc>
    </w:tr>
    <w:tr w:rsidR="00D60644" w14:paraId="53FA363A"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1A3FE35F"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Name:</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20026424"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Datum:</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16C88E80"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Klasse:</w:t>
          </w:r>
        </w:p>
      </w:tc>
      <w:tc>
        <w:tcPr>
          <w:tcW w:w="127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270F7AAD" w14:textId="77777777" w:rsidR="0021676E" w:rsidRPr="00783868" w:rsidRDefault="0021676E" w:rsidP="00783868">
          <w:pPr>
            <w:pStyle w:val="Kopfzeile"/>
            <w:rPr>
              <w:rFonts w:ascii="Arial" w:hAnsi="Arial" w:cs="Arial"/>
              <w:sz w:val="15"/>
              <w:szCs w:val="15"/>
            </w:rPr>
          </w:pPr>
          <w:r w:rsidRPr="00783868">
            <w:rPr>
              <w:rFonts w:ascii="Arial" w:hAnsi="Arial" w:cs="Arial"/>
              <w:sz w:val="15"/>
              <w:szCs w:val="15"/>
            </w:rPr>
            <w:t>Blatt Nr.:</w:t>
          </w:r>
          <w:r w:rsidR="008C60E0" w:rsidRPr="00783868">
            <w:rPr>
              <w:rFonts w:ascii="Arial" w:hAnsi="Arial" w:cs="Arial"/>
              <w:sz w:val="15"/>
              <w:szCs w:val="15"/>
            </w:rPr>
            <w:t xml:space="preserve"> 0/</w:t>
          </w:r>
          <w:r w:rsidR="00287A53" w:rsidRPr="00783868">
            <w:rPr>
              <w:rFonts w:ascii="Arial" w:hAnsi="Arial" w:cs="Arial"/>
              <w:sz w:val="15"/>
              <w:szCs w:val="15"/>
            </w:rPr>
            <w:t>0</w:t>
          </w:r>
        </w:p>
      </w:tc>
      <w:tc>
        <w:tcPr>
          <w:tcW w:w="116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17E1FED7"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Lfd. Nr.:</w:t>
          </w:r>
        </w:p>
      </w:tc>
    </w:tr>
    <w:tr w:rsidR="00D60644" w14:paraId="74FA795F"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nil"/>
            <w:bottom w:val="nil"/>
            <w:right w:val="nil"/>
          </w:tcBorders>
        </w:tcPr>
        <w:p w14:paraId="40FF2AC8" w14:textId="77777777" w:rsidR="0021676E" w:rsidRDefault="0021676E" w:rsidP="0039103E">
          <w:pPr>
            <w:pStyle w:val="Kopfzeile"/>
            <w:rPr>
              <w:rFonts w:ascii="Arial" w:hAnsi="Arial" w:cs="Arial"/>
              <w:sz w:val="16"/>
              <w:szCs w:val="16"/>
            </w:rPr>
          </w:pPr>
        </w:p>
      </w:tc>
      <w:tc>
        <w:tcPr>
          <w:tcW w:w="1701" w:type="dxa"/>
          <w:tcBorders>
            <w:top w:val="single" w:sz="4" w:space="0" w:color="D9D9D9" w:themeColor="background1" w:themeShade="D9"/>
            <w:left w:val="nil"/>
            <w:bottom w:val="nil"/>
            <w:right w:val="nil"/>
          </w:tcBorders>
        </w:tcPr>
        <w:p w14:paraId="18192116" w14:textId="77777777" w:rsidR="0021676E" w:rsidRDefault="002A4DDA" w:rsidP="0039103E">
          <w:pPr>
            <w:pStyle w:val="Kopfzeile"/>
            <w:rPr>
              <w:rFonts w:ascii="Arial" w:hAnsi="Arial" w:cs="Arial"/>
              <w:sz w:val="16"/>
              <w:szCs w:val="16"/>
            </w:rPr>
          </w:pPr>
          <w:r>
            <w:rPr>
              <w:rFonts w:ascii="Arial" w:hAnsi="Arial" w:cs="Arial"/>
              <w:sz w:val="16"/>
              <w:szCs w:val="16"/>
            </w:rPr>
            <w:softHyphen/>
          </w:r>
          <w:r>
            <w:rPr>
              <w:rFonts w:ascii="Arial" w:hAnsi="Arial" w:cs="Arial"/>
              <w:sz w:val="16"/>
              <w:szCs w:val="16"/>
            </w:rPr>
            <w:softHyphen/>
          </w:r>
        </w:p>
      </w:tc>
      <w:tc>
        <w:tcPr>
          <w:tcW w:w="1701" w:type="dxa"/>
          <w:tcBorders>
            <w:top w:val="single" w:sz="4" w:space="0" w:color="D9D9D9" w:themeColor="background1" w:themeShade="D9"/>
            <w:left w:val="nil"/>
            <w:bottom w:val="nil"/>
            <w:right w:val="nil"/>
          </w:tcBorders>
        </w:tcPr>
        <w:p w14:paraId="17170816" w14:textId="77777777" w:rsidR="0021676E" w:rsidRDefault="0021676E" w:rsidP="0039103E">
          <w:pPr>
            <w:pStyle w:val="Kopfzeile"/>
            <w:rPr>
              <w:rFonts w:ascii="Arial" w:hAnsi="Arial" w:cs="Arial"/>
              <w:sz w:val="16"/>
              <w:szCs w:val="16"/>
            </w:rPr>
          </w:pPr>
        </w:p>
      </w:tc>
      <w:tc>
        <w:tcPr>
          <w:tcW w:w="1276" w:type="dxa"/>
          <w:tcBorders>
            <w:top w:val="single" w:sz="4" w:space="0" w:color="D9D9D9" w:themeColor="background1" w:themeShade="D9"/>
            <w:left w:val="nil"/>
            <w:bottom w:val="nil"/>
            <w:right w:val="nil"/>
          </w:tcBorders>
        </w:tcPr>
        <w:p w14:paraId="699DE538" w14:textId="77777777" w:rsidR="0021676E" w:rsidRDefault="0021676E" w:rsidP="0039103E">
          <w:pPr>
            <w:pStyle w:val="Kopfzeile"/>
            <w:rPr>
              <w:rFonts w:ascii="Arial" w:hAnsi="Arial" w:cs="Arial"/>
              <w:sz w:val="16"/>
              <w:szCs w:val="16"/>
            </w:rPr>
          </w:pPr>
        </w:p>
      </w:tc>
      <w:tc>
        <w:tcPr>
          <w:tcW w:w="1166" w:type="dxa"/>
          <w:tcBorders>
            <w:top w:val="single" w:sz="4" w:space="0" w:color="D9D9D9" w:themeColor="background1" w:themeShade="D9"/>
            <w:left w:val="nil"/>
            <w:bottom w:val="nil"/>
            <w:right w:val="nil"/>
          </w:tcBorders>
        </w:tcPr>
        <w:p w14:paraId="696F7C25" w14:textId="77777777" w:rsidR="0021676E" w:rsidRDefault="0021676E" w:rsidP="0039103E">
          <w:pPr>
            <w:pStyle w:val="Kopfzeile"/>
            <w:rPr>
              <w:rFonts w:ascii="Arial" w:hAnsi="Arial" w:cs="Arial"/>
              <w:sz w:val="16"/>
              <w:szCs w:val="16"/>
            </w:rPr>
          </w:pPr>
        </w:p>
      </w:tc>
    </w:tr>
  </w:tbl>
  <w:p w14:paraId="480F1ADC" w14:textId="77777777" w:rsidR="0039103E" w:rsidRPr="0039103E"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0C3"/>
    <w:multiLevelType w:val="hybridMultilevel"/>
    <w:tmpl w:val="7714A7E4"/>
    <w:lvl w:ilvl="0" w:tplc="1F80E644">
      <w:start w:val="15"/>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E4E7072"/>
    <w:multiLevelType w:val="hybridMultilevel"/>
    <w:tmpl w:val="626E761E"/>
    <w:lvl w:ilvl="0" w:tplc="BE9AC28E">
      <w:start w:val="1"/>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1D3B2999"/>
    <w:multiLevelType w:val="hybridMultilevel"/>
    <w:tmpl w:val="CD8E452C"/>
    <w:lvl w:ilvl="0" w:tplc="4BC2A14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1DF97FC9"/>
    <w:multiLevelType w:val="hybridMultilevel"/>
    <w:tmpl w:val="97761EDE"/>
    <w:lvl w:ilvl="0" w:tplc="FA88FE0C">
      <w:start w:val="6"/>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FD27411"/>
    <w:multiLevelType w:val="hybridMultilevel"/>
    <w:tmpl w:val="42066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0B677E8"/>
    <w:multiLevelType w:val="hybridMultilevel"/>
    <w:tmpl w:val="EA2C2A34"/>
    <w:lvl w:ilvl="0" w:tplc="774051EA">
      <w:start w:val="4"/>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3D81B90"/>
    <w:multiLevelType w:val="hybridMultilevel"/>
    <w:tmpl w:val="74C8B436"/>
    <w:lvl w:ilvl="0" w:tplc="4CBE6342">
      <w:start w:val="2"/>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368F44D5"/>
    <w:multiLevelType w:val="hybridMultilevel"/>
    <w:tmpl w:val="A4945776"/>
    <w:lvl w:ilvl="0" w:tplc="49C436D2">
      <w:start w:val="14"/>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3778401D"/>
    <w:multiLevelType w:val="hybridMultilevel"/>
    <w:tmpl w:val="ECF651AC"/>
    <w:lvl w:ilvl="0" w:tplc="E7E03C3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38875CCB"/>
    <w:multiLevelType w:val="hybridMultilevel"/>
    <w:tmpl w:val="634AAD4E"/>
    <w:lvl w:ilvl="0" w:tplc="D7C64848">
      <w:start w:val="7"/>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394D7D88"/>
    <w:multiLevelType w:val="hybridMultilevel"/>
    <w:tmpl w:val="859C3C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B375FD7"/>
    <w:multiLevelType w:val="hybridMultilevel"/>
    <w:tmpl w:val="07A6B3EC"/>
    <w:lvl w:ilvl="0" w:tplc="164A8C5C">
      <w:start w:val="11"/>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D2453FE"/>
    <w:multiLevelType w:val="hybridMultilevel"/>
    <w:tmpl w:val="98CAF5A0"/>
    <w:lvl w:ilvl="0" w:tplc="018832DC">
      <w:start w:val="1"/>
      <w:numFmt w:val="decimal"/>
      <w:lvlText w:val="%1."/>
      <w:lvlJc w:val="left"/>
      <w:pPr>
        <w:ind w:left="720" w:hanging="360"/>
      </w:pPr>
      <w:rPr>
        <w:rFonts w:asciiTheme="minorHAnsi" w:eastAsiaTheme="minorHAnsi" w:hAnsiTheme="minorHAnsi" w:cstheme="minorBid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14E193F"/>
    <w:multiLevelType w:val="hybridMultilevel"/>
    <w:tmpl w:val="D81E8074"/>
    <w:lvl w:ilvl="0" w:tplc="FC12F81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nsid w:val="42295C5F"/>
    <w:multiLevelType w:val="hybridMultilevel"/>
    <w:tmpl w:val="42BC7EF0"/>
    <w:lvl w:ilvl="0" w:tplc="BBF2DA74">
      <w:start w:val="5"/>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7CE727B"/>
    <w:multiLevelType w:val="hybridMultilevel"/>
    <w:tmpl w:val="857C75DE"/>
    <w:lvl w:ilvl="0" w:tplc="AC1C5B2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nsid w:val="4AA72673"/>
    <w:multiLevelType w:val="hybridMultilevel"/>
    <w:tmpl w:val="938CF0BE"/>
    <w:lvl w:ilvl="0" w:tplc="F5345DA2">
      <w:start w:val="3"/>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4BD4588C"/>
    <w:multiLevelType w:val="hybridMultilevel"/>
    <w:tmpl w:val="6BEA5B5C"/>
    <w:lvl w:ilvl="0" w:tplc="220EF46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4C924F9F"/>
    <w:multiLevelType w:val="hybridMultilevel"/>
    <w:tmpl w:val="6E2E57A0"/>
    <w:lvl w:ilvl="0" w:tplc="0B5C25B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9">
    <w:nsid w:val="4DB42F03"/>
    <w:multiLevelType w:val="hybridMultilevel"/>
    <w:tmpl w:val="07AA7F78"/>
    <w:lvl w:ilvl="0" w:tplc="E6669EA8">
      <w:start w:val="9"/>
      <w:numFmt w:val="bullet"/>
      <w:lvlText w:val="-"/>
      <w:lvlJc w:val="left"/>
      <w:pPr>
        <w:ind w:left="1080" w:hanging="360"/>
      </w:pPr>
      <w:rPr>
        <w:rFonts w:ascii="Arial" w:eastAsia="Times New Roman"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52472273"/>
    <w:multiLevelType w:val="hybridMultilevel"/>
    <w:tmpl w:val="11484BBA"/>
    <w:lvl w:ilvl="0" w:tplc="15687446">
      <w:start w:val="8"/>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552A05E1"/>
    <w:multiLevelType w:val="hybridMultilevel"/>
    <w:tmpl w:val="1668E24A"/>
    <w:lvl w:ilvl="0" w:tplc="0A301836">
      <w:start w:val="13"/>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5532360D"/>
    <w:multiLevelType w:val="hybridMultilevel"/>
    <w:tmpl w:val="DC183E92"/>
    <w:lvl w:ilvl="0" w:tplc="04070017">
      <w:start w:val="1"/>
      <w:numFmt w:val="lowerLetter"/>
      <w:lvlText w:val="%1)"/>
      <w:lvlJc w:val="left"/>
      <w:pPr>
        <w:ind w:left="3552" w:hanging="360"/>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abstractNum w:abstractNumId="23">
    <w:nsid w:val="55B13096"/>
    <w:multiLevelType w:val="hybridMultilevel"/>
    <w:tmpl w:val="06AE9C1E"/>
    <w:lvl w:ilvl="0" w:tplc="6620370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C1A0C54"/>
    <w:multiLevelType w:val="hybridMultilevel"/>
    <w:tmpl w:val="1E40CE9E"/>
    <w:lvl w:ilvl="0" w:tplc="0FA0F240">
      <w:numFmt w:val="bullet"/>
      <w:lvlText w:val="-"/>
      <w:lvlJc w:val="left"/>
      <w:pPr>
        <w:ind w:left="1080" w:hanging="360"/>
      </w:pPr>
      <w:rPr>
        <w:rFonts w:ascii="Arial" w:eastAsia="Times New Roman"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2DF43F7"/>
    <w:multiLevelType w:val="hybridMultilevel"/>
    <w:tmpl w:val="C798B61C"/>
    <w:lvl w:ilvl="0" w:tplc="28C2F01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E6218C"/>
    <w:multiLevelType w:val="hybridMultilevel"/>
    <w:tmpl w:val="B84AA8C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nsid w:val="6B991A9E"/>
    <w:multiLevelType w:val="hybridMultilevel"/>
    <w:tmpl w:val="E46479F6"/>
    <w:lvl w:ilvl="0" w:tplc="8104E782">
      <w:start w:val="12"/>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73491329"/>
    <w:multiLevelType w:val="hybridMultilevel"/>
    <w:tmpl w:val="FA3427BE"/>
    <w:lvl w:ilvl="0" w:tplc="04070017">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9">
    <w:nsid w:val="7463539E"/>
    <w:multiLevelType w:val="hybridMultilevel"/>
    <w:tmpl w:val="6EBC9168"/>
    <w:lvl w:ilvl="0" w:tplc="93023868">
      <w:start w:val="1"/>
      <w:numFmt w:val="lowerRoman"/>
      <w:lvlText w:val="%1)"/>
      <w:lvlJc w:val="left"/>
      <w:pPr>
        <w:tabs>
          <w:tab w:val="num" w:pos="1080"/>
        </w:tabs>
        <w:ind w:left="108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nsid w:val="74C21A5A"/>
    <w:multiLevelType w:val="hybridMultilevel"/>
    <w:tmpl w:val="88C6B10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5FA3902"/>
    <w:multiLevelType w:val="hybridMultilevel"/>
    <w:tmpl w:val="3C92FE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7984124E"/>
    <w:multiLevelType w:val="hybridMultilevel"/>
    <w:tmpl w:val="22185B52"/>
    <w:lvl w:ilvl="0" w:tplc="82D22170">
      <w:start w:val="10"/>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nsid w:val="7EC766DE"/>
    <w:multiLevelType w:val="hybridMultilevel"/>
    <w:tmpl w:val="E9ECB294"/>
    <w:lvl w:ilvl="0" w:tplc="8478966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4">
    <w:nsid w:val="7FF1165C"/>
    <w:multiLevelType w:val="hybridMultilevel"/>
    <w:tmpl w:val="FAF658C6"/>
    <w:lvl w:ilvl="0" w:tplc="EAD69B94">
      <w:start w:val="16"/>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4"/>
  </w:num>
  <w:num w:numId="2">
    <w:abstractNumId w:val="15"/>
  </w:num>
  <w:num w:numId="3">
    <w:abstractNumId w:val="8"/>
  </w:num>
  <w:num w:numId="4">
    <w:abstractNumId w:val="18"/>
  </w:num>
  <w:num w:numId="5">
    <w:abstractNumId w:val="22"/>
  </w:num>
  <w:num w:numId="6">
    <w:abstractNumId w:val="28"/>
  </w:num>
  <w:num w:numId="7">
    <w:abstractNumId w:val="26"/>
  </w:num>
  <w:num w:numId="8">
    <w:abstractNumId w:val="33"/>
  </w:num>
  <w:num w:numId="9">
    <w:abstractNumId w:val="12"/>
  </w:num>
  <w:num w:numId="10">
    <w:abstractNumId w:val="10"/>
  </w:num>
  <w:num w:numId="11">
    <w:abstractNumId w:val="34"/>
  </w:num>
  <w:num w:numId="12">
    <w:abstractNumId w:val="0"/>
  </w:num>
  <w:num w:numId="13">
    <w:abstractNumId w:val="7"/>
  </w:num>
  <w:num w:numId="14">
    <w:abstractNumId w:val="21"/>
  </w:num>
  <w:num w:numId="15">
    <w:abstractNumId w:val="27"/>
  </w:num>
  <w:num w:numId="16">
    <w:abstractNumId w:val="11"/>
  </w:num>
  <w:num w:numId="17">
    <w:abstractNumId w:val="32"/>
  </w:num>
  <w:num w:numId="18">
    <w:abstractNumId w:val="29"/>
  </w:num>
  <w:num w:numId="19">
    <w:abstractNumId w:val="20"/>
  </w:num>
  <w:num w:numId="20">
    <w:abstractNumId w:val="9"/>
  </w:num>
  <w:num w:numId="21">
    <w:abstractNumId w:val="3"/>
  </w:num>
  <w:num w:numId="22">
    <w:abstractNumId w:val="14"/>
  </w:num>
  <w:num w:numId="23">
    <w:abstractNumId w:val="5"/>
  </w:num>
  <w:num w:numId="24">
    <w:abstractNumId w:val="16"/>
  </w:num>
  <w:num w:numId="25">
    <w:abstractNumId w:val="6"/>
  </w:num>
  <w:num w:numId="26">
    <w:abstractNumId w:val="1"/>
  </w:num>
  <w:num w:numId="27">
    <w:abstractNumId w:val="19"/>
  </w:num>
  <w:num w:numId="28">
    <w:abstractNumId w:val="2"/>
  </w:num>
  <w:num w:numId="29">
    <w:abstractNumId w:val="30"/>
  </w:num>
  <w:num w:numId="30">
    <w:abstractNumId w:val="13"/>
  </w:num>
  <w:num w:numId="31">
    <w:abstractNumId w:val="17"/>
  </w:num>
  <w:num w:numId="32">
    <w:abstractNumId w:val="31"/>
  </w:num>
  <w:num w:numId="33">
    <w:abstractNumId w:val="24"/>
  </w:num>
  <w:num w:numId="34">
    <w:abstractNumId w:val="2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B1"/>
    <w:rsid w:val="00004904"/>
    <w:rsid w:val="0007299C"/>
    <w:rsid w:val="000927B5"/>
    <w:rsid w:val="000D1650"/>
    <w:rsid w:val="000F7505"/>
    <w:rsid w:val="00126AA9"/>
    <w:rsid w:val="00135C8C"/>
    <w:rsid w:val="00136E44"/>
    <w:rsid w:val="001562AF"/>
    <w:rsid w:val="0017028A"/>
    <w:rsid w:val="00191848"/>
    <w:rsid w:val="001A4D16"/>
    <w:rsid w:val="001F1F16"/>
    <w:rsid w:val="0021676E"/>
    <w:rsid w:val="0022163A"/>
    <w:rsid w:val="00242806"/>
    <w:rsid w:val="00287A53"/>
    <w:rsid w:val="00290DF9"/>
    <w:rsid w:val="00292CCB"/>
    <w:rsid w:val="002A336C"/>
    <w:rsid w:val="002A4DDA"/>
    <w:rsid w:val="002E213C"/>
    <w:rsid w:val="002F33AD"/>
    <w:rsid w:val="00337F18"/>
    <w:rsid w:val="00346705"/>
    <w:rsid w:val="003760C3"/>
    <w:rsid w:val="0039103E"/>
    <w:rsid w:val="003D6C8E"/>
    <w:rsid w:val="003E009F"/>
    <w:rsid w:val="00402052"/>
    <w:rsid w:val="00406642"/>
    <w:rsid w:val="00417990"/>
    <w:rsid w:val="004410B5"/>
    <w:rsid w:val="004470BA"/>
    <w:rsid w:val="004654FC"/>
    <w:rsid w:val="004773E9"/>
    <w:rsid w:val="00491A88"/>
    <w:rsid w:val="004B21BB"/>
    <w:rsid w:val="004F5DFC"/>
    <w:rsid w:val="005055B3"/>
    <w:rsid w:val="005143CD"/>
    <w:rsid w:val="00521D7D"/>
    <w:rsid w:val="00533DCA"/>
    <w:rsid w:val="00555E46"/>
    <w:rsid w:val="00565687"/>
    <w:rsid w:val="00567CE6"/>
    <w:rsid w:val="00574964"/>
    <w:rsid w:val="005754CC"/>
    <w:rsid w:val="00580CCD"/>
    <w:rsid w:val="00591FC0"/>
    <w:rsid w:val="00594DA8"/>
    <w:rsid w:val="005B43A8"/>
    <w:rsid w:val="005C287D"/>
    <w:rsid w:val="005C4E50"/>
    <w:rsid w:val="005D155E"/>
    <w:rsid w:val="00636170"/>
    <w:rsid w:val="00650DBD"/>
    <w:rsid w:val="0065296E"/>
    <w:rsid w:val="00662CCB"/>
    <w:rsid w:val="0068456F"/>
    <w:rsid w:val="00693A01"/>
    <w:rsid w:val="006A3245"/>
    <w:rsid w:val="006B68A9"/>
    <w:rsid w:val="006C0630"/>
    <w:rsid w:val="006C3051"/>
    <w:rsid w:val="006C36D4"/>
    <w:rsid w:val="006D628D"/>
    <w:rsid w:val="006F47AF"/>
    <w:rsid w:val="006F65BE"/>
    <w:rsid w:val="006F73D2"/>
    <w:rsid w:val="00724280"/>
    <w:rsid w:val="007310E8"/>
    <w:rsid w:val="007364D8"/>
    <w:rsid w:val="007727DA"/>
    <w:rsid w:val="00783868"/>
    <w:rsid w:val="007B563B"/>
    <w:rsid w:val="007C4BC1"/>
    <w:rsid w:val="007C56DA"/>
    <w:rsid w:val="007C5718"/>
    <w:rsid w:val="007D123D"/>
    <w:rsid w:val="007D3C1E"/>
    <w:rsid w:val="007D3E4D"/>
    <w:rsid w:val="007F080C"/>
    <w:rsid w:val="00801DBA"/>
    <w:rsid w:val="0081656E"/>
    <w:rsid w:val="008222EB"/>
    <w:rsid w:val="00834F1B"/>
    <w:rsid w:val="00835056"/>
    <w:rsid w:val="00842C28"/>
    <w:rsid w:val="008500B4"/>
    <w:rsid w:val="00850F78"/>
    <w:rsid w:val="0085247D"/>
    <w:rsid w:val="00870D2D"/>
    <w:rsid w:val="00874BD9"/>
    <w:rsid w:val="008A62ED"/>
    <w:rsid w:val="008B3966"/>
    <w:rsid w:val="008C60E0"/>
    <w:rsid w:val="008D086B"/>
    <w:rsid w:val="008D6074"/>
    <w:rsid w:val="008F495D"/>
    <w:rsid w:val="00905B15"/>
    <w:rsid w:val="0090693D"/>
    <w:rsid w:val="009259E3"/>
    <w:rsid w:val="00932662"/>
    <w:rsid w:val="00942238"/>
    <w:rsid w:val="00950178"/>
    <w:rsid w:val="00961B75"/>
    <w:rsid w:val="00964FB5"/>
    <w:rsid w:val="0097122B"/>
    <w:rsid w:val="00972A8B"/>
    <w:rsid w:val="00982214"/>
    <w:rsid w:val="009A1985"/>
    <w:rsid w:val="009C2F21"/>
    <w:rsid w:val="009C33AA"/>
    <w:rsid w:val="009E2EF2"/>
    <w:rsid w:val="009F0FE1"/>
    <w:rsid w:val="00A01965"/>
    <w:rsid w:val="00A16DE4"/>
    <w:rsid w:val="00A17372"/>
    <w:rsid w:val="00A548CC"/>
    <w:rsid w:val="00A87889"/>
    <w:rsid w:val="00A9520A"/>
    <w:rsid w:val="00A96CCD"/>
    <w:rsid w:val="00AB44B1"/>
    <w:rsid w:val="00AC07CA"/>
    <w:rsid w:val="00AD0A98"/>
    <w:rsid w:val="00AD0E1A"/>
    <w:rsid w:val="00B04B66"/>
    <w:rsid w:val="00B64289"/>
    <w:rsid w:val="00B802AF"/>
    <w:rsid w:val="00B945C2"/>
    <w:rsid w:val="00BA5403"/>
    <w:rsid w:val="00BC215B"/>
    <w:rsid w:val="00BD4B1B"/>
    <w:rsid w:val="00BD7390"/>
    <w:rsid w:val="00BE089D"/>
    <w:rsid w:val="00BF26EB"/>
    <w:rsid w:val="00C0170E"/>
    <w:rsid w:val="00C036A5"/>
    <w:rsid w:val="00C30020"/>
    <w:rsid w:val="00C3070D"/>
    <w:rsid w:val="00C3584C"/>
    <w:rsid w:val="00C41027"/>
    <w:rsid w:val="00C45B43"/>
    <w:rsid w:val="00C64C86"/>
    <w:rsid w:val="00C922E7"/>
    <w:rsid w:val="00C957AE"/>
    <w:rsid w:val="00CA3C61"/>
    <w:rsid w:val="00CC5B4B"/>
    <w:rsid w:val="00CC5BD8"/>
    <w:rsid w:val="00CC6EAF"/>
    <w:rsid w:val="00CE0D23"/>
    <w:rsid w:val="00CF2DDF"/>
    <w:rsid w:val="00CF765C"/>
    <w:rsid w:val="00D03923"/>
    <w:rsid w:val="00D41785"/>
    <w:rsid w:val="00D60644"/>
    <w:rsid w:val="00D63D50"/>
    <w:rsid w:val="00D70AAD"/>
    <w:rsid w:val="00D81292"/>
    <w:rsid w:val="00D812F8"/>
    <w:rsid w:val="00D96CA5"/>
    <w:rsid w:val="00DB55CB"/>
    <w:rsid w:val="00DD23F3"/>
    <w:rsid w:val="00DD3F16"/>
    <w:rsid w:val="00DE10EC"/>
    <w:rsid w:val="00DE1AE1"/>
    <w:rsid w:val="00DF4DCF"/>
    <w:rsid w:val="00E42F58"/>
    <w:rsid w:val="00E71397"/>
    <w:rsid w:val="00E833D7"/>
    <w:rsid w:val="00E930F2"/>
    <w:rsid w:val="00EB0639"/>
    <w:rsid w:val="00ED1C9A"/>
    <w:rsid w:val="00EE0546"/>
    <w:rsid w:val="00EE328E"/>
    <w:rsid w:val="00F07773"/>
    <w:rsid w:val="00F14966"/>
    <w:rsid w:val="00F20AEE"/>
    <w:rsid w:val="00F24EB0"/>
    <w:rsid w:val="00F412E3"/>
    <w:rsid w:val="00F42994"/>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5D7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406642"/>
    <w:pPr>
      <w:spacing w:after="0" w:line="240" w:lineRule="auto"/>
    </w:pPr>
  </w:style>
  <w:style w:type="paragraph" w:styleId="Listenabsatz">
    <w:name w:val="List Paragraph"/>
    <w:basedOn w:val="Standard"/>
    <w:uiPriority w:val="34"/>
    <w:qFormat/>
    <w:rsid w:val="0046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19640-1913-3C4C-9967-44CC005AB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5037</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Anita Wandelt</cp:lastModifiedBy>
  <cp:revision>5</cp:revision>
  <cp:lastPrinted>2016-05-24T13:36:00Z</cp:lastPrinted>
  <dcterms:created xsi:type="dcterms:W3CDTF">2016-05-31T15:05:00Z</dcterms:created>
  <dcterms:modified xsi:type="dcterms:W3CDTF">2020-02-18T20:20:00Z</dcterms:modified>
</cp:coreProperties>
</file>