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Agreements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agreements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Parties and roles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and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Commercial model</w:t>
            </w:r>
          </w:p>
        </w:tc>
        <w:tc>
          <w:tcPr>
            <w:tcW w:w="6960" w:type="dxa"/>
          </w:tcPr>
          <w:p>
            <w:r>
              <w:t xml:space="preserve">Predictive / Waterfall: Commercial model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mechanism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Compliance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Signatures or 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agreements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Parties and roles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and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Commercial model</w:t>
            </w:r>
          </w:p>
        </w:tc>
        <w:tc>
          <w:tcPr>
            <w:tcW w:w="6960" w:type="dxa"/>
          </w:tcPr>
          <w:p>
            <w:r>
              <w:t xml:space="preserve">Adaptive / Agile: Commercial model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mechanism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Compliance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Signatures or 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agreements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Parties and roles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and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Commercial model</w:t>
            </w:r>
          </w:p>
        </w:tc>
        <w:tc>
          <w:tcPr>
            <w:tcW w:w="6960" w:type="dxa"/>
          </w:tcPr>
          <w:p>
            <w:r>
              <w:t xml:space="preserve">Hybrid: Commercial model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mechanism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Compliance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Signatures or 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Agreements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