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Benefits Handoff Record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Common across approaches</w:t>
      </w:r>
    </w:p>
    <w:p>
      <w:r>
        <w:t xml:space="preserve">The benefits handoff record keeps the same decision purpose; formality, storage, ownership, and update cadence are tailored to the work.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Benefit ID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Current measure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and horizon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Benefit 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Data source</w:t>
            </w:r>
          </w:p>
        </w:tc>
        <w:tc>
          <w:tcPr>
            <w:tcW w:w="6960" w:type="dxa"/>
          </w:tcPr>
          <w:p>
            <w:r>
              <w:t xml:space="preserve">Customer Operations, accessibility obligation, and approved charter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Dependencies and risks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Review schedule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Handoff acceptance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Benefits Handoff Record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