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Closed Procurement — Filled Example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Shared fictional project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w="6960" w:type="dxa"/>
          </w:tcPr>
          <w:p>
            <w:r>
              <w:t xml:space="preserve">ServiceBridge Modernization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Organization</w:t>
            </w:r>
          </w:p>
        </w:tc>
        <w:tc>
          <w:tcPr>
            <w:tcW w:w="6960" w:type="dxa"/>
          </w:tcPr>
          <w:p>
            <w:r>
              <w:t xml:space="preserve">Northstar Public Services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Sponsor</w:t>
            </w:r>
          </w:p>
        </w:tc>
        <w:tc>
          <w:tcPr>
            <w:tcW w:w="6960" w:type="dxa"/>
          </w:tcPr>
          <w:p>
            <w:r>
              <w:t xml:space="preserve">Chief Customer Officer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Delivery model</w:t>
            </w:r>
          </w:p>
        </w:tc>
        <w:tc>
          <w:tcPr>
            <w:tcW w:w="6960" w:type="dxa"/>
          </w:tcPr>
          <w:p>
            <w:r>
              <w:t xml:space="preserve">Hybrid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Authorized budget</w:t>
            </w:r>
          </w:p>
        </w:tc>
        <w:tc>
          <w:tcPr>
            <w:tcW w:w="6960" w:type="dxa"/>
          </w:tcPr>
          <w:p>
            <w:r>
              <w:t xml:space="preserve">$2,400,000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Target transition</w:t>
            </w:r>
          </w:p>
        </w:tc>
        <w:tc>
          <w:tcPr>
            <w:tcW w:w="6960" w:type="dxa"/>
          </w:tcPr>
          <w:p>
            <w:r>
              <w:t xml:space="preserve">2027-11-19</w:t>
            </w:r>
          </w:p>
        </w:tc>
      </w:tr>
    </w:tbl>
    <w:p>
      <w:pPr>
        <w:pStyle w:val="Heading1"/>
      </w:pPr>
      <w:r>
        <w:t xml:space="preserve">Common across approaches</w:t>
      </w:r>
    </w:p>
    <w:p>
      <w:r>
        <w:t xml:space="preserve">The closed procurement keeps the same decision purpose; formality, storage, ownership, and update cadence are tailored to the work.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Agreement ID</w:t>
            </w:r>
          </w:p>
        </w:tc>
        <w:tc>
          <w:tcPr>
            <w:tcW w:w="6960" w:type="dxa"/>
          </w:tcPr>
          <w:p>
            <w:r>
              <w:t xml:space="preserve">Common across approaches: Agreement ID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Completion status</w:t>
            </w:r>
          </w:p>
        </w:tc>
        <w:tc>
          <w:tcPr>
            <w:tcW w:w="6960" w:type="dxa"/>
          </w:tcPr>
          <w:p>
            <w:r>
              <w:t xml:space="preserve">Active and controlled; current decision and next owner are recorded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Acceptance evidence</w:t>
            </w:r>
          </w:p>
        </w:tc>
        <w:tc>
          <w:tcPr>
            <w:tcW w:w="6960" w:type="dxa"/>
          </w:tcPr>
          <w:p>
            <w:r>
              <w:t xml:space="preserve">Acceptance requires REQ-001 through REQ-005 evidence and authorization by the designated service owner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Final payment</w:t>
            </w:r>
          </w:p>
        </w:tc>
        <w:tc>
          <w:tcPr>
            <w:tcW w:w="6960" w:type="dxa"/>
          </w:tcPr>
          <w:p>
            <w:r>
              <w:t xml:space="preserve">$2,400,000 approved; CR-001 increases authorized funding by $80,000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Claims and exceptions</w:t>
            </w:r>
          </w:p>
        </w:tc>
        <w:tc>
          <w:tcPr>
            <w:tcW w:w="6960" w:type="dxa"/>
          </w:tcPr>
          <w:p>
            <w:r>
              <w:t xml:space="preserve">Common across approaches: Claims and exceptions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Seller evaluation</w:t>
            </w:r>
          </w:p>
        </w:tc>
        <w:tc>
          <w:tcPr>
            <w:tcW w:w="6960" w:type="dxa"/>
          </w:tcPr>
          <w:p>
            <w:r>
              <w:t xml:space="preserve">Common across approaches: Seller evaluation is recorded for ServiceBridge with an owner, current evidence, and the next decision.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Records retained</w:t>
            </w:r>
          </w:p>
        </w:tc>
        <w:tc>
          <w:tcPr>
            <w:tcW w:w="6960" w:type="dxa"/>
          </w:tcPr>
          <w:p>
            <w:r>
              <w:t xml:space="preserve">Controlled evidence package links requirement, test, decision, version, and seven-year retention rule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Closure authority</w:t>
            </w:r>
          </w:p>
        </w:tc>
        <w:tc>
          <w:tcPr>
            <w:tcW w:w="6960" w:type="dxa"/>
          </w:tcPr>
          <w:p>
            <w:r>
              <w:t xml:space="preserve">Chief Customer Officer approves; specialized quality, procurement, compliance, and acceptance roles retain their decisions</w:t>
            </w:r>
          </w:p>
        </w:tc>
      </w:tr>
    </w:tbl>
    <w:p>
      <w:pPr>
        <w:pStyle w:val="Heading1"/>
      </w:pPr>
      <w:r>
        <w:t xml:space="preserve">Approach note</w:t>
      </w:r>
    </w:p>
    <w:p>
      <w:r>
        <w:t xml:space="preserve">Adaptive delivery still plans, documents, governs, verifies, accepts, and manages benefits. The form and cadence are tailored; no backlog, board, or framework-specific record is treated as universal.</w:t>
      </w:r>
    </w:p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Closed Procurement — Filled Example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