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Final Report — Filled Example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Shared fictional project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w="6960" w:type="dxa"/>
          </w:tcPr>
          <w:p>
            <w:r>
              <w:t xml:space="preserve">ServiceBridge Modernization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Organization</w:t>
            </w:r>
          </w:p>
        </w:tc>
        <w:tc>
          <w:tcPr>
            <w:tcW w:w="6960" w:type="dxa"/>
          </w:tcPr>
          <w:p>
            <w:r>
              <w:t xml:space="preserve">Northstar Public Services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Sponsor</w:t>
            </w:r>
          </w:p>
        </w:tc>
        <w:tc>
          <w:tcPr>
            <w:tcW w:w="6960" w:type="dxa"/>
          </w:tcPr>
          <w:p>
            <w:r>
              <w:t xml:space="preserve">Chief Customer Officer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Delivery model</w:t>
            </w:r>
          </w:p>
        </w:tc>
        <w:tc>
          <w:tcPr>
            <w:tcW w:w="6960" w:type="dxa"/>
          </w:tcPr>
          <w:p>
            <w:r>
              <w:t xml:space="preserve">Hybrid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Authorized budget</w:t>
            </w:r>
          </w:p>
        </w:tc>
        <w:tc>
          <w:tcPr>
            <w:tcW w:w="6960" w:type="dxa"/>
          </w:tcPr>
          <w:p>
            <w:r>
              <w:t xml:space="preserve">$2,400,000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Target transition</w:t>
            </w:r>
          </w:p>
        </w:tc>
        <w:tc>
          <w:tcPr>
            <w:tcW w:w="6960" w:type="dxa"/>
          </w:tcPr>
          <w:p>
            <w:r>
              <w:t xml:space="preserve">2027-11-19</w:t>
            </w:r>
          </w:p>
        </w:tc>
      </w:tr>
    </w:tbl>
    <w:p>
      <w:pPr>
        <w:pStyle w:val="Heading1"/>
      </w:pPr>
      <w:r>
        <w:t xml:space="preserve">Common across approaches</w:t>
      </w:r>
    </w:p>
    <w:p>
      <w:r>
        <w:t xml:space="preserve">The final report keeps the same decision purpose; formality, storage, ownership, and update cadence are tailored to the work.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Objectives and outcome</w:t>
            </w:r>
          </w:p>
        </w:tc>
        <w:tc>
          <w:tcPr>
            <w:tcW w:w="6960" w:type="dxa"/>
          </w:tcPr>
          <w:p>
            <w:r>
              <w:t xml:space="preserve">Replace the outdated customer-service and appointment platform while preserving accessible service and auditable records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Scope schedule and cost results</w:t>
            </w:r>
          </w:p>
        </w:tc>
        <w:tc>
          <w:tcPr>
            <w:tcW w:w="6960" w:type="dxa"/>
          </w:tcPr>
          <w:p>
            <w:r>
              <w:t xml:space="preserve">$2,400,000 approved; CR-001 increases authorized funding by $80,000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Quality and acceptance</w:t>
            </w:r>
          </w:p>
        </w:tc>
        <w:tc>
          <w:tcPr>
            <w:tcW w:w="6960" w:type="dxa"/>
          </w:tcPr>
          <w:p>
            <w:r>
              <w:t xml:space="preserve">Acceptance requires REQ-001 through REQ-005 evidence and authorization by the designated service owner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Risks issues and changes</w:t>
            </w:r>
          </w:p>
        </w:tc>
        <w:tc>
          <w:tcPr>
            <w:tcW w:w="6960" w:type="dxa"/>
          </w:tcPr>
          <w:p>
            <w:r>
              <w:t xml:space="preserve">RSK-001 — migrated-record quality may delay acceptance; mitigate with rehearsal and reconciliation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Lessons</w:t>
            </w:r>
          </w:p>
        </w:tc>
        <w:tc>
          <w:tcPr>
            <w:tcW w:w="6960" w:type="dxa"/>
          </w:tcPr>
          <w:p>
            <w:r>
              <w:t xml:space="preserve">Common across approaches: Lessons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Transition status</w:t>
            </w:r>
          </w:p>
        </w:tc>
        <w:tc>
          <w:tcPr>
            <w:tcW w:w="6960" w:type="dxa"/>
          </w:tcPr>
          <w:p>
            <w:r>
              <w:t xml:space="preserve">Active and controlled; current decision and next owner are recorded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Benefits handoff</w:t>
            </w:r>
          </w:p>
        </w:tc>
        <w:tc>
          <w:tcPr>
            <w:tcW w:w="6960" w:type="dxa"/>
          </w:tcPr>
          <w:p>
            <w:r>
              <w:t xml:space="preserve">Reduce median appointment-handling time by 30% within 12 months; operations dashboard is the data source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Recommendations</w:t>
            </w:r>
          </w:p>
        </w:tc>
        <w:tc>
          <w:tcPr>
            <w:tcW w:w="6960" w:type="dxa"/>
          </w:tcPr>
          <w:p>
            <w:r>
              <w:t xml:space="preserve">Select the governed path that best fits uncertainty while retaining accessibility, records, and acceptance obligations</w:t>
            </w:r>
          </w:p>
        </w:tc>
      </w:tr>
    </w:tbl>
    <w:p>
      <w:pPr>
        <w:pStyle w:val="Heading1"/>
      </w:pPr>
      <w:r>
        <w:t xml:space="preserve">Approach note</w:t>
      </w:r>
    </w:p>
    <w:p>
      <w:r>
        <w:t xml:space="preserve">Adaptive delivery still plans, documents, governs, verifies, accepts, and manages benefits. The form and cadence are tailored; no backlog, board, or framework-specific record is treated as universal.</w:t>
      </w:r>
    </w:p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Final Report — Filled Example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