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Formal Closure Record — Filled Example</w:t>
      </w:r>
    </w:p>
    <w:p>
      <w:pPr>
        <w:pStyle w:val="Subtitle"/>
      </w:pPr>
      <w:r>
        <w:t xml:space="preserve">Illustrative Atlas resource; adapt it to organizational governance. PMI does not prescribe this form.</w:t>
      </w:r>
    </w:p>
    <w:p>
      <w:pPr>
        <w:pStyle w:val="Heading1"/>
      </w:pPr>
      <w:r>
        <w:t xml:space="preserve">Shared fictional project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w="6960" w:type="dxa"/>
          </w:tcPr>
          <w:p>
            <w:r>
              <w:t xml:space="preserve">ServiceBridge Modernization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Organization</w:t>
            </w:r>
          </w:p>
        </w:tc>
        <w:tc>
          <w:tcPr>
            <w:tcW w:w="6960" w:type="dxa"/>
          </w:tcPr>
          <w:p>
            <w:r>
              <w:t xml:space="preserve">Northstar Public Services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Sponsor</w:t>
            </w:r>
          </w:p>
        </w:tc>
        <w:tc>
          <w:tcPr>
            <w:tcW w:w="6960" w:type="dxa"/>
          </w:tcPr>
          <w:p>
            <w:r>
              <w:t xml:space="preserve">Chief Customer Officer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Delivery model</w:t>
            </w:r>
          </w:p>
        </w:tc>
        <w:tc>
          <w:tcPr>
            <w:tcW w:w="6960" w:type="dxa"/>
          </w:tcPr>
          <w:p>
            <w:r>
              <w:t xml:space="preserve">Hybrid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Authorized budget</w:t>
            </w:r>
          </w:p>
        </w:tc>
        <w:tc>
          <w:tcPr>
            <w:tcW w:w="6960" w:type="dxa"/>
          </w:tcPr>
          <w:p>
            <w:r>
              <w:t xml:space="preserve">$2,400,000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Target transition</w:t>
            </w:r>
          </w:p>
        </w:tc>
        <w:tc>
          <w:tcPr>
            <w:tcW w:w="6960" w:type="dxa"/>
          </w:tcPr>
          <w:p>
            <w:r>
              <w:t xml:space="preserve">2027-11-19</w:t>
            </w:r>
          </w:p>
        </w:tc>
      </w:tr>
    </w:tbl>
    <w:p>
      <w:pPr>
        <w:pStyle w:val="Heading1"/>
      </w:pPr>
      <w:r>
        <w:t xml:space="preserve">Common across approaches</w:t>
      </w:r>
    </w:p>
    <w:p>
      <w:r>
        <w:t xml:space="preserve">The formal closure record keeps the same decision purpose; formality, storage, ownership, and update cadence are tailored to the work.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Closure scope</w:t>
            </w:r>
          </w:p>
        </w:tc>
        <w:tc>
          <w:tcPr>
            <w:tcW w:w="6960" w:type="dxa"/>
          </w:tcPr>
          <w:p>
            <w:r>
              <w:t xml:space="preserve">Replace the outdated customer-service and appointment platform while preserving accessible service and auditable records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Acceptance confirmed</w:t>
            </w:r>
          </w:p>
        </w:tc>
        <w:tc>
          <w:tcPr>
            <w:tcW w:w="6960" w:type="dxa"/>
          </w:tcPr>
          <w:p>
            <w:r>
              <w:t xml:space="preserve">Acceptance requires REQ-001 through REQ-005 evidence and authorization by the designated service owner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Procurements closed</w:t>
            </w:r>
          </w:p>
        </w:tc>
        <w:tc>
          <w:tcPr>
            <w:tcW w:w="6960" w:type="dxa"/>
          </w:tcPr>
          <w:p>
            <w:r>
              <w:t xml:space="preserve">2027-12-17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Records archived</w:t>
            </w:r>
          </w:p>
        </w:tc>
        <w:tc>
          <w:tcPr>
            <w:tcW w:w="6960" w:type="dxa"/>
          </w:tcPr>
          <w:p>
            <w:r>
              <w:t xml:space="preserve">Controlled evidence package links requirement, test, decision, version, and seven-year retention rule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Resources released</w:t>
            </w:r>
          </w:p>
        </w:tc>
        <w:tc>
          <w:tcPr>
            <w:tcW w:w="6960" w:type="dxa"/>
          </w:tcPr>
          <w:p>
            <w:r>
              <w:t xml:space="preserve">Customer Operations, accessibility obligation, and approved charter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Open obligations transferred</w:t>
            </w:r>
          </w:p>
        </w:tc>
        <w:tc>
          <w:tcPr>
            <w:tcW w:w="6960" w:type="dxa"/>
          </w:tcPr>
          <w:p>
            <w:r>
              <w:t xml:space="preserve">WCAG 2.2 AA, seven-year records retention, approved security controls, and contractual evidence obligations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Closure authority</w:t>
            </w:r>
          </w:p>
        </w:tc>
        <w:tc>
          <w:tcPr>
            <w:tcW w:w="6960" w:type="dxa"/>
          </w:tcPr>
          <w:p>
            <w:r>
              <w:t xml:space="preserve">Chief Customer Officer approves; specialized quality, procurement, compliance, and acceptance roles retain their decisions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Closure date</w:t>
            </w:r>
          </w:p>
        </w:tc>
        <w:tc>
          <w:tcPr>
            <w:tcW w:w="6960" w:type="dxa"/>
          </w:tcPr>
          <w:p>
            <w:r>
              <w:t xml:space="preserve">2027-12-17</w:t>
            </w:r>
          </w:p>
        </w:tc>
      </w:tr>
    </w:tbl>
    <w:p>
      <w:pPr>
        <w:pStyle w:val="Heading1"/>
      </w:pPr>
      <w:r>
        <w:t xml:space="preserve">Approach note</w:t>
      </w:r>
    </w:p>
    <w:p>
      <w:r>
        <w:t xml:space="preserve">Adaptive delivery still plans, documents, governs, verifies, accepts, and manages benefits. The form and cadence are tailored; no backlog, board, or framework-specific record is treated as universal.</w:t>
      </w:r>
    </w:p>
    <w:sectPr>
      <w:pgSz w:w="12240" w:h="15840"/>
      <w:pgMar w:top="1440" w:right="1440" w:bottom="1440" w:left="1440" w:header="720" w:footer="72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222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160"/>
    </w:pPr>
    <w:rPr>
      <w:b/>
      <w:color w:val="1F4E79"/>
      <w:sz w:val="36"/>
    </w:rPr>
  </w:style>
  <w:style w:type="paragraph" w:styleId="Subtitle">
    <w:name w:val="Subtitle"/>
    <w:basedOn w:val="Normal"/>
    <w:next w:val="Normal"/>
    <w:pPr>
      <w:spacing w:after="200"/>
    </w:pPr>
    <w:rPr>
      <w:i/>
      <w:color w:val="555555"/>
      <w:sz w:val="20"/>
    </w:rPr>
  </w:style>
  <w:style w:type="paragraph" w:styleId="Heading1">
    <w:name w:val="heading 1"/>
    <w:basedOn w:val="Normal"/>
    <w:next w:val="Normal"/>
    <w:qFormat/>
    <w:pPr>
      <w:keepNext/>
      <w:spacing w:before="240" w:after="100"/>
    </w:pPr>
    <w:rPr>
      <w:b/>
      <w:color w:val="2E74B5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Project Management Knowledge Atlas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Formal Closure Record — Filled Example</dc:title>
  <dc:creator>Project Management Knowledge Atlas</dc:creator>
  <cp:lastModifiedBy>Project Management Knowledge Atlas</cp:lastModifiedBy>
  <dcterms:created xsi:type="dcterms:W3CDTF">2026-07-30T12:00:00Z</dcterms:created>
  <dcterms:modified xsi:type="dcterms:W3CDTF">2026-07-30T12:00:00Z</dcterms:modified>
</cp:coreProperties>
</file>