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Procurement Statement of Work — Filled Example</w:t>
      </w:r>
    </w:p>
    <w:p>
      <w:pPr>
        <w:pStyle w:val="Subtitle"/>
      </w:pPr>
      <w:r>
        <w:t xml:space="preserve">Illustrative Atlas resource; adapt it to organizational governance. PMI does not prescribe this form.</w:t>
      </w:r>
    </w:p>
    <w:p>
      <w:pPr>
        <w:pStyle w:val="Heading1"/>
      </w:pPr>
      <w:r>
        <w:t xml:space="preserve">Shared fictional project</w:t>
      </w:r>
    </w:p>
    <w:tbl>
      <w:tblPr>
        <w:tblW w:w="9360" w:type="dxa"/>
        <w:tblInd w:w="120" w:type="dxa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00"/>
        <w:gridCol w:w="6960"/>
      </w:tblGrid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w="6960" w:type="dxa"/>
          </w:tcPr>
          <w:p>
            <w:r>
              <w:t xml:space="preserve">ServiceBridge Modernization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Organization</w:t>
            </w:r>
          </w:p>
        </w:tc>
        <w:tc>
          <w:tcPr>
            <w:tcW w:w="6960" w:type="dxa"/>
          </w:tcPr>
          <w:p>
            <w:r>
              <w:t xml:space="preserve">Northstar Public Services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Sponsor</w:t>
            </w:r>
          </w:p>
        </w:tc>
        <w:tc>
          <w:tcPr>
            <w:tcW w:w="6960" w:type="dxa"/>
          </w:tcPr>
          <w:p>
            <w:r>
              <w:t xml:space="preserve">Chief Customer Officer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Delivery model</w:t>
            </w:r>
          </w:p>
        </w:tc>
        <w:tc>
          <w:tcPr>
            <w:tcW w:w="6960" w:type="dxa"/>
          </w:tcPr>
          <w:p>
            <w:r>
              <w:t xml:space="preserve">Hybrid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Authorized budget</w:t>
            </w:r>
          </w:p>
        </w:tc>
        <w:tc>
          <w:tcPr>
            <w:tcW w:w="6960" w:type="dxa"/>
          </w:tcPr>
          <w:p>
            <w:r>
              <w:t xml:space="preserve">$2,400,000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Target transition</w:t>
            </w:r>
          </w:p>
        </w:tc>
        <w:tc>
          <w:tcPr>
            <w:tcW w:w="6960" w:type="dxa"/>
          </w:tcPr>
          <w:p>
            <w:r>
              <w:t xml:space="preserve">2027-11-19</w:t>
            </w:r>
          </w:p>
        </w:tc>
      </w:tr>
    </w:tbl>
    <w:p>
      <w:pPr>
        <w:pStyle w:val="Heading1"/>
      </w:pPr>
      <w:r>
        <w:t xml:space="preserve">Predictive / Waterfall</w:t>
      </w:r>
    </w:p>
    <w:p>
      <w:r>
        <w:t xml:space="preserve">The procurement statement of work supports an approved end-to-end plan, stage-gate review, and formal control of affected commitments.</w:t>
      </w:r>
    </w:p>
    <w:tbl>
      <w:tblPr>
        <w:tblW w:w="9360" w:type="dxa"/>
        <w:tblInd w:w="120" w:type="dxa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00"/>
        <w:gridCol w:w="6960"/>
      </w:tblGrid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Procured scope</w:t>
            </w:r>
          </w:p>
        </w:tc>
        <w:tc>
          <w:tcPr>
            <w:tcW w:w="6960" w:type="dxa"/>
          </w:tcPr>
          <w:p>
            <w:r>
              <w:t xml:space="preserve">Replace the outdated customer-service and appointment platform while preserving accessible service and auditable records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Specifications or outcomes</w:t>
            </w:r>
          </w:p>
        </w:tc>
        <w:tc>
          <w:tcPr>
            <w:tcW w:w="6960" w:type="dxa"/>
          </w:tcPr>
          <w:p>
            <w:r>
              <w:t xml:space="preserve">Replace the outdated customer-service and appointment platform while preserving accessible service and auditable records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Deliverables</w:t>
            </w:r>
          </w:p>
        </w:tc>
        <w:tc>
          <w:tcPr>
            <w:tcW w:w="6960" w:type="dxa"/>
          </w:tcPr>
          <w:p>
            <w:r>
              <w:t xml:space="preserve">DEL-003 Migrated customer records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Milestones</w:t>
            </w:r>
          </w:p>
        </w:tc>
        <w:tc>
          <w:tcPr>
            <w:tcW w:w="6960" w:type="dxa"/>
          </w:tcPr>
          <w:p>
            <w:r>
              <w:t xml:space="preserve">2026-09-15 through 2027-12-17; transition target 2027-11-19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Constraints</w:t>
            </w:r>
          </w:p>
        </w:tc>
        <w:tc>
          <w:tcPr>
            <w:tcW w:w="6960" w:type="dxa"/>
          </w:tcPr>
          <w:p>
            <w:r>
              <w:t xml:space="preserve">Seller integration capacity is available by 2027-02-01; procurement lead validates before build commitment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Quality and compliance</w:t>
            </w:r>
          </w:p>
        </w:tc>
        <w:tc>
          <w:tcPr>
            <w:tcW w:w="6960" w:type="dxa"/>
          </w:tcPr>
          <w:p>
            <w:r>
              <w:t xml:space="preserve">WCAG 2.2 AA, seven-year records retention, approved security controls, and contractual evidence obligations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Acceptance criteria</w:t>
            </w:r>
          </w:p>
        </w:tc>
        <w:tc>
          <w:tcPr>
            <w:tcW w:w="6960" w:type="dxa"/>
          </w:tcPr>
          <w:p>
            <w:r>
              <w:t xml:space="preserve">Acceptance requires REQ-001 through REQ-005 evidence and authorization by the designated service owner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Responsibilities</w:t>
            </w:r>
          </w:p>
        </w:tc>
        <w:tc>
          <w:tcPr>
            <w:tcW w:w="6960" w:type="dxa"/>
          </w:tcPr>
          <w:p>
            <w:r>
              <w:t xml:space="preserve">Service Modernization Program Manager coordinates; Director of Customer Operations owns post-transition benefits</w:t>
            </w:r>
          </w:p>
        </w:tc>
      </w:tr>
    </w:tbl>
    <w:p>
      <w:pPr>
        <w:pStyle w:val="Heading1"/>
      </w:pPr>
      <w:r>
        <w:t xml:space="preserve">Adaptive / Agile</w:t>
      </w:r>
    </w:p>
    <w:p>
      <w:r>
        <w:t xml:space="preserve">The procurement statement of work is maintained close to the work, refined from feedback, and reviewed at iteration or release cadence without removing governance.</w:t>
      </w:r>
    </w:p>
    <w:tbl>
      <w:tblPr>
        <w:tblW w:w="9360" w:type="dxa"/>
        <w:tblInd w:w="120" w:type="dxa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00"/>
        <w:gridCol w:w="6960"/>
      </w:tblGrid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Procured scope</w:t>
            </w:r>
          </w:p>
        </w:tc>
        <w:tc>
          <w:tcPr>
            <w:tcW w:w="6960" w:type="dxa"/>
          </w:tcPr>
          <w:p>
            <w:r>
              <w:t xml:space="preserve">Replace the outdated customer-service and appointment platform while preserving accessible service and auditable records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Specifications or outcomes</w:t>
            </w:r>
          </w:p>
        </w:tc>
        <w:tc>
          <w:tcPr>
            <w:tcW w:w="6960" w:type="dxa"/>
          </w:tcPr>
          <w:p>
            <w:r>
              <w:t xml:space="preserve">Replace the outdated customer-service and appointment platform while preserving accessible service and auditable records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Deliverables</w:t>
            </w:r>
          </w:p>
        </w:tc>
        <w:tc>
          <w:tcPr>
            <w:tcW w:w="6960" w:type="dxa"/>
          </w:tcPr>
          <w:p>
            <w:r>
              <w:t xml:space="preserve">DEL-003 Migrated customer records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Milestones</w:t>
            </w:r>
          </w:p>
        </w:tc>
        <w:tc>
          <w:tcPr>
            <w:tcW w:w="6960" w:type="dxa"/>
          </w:tcPr>
          <w:p>
            <w:r>
              <w:t xml:space="preserve">2026-09-15 through 2027-12-17; transition target 2027-11-19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Constraints</w:t>
            </w:r>
          </w:p>
        </w:tc>
        <w:tc>
          <w:tcPr>
            <w:tcW w:w="6960" w:type="dxa"/>
          </w:tcPr>
          <w:p>
            <w:r>
              <w:t xml:space="preserve">Seller integration capacity is available by 2027-02-01; procurement lead validates before build commitment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Quality and compliance</w:t>
            </w:r>
          </w:p>
        </w:tc>
        <w:tc>
          <w:tcPr>
            <w:tcW w:w="6960" w:type="dxa"/>
          </w:tcPr>
          <w:p>
            <w:r>
              <w:t xml:space="preserve">WCAG 2.2 AA, seven-year records retention, approved security controls, and contractual evidence obligations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Acceptance criteria</w:t>
            </w:r>
          </w:p>
        </w:tc>
        <w:tc>
          <w:tcPr>
            <w:tcW w:w="6960" w:type="dxa"/>
          </w:tcPr>
          <w:p>
            <w:r>
              <w:t xml:space="preserve">Acceptance requires REQ-001 through REQ-005 evidence and authorization by the designated service owner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Responsibilities</w:t>
            </w:r>
          </w:p>
        </w:tc>
        <w:tc>
          <w:tcPr>
            <w:tcW w:w="6960" w:type="dxa"/>
          </w:tcPr>
          <w:p>
            <w:r>
              <w:t xml:space="preserve">Service Modernization Program Manager coordinates; Director of Customer Operations owns post-transition benefits</w:t>
            </w:r>
          </w:p>
        </w:tc>
      </w:tr>
    </w:tbl>
    <w:p>
      <w:pPr>
        <w:pStyle w:val="Heading1"/>
      </w:pPr>
      <w:r>
        <w:t xml:space="preserve">Hybrid</w:t>
      </w:r>
    </w:p>
    <w:p>
      <w:r>
        <w:t xml:space="preserve">The procurement statement of work connects baselined infrastructure and procurement commitments with incrementally refined software delivery.</w:t>
      </w:r>
    </w:p>
    <w:tbl>
      <w:tblPr>
        <w:tblW w:w="9360" w:type="dxa"/>
        <w:tblInd w:w="120" w:type="dxa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00"/>
        <w:gridCol w:w="6960"/>
      </w:tblGrid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Procured scope</w:t>
            </w:r>
          </w:p>
        </w:tc>
        <w:tc>
          <w:tcPr>
            <w:tcW w:w="6960" w:type="dxa"/>
          </w:tcPr>
          <w:p>
            <w:r>
              <w:t xml:space="preserve">Replace the outdated customer-service and appointment platform while preserving accessible service and auditable records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Specifications or outcomes</w:t>
            </w:r>
          </w:p>
        </w:tc>
        <w:tc>
          <w:tcPr>
            <w:tcW w:w="6960" w:type="dxa"/>
          </w:tcPr>
          <w:p>
            <w:r>
              <w:t xml:space="preserve">Replace the outdated customer-service and appointment platform while preserving accessible service and auditable records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Deliverables</w:t>
            </w:r>
          </w:p>
        </w:tc>
        <w:tc>
          <w:tcPr>
            <w:tcW w:w="6960" w:type="dxa"/>
          </w:tcPr>
          <w:p>
            <w:r>
              <w:t xml:space="preserve">DEL-003 Migrated customer records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Milestones</w:t>
            </w:r>
          </w:p>
        </w:tc>
        <w:tc>
          <w:tcPr>
            <w:tcW w:w="6960" w:type="dxa"/>
          </w:tcPr>
          <w:p>
            <w:r>
              <w:t xml:space="preserve">2026-09-15 through 2027-12-17; transition target 2027-11-19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Constraints</w:t>
            </w:r>
          </w:p>
        </w:tc>
        <w:tc>
          <w:tcPr>
            <w:tcW w:w="6960" w:type="dxa"/>
          </w:tcPr>
          <w:p>
            <w:r>
              <w:t xml:space="preserve">Seller integration capacity is available by 2027-02-01; procurement lead validates before build commitment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Quality and compliance</w:t>
            </w:r>
          </w:p>
        </w:tc>
        <w:tc>
          <w:tcPr>
            <w:tcW w:w="6960" w:type="dxa"/>
          </w:tcPr>
          <w:p>
            <w:r>
              <w:t xml:space="preserve">WCAG 2.2 AA, seven-year records retention, approved security controls, and contractual evidence obligations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Acceptance criteria</w:t>
            </w:r>
          </w:p>
        </w:tc>
        <w:tc>
          <w:tcPr>
            <w:tcW w:w="6960" w:type="dxa"/>
          </w:tcPr>
          <w:p>
            <w:r>
              <w:t xml:space="preserve">Acceptance requires REQ-001 through REQ-005 evidence and authorization by the designated service owner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Responsibilities</w:t>
            </w:r>
          </w:p>
        </w:tc>
        <w:tc>
          <w:tcPr>
            <w:tcW w:w="6960" w:type="dxa"/>
          </w:tcPr>
          <w:p>
            <w:r>
              <w:t xml:space="preserve">Service Modernization Program Manager coordinates; Director of Customer Operations owns post-transition benefits</w:t>
            </w:r>
          </w:p>
        </w:tc>
      </w:tr>
    </w:tbl>
    <w:p>
      <w:pPr>
        <w:pStyle w:val="Heading1"/>
      </w:pPr>
      <w:r>
        <w:t xml:space="preserve">Approach note</w:t>
      </w:r>
    </w:p>
    <w:p>
      <w:r>
        <w:t xml:space="preserve">Adaptive delivery still plans, documents, governs, verifies, accepts, and manages benefits. The form and cadence are tailored; no backlog, board, or framework-specific record is treated as universal.</w:t>
      </w:r>
    </w:p>
    <w:sectPr>
      <w:pgSz w:w="12240" w:h="15840"/>
      <w:pgMar w:top="1440" w:right="1440" w:bottom="1440" w:left="1440" w:header="720" w:footer="72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222222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next w:val="Normal"/>
    <w:pPr>
      <w:spacing w:after="160"/>
    </w:pPr>
    <w:rPr>
      <w:b/>
      <w:color w:val="1F4E79"/>
      <w:sz w:val="36"/>
    </w:rPr>
  </w:style>
  <w:style w:type="paragraph" w:styleId="Subtitle">
    <w:name w:val="Subtitle"/>
    <w:basedOn w:val="Normal"/>
    <w:next w:val="Normal"/>
    <w:pPr>
      <w:spacing w:after="200"/>
    </w:pPr>
    <w:rPr>
      <w:i/>
      <w:color w:val="555555"/>
      <w:sz w:val="20"/>
    </w:rPr>
  </w:style>
  <w:style w:type="paragraph" w:styleId="Heading1">
    <w:name w:val="heading 1"/>
    <w:basedOn w:val="Normal"/>
    <w:next w:val="Normal"/>
    <w:qFormat/>
    <w:pPr>
      <w:keepNext/>
      <w:spacing w:before="240" w:after="100"/>
    </w:pPr>
    <w:rPr>
      <w:b/>
      <w:color w:val="2E74B5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Project Management Knowledge Atlas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Procurement Statement of Work — Filled Example</dc:title>
  <dc:creator>Project Management Knowledge Atlas</dc:creator>
  <cp:lastModifiedBy>Project Management Knowledge Atlas</cp:lastModifiedBy>
  <dcterms:created xsi:type="dcterms:W3CDTF">2026-07-30T12:00:00Z</dcterms:created>
  <dcterms:modified xsi:type="dcterms:W3CDTF">2026-07-30T12:00:00Z</dcterms:modified>
</cp:coreProperties>
</file>