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Quality Management Plan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Predictive / Waterfall</w:t>
      </w:r>
    </w:p>
    <w:p>
      <w:r>
        <w:t xml:space="preserve">The quality management plan supports an approved end-to-end plan, stage-gate review, and formal control of affected commitments.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objectives</w:t>
            </w:r>
          </w:p>
        </w:tc>
        <w:tc>
          <w:tcPr>
            <w:tcW w:w="6960" w:type="dxa"/>
          </w:tcPr>
          <w:p>
            <w:r>
              <w:t xml:space="preserve">REQ-001 accessibility audit and REQ-003 migration reconciliation must pass before acceptance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Standards and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Assurance activities</w:t>
            </w:r>
          </w:p>
        </w:tc>
        <w:tc>
          <w:tcPr>
            <w:tcW w:w="6960" w:type="dxa"/>
          </w:tcPr>
          <w:p>
            <w:r>
              <w:t xml:space="preserve">Independent accessibility review, migration-control audit, and evidence review before release or gate approval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Control activities</w:t>
            </w:r>
          </w:p>
        </w:tc>
        <w:tc>
          <w:tcPr>
            <w:tcW w:w="6960" w:type="dxa"/>
          </w:tcPr>
          <w:p>
            <w:r>
              <w:t xml:space="preserve">Automated regression checks, migration reconciliation, defect triage, and authorized retest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Metrics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and escalation</w:t>
            </w:r>
          </w:p>
        </w:tc>
        <w:tc>
          <w:tcPr>
            <w:tcW w:w="6960" w:type="dxa"/>
          </w:tcPr>
          <w:p>
            <w:r>
              <w:t xml:space="preserve">Monthly and at stage gates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Adaptive / Agile</w:t>
      </w:r>
    </w:p>
    <w:p>
      <w:r>
        <w:t xml:space="preserve">The quality management plan is maintained close to the work, refined from feedback, and reviewed at iteration or release cadence without removing governance.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objectives</w:t>
            </w:r>
          </w:p>
        </w:tc>
        <w:tc>
          <w:tcPr>
            <w:tcW w:w="6960" w:type="dxa"/>
          </w:tcPr>
          <w:p>
            <w:r>
              <w:t xml:space="preserve">REQ-001 accessibility audit and REQ-003 migration reconciliation must pass before acceptance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Standards and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Assurance activities</w:t>
            </w:r>
          </w:p>
        </w:tc>
        <w:tc>
          <w:tcPr>
            <w:tcW w:w="6960" w:type="dxa"/>
          </w:tcPr>
          <w:p>
            <w:r>
              <w:t xml:space="preserve">Independent accessibility review, migration-control audit, and evidence review before release or gate approval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Control activities</w:t>
            </w:r>
          </w:p>
        </w:tc>
        <w:tc>
          <w:tcPr>
            <w:tcW w:w="6960" w:type="dxa"/>
          </w:tcPr>
          <w:p>
            <w:r>
              <w:t xml:space="preserve">Automated regression checks, migration reconciliation, defect triage, and authorized retest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Metrics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and escalation</w:t>
            </w:r>
          </w:p>
        </w:tc>
        <w:tc>
          <w:tcPr>
            <w:tcW w:w="6960" w:type="dxa"/>
          </w:tcPr>
          <w:p>
            <w:r>
              <w:t xml:space="preserve">Each two-week iteration and release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Hybrid</w:t>
      </w:r>
    </w:p>
    <w:p>
      <w:r>
        <w:t xml:space="preserve">The quality management plan connects baselined infrastructure and procurement commitments with incrementally refined software delivery.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Quality objectives</w:t>
            </w:r>
          </w:p>
        </w:tc>
        <w:tc>
          <w:tcPr>
            <w:tcW w:w="6960" w:type="dxa"/>
          </w:tcPr>
          <w:p>
            <w:r>
              <w:t xml:space="preserve">REQ-001 accessibility audit and REQ-003 migration reconciliation must pass before acceptance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Standards and obligations</w:t>
            </w:r>
          </w:p>
        </w:tc>
        <w:tc>
          <w:tcPr>
            <w:tcW w:w="6960" w:type="dxa"/>
          </w:tcPr>
          <w:p>
            <w:r>
              <w:t xml:space="preserve">WCAG 2.2 AA, seven-year records retention, approved security controls, and contractual evidence obligations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</w:t>
            </w:r>
          </w:p>
        </w:tc>
        <w:tc>
          <w:tcPr>
            <w:tcW w:w="6960" w:type="dxa"/>
          </w:tcPr>
          <w:p>
            <w:r>
              <w:t xml:space="preserve">Service Modernization Program Manager coordinates; Director of Customer Operations owns post-transition benefits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Assurance activities</w:t>
            </w:r>
          </w:p>
        </w:tc>
        <w:tc>
          <w:tcPr>
            <w:tcW w:w="6960" w:type="dxa"/>
          </w:tcPr>
          <w:p>
            <w:r>
              <w:t xml:space="preserve">Independent accessibility review, migration-control audit, and evidence review before release or gate approval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Control activities</w:t>
            </w:r>
          </w:p>
        </w:tc>
        <w:tc>
          <w:tcPr>
            <w:tcW w:w="6960" w:type="dxa"/>
          </w:tcPr>
          <w:p>
            <w:r>
              <w:t xml:space="preserve">Automated regression checks, migration reconciliation, defect triage, and authorized retest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Metrics</w:t>
            </w:r>
          </w:p>
        </w:tc>
        <w:tc>
          <w:tcPr>
            <w:tcW w:w="6960" w:type="dxa"/>
          </w:tcPr>
          <w:p>
            <w:r>
              <w:t xml:space="preserve">Reduce median appointment-handling time by 30% within 12 months; operations dashboard is the data source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Reporting and escalation</w:t>
            </w:r>
          </w:p>
        </w:tc>
        <w:tc>
          <w:tcPr>
            <w:tcW w:w="6960" w:type="dxa"/>
          </w:tcPr>
          <w:p>
            <w:r>
              <w:t xml:space="preserve">Iteration review plus monthly integrated governance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Quality Management Plan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