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Quality Reports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Common across approaches</w:t>
      </w:r>
    </w:p>
    <w:p>
      <w:r>
        <w:t xml:space="preserve">The quality reports keeps the same decision purpose; formality, storage, ownership, and update cadence are tailored to the work.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period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Metrics and trends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Defects</w:t>
            </w:r>
          </w:p>
        </w:tc>
        <w:tc>
          <w:tcPr>
            <w:tcW w:w="6960" w:type="dxa"/>
          </w:tcPr>
          <w:p>
            <w:r>
              <w:t xml:space="preserve">Common across approaches: Defects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Audit findings</w:t>
            </w:r>
          </w:p>
        </w:tc>
        <w:tc>
          <w:tcPr>
            <w:tcW w:w="6960" w:type="dxa"/>
          </w:tcPr>
          <w:p>
            <w:r>
              <w:t xml:space="preserve">Independent accessibility review, migration-control audit, and evidence review before release or gate approval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Root causes</w:t>
            </w:r>
          </w:p>
        </w:tc>
        <w:tc>
          <w:tcPr>
            <w:tcW w:w="6960" w:type="dxa"/>
          </w:tcPr>
          <w:p>
            <w:r>
              <w:t xml:space="preserve">Common across approaches: Root causes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Recommendations</w:t>
            </w:r>
          </w:p>
        </w:tc>
        <w:tc>
          <w:tcPr>
            <w:tcW w:w="6960" w:type="dxa"/>
          </w:tcPr>
          <w:p>
            <w:r>
              <w:t xml:space="preserve">Select the governed path that best fits uncertainty while retaining accessibility, records, and acceptance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Actions and owners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Decisions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Quality Reports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