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Quality Reports — Blank Template</w:t>
      </w:r>
    </w:p>
    <w:p>
      <w:pPr>
        <w:pStyle w:val="Subtitle"/>
      </w:pPr>
      <w:r>
        <w:t xml:space="preserve">Illustrative Atlas resource; adapt it to organizational governance. PMI does not prescribe this form.</w:t>
      </w:r>
    </w:p>
    <w:p>
      <w:pPr>
        <w:pStyle w:val="Heading1"/>
      </w:pPr>
      <w:r>
        <w:t xml:space="preserve">Instructions</w:t>
      </w:r>
    </w:p>
    <w:p>
      <w:r>
        <w:t xml:space="preserve">Replace each instruction with project-specific information. Identify the owner, decision authority, evidence, and update cadence wherever they matter.</w:t>
      </w:r>
    </w:p>
    <w:p>
      <w:pPr>
        <w:pStyle w:val="Heading1"/>
      </w:pPr>
      <w:r>
        <w:t xml:space="preserve">Template</w:t>
      </w:r>
    </w:p>
    <w:tbl>
      <w:tblPr>
        <w:tblW w:w="9360" w:type="dxa"/>
        <w:tblInd w:w="120" w:type="dxa"/>
        <w:tblBorders>
          <w:top w:val="single" w:sz="4" w:color="D9E2F3"/>
          <w:left w:val="single" w:sz="4" w:color="D9E2F3"/>
          <w:bottom w:val="single" w:sz="4" w:color="D9E2F3"/>
          <w:right w:val="single" w:sz="4" w:color="D9E2F3"/>
          <w:insideH w:val="single" w:sz="4" w:color="D9E2F3"/>
          <w:insideV w:val="single" w:sz="4" w:color="D9E2F3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400"/>
        <w:gridCol w:w="6960"/>
      </w:tblGrid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Reporting period</w:t>
            </w:r>
          </w:p>
        </w:tc>
        <w:tc>
          <w:tcPr>
            <w:tcW w:w="6960" w:type="dxa"/>
          </w:tcPr>
          <w:p>
            <w:r>
              <w:t xml:space="preserve">Enter reporting period.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Metrics and trends</w:t>
            </w:r>
          </w:p>
        </w:tc>
        <w:tc>
          <w:tcPr>
            <w:tcW w:w="6960" w:type="dxa"/>
          </w:tcPr>
          <w:p>
            <w:r>
              <w:t xml:space="preserve">Enter metrics and trends.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Defects</w:t>
            </w:r>
          </w:p>
        </w:tc>
        <w:tc>
          <w:tcPr>
            <w:tcW w:w="6960" w:type="dxa"/>
          </w:tcPr>
          <w:p>
            <w:r>
              <w:t xml:space="preserve">Enter defects.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Audit findings</w:t>
            </w:r>
          </w:p>
        </w:tc>
        <w:tc>
          <w:tcPr>
            <w:tcW w:w="6960" w:type="dxa"/>
          </w:tcPr>
          <w:p>
            <w:r>
              <w:t xml:space="preserve">Enter audit findings.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Root causes</w:t>
            </w:r>
          </w:p>
        </w:tc>
        <w:tc>
          <w:tcPr>
            <w:tcW w:w="6960" w:type="dxa"/>
          </w:tcPr>
          <w:p>
            <w:r>
              <w:t xml:space="preserve">Enter root causes.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Recommendations</w:t>
            </w:r>
          </w:p>
        </w:tc>
        <w:tc>
          <w:tcPr>
            <w:tcW w:w="6960" w:type="dxa"/>
          </w:tcPr>
          <w:p>
            <w:r>
              <w:t xml:space="preserve">Enter recommendations.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Actions and owners</w:t>
            </w:r>
          </w:p>
        </w:tc>
        <w:tc>
          <w:tcPr>
            <w:tcW w:w="6960" w:type="dxa"/>
          </w:tcPr>
          <w:p>
            <w:r>
              <w:t xml:space="preserve">Enter actions and owners.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Decisions</w:t>
            </w:r>
          </w:p>
        </w:tc>
        <w:tc>
          <w:tcPr>
            <w:tcW w:w="6960" w:type="dxa"/>
          </w:tcPr>
          <w:p>
            <w:r>
              <w:t xml:space="preserve">Enter decisions.</w:t>
            </w:r>
          </w:p>
        </w:tc>
      </w:tr>
    </w:tbl>
    <w:sectPr>
      <w:pgSz w:w="12240" w:h="15840"/>
      <w:pgMar w:top="1440" w:right="1440" w:bottom="1440" w:left="1440" w:header="720" w:footer="720"/>
      <w:cols w:space="7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color w:val="222222"/>
      </w:rPr>
    </w:rPrDefault>
    <w:pPrDefault>
      <w:pPr>
        <w:spacing w:after="120" w:line="264" w:lineRule="auto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next w:val="Normal"/>
    <w:pPr>
      <w:spacing w:after="160"/>
    </w:pPr>
    <w:rPr>
      <w:b/>
      <w:color w:val="1F4E79"/>
      <w:sz w:val="36"/>
    </w:rPr>
  </w:style>
  <w:style w:type="paragraph" w:styleId="Subtitle">
    <w:name w:val="Subtitle"/>
    <w:basedOn w:val="Normal"/>
    <w:next w:val="Normal"/>
    <w:pPr>
      <w:spacing w:after="200"/>
    </w:pPr>
    <w:rPr>
      <w:i/>
      <w:color w:val="555555"/>
      <w:sz w:val="20"/>
    </w:rPr>
  </w:style>
  <w:style w:type="paragraph" w:styleId="Heading1">
    <w:name w:val="heading 1"/>
    <w:basedOn w:val="Normal"/>
    <w:next w:val="Normal"/>
    <w:qFormat/>
    <w:pPr>
      <w:keepNext/>
      <w:spacing w:before="240" w:after="100"/>
    </w:pPr>
    <w:rPr>
      <w:b/>
      <w:color w:val="2E74B5"/>
      <w:sz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Project Management Knowledge Atlas</Application>
  <AppVersion>1.0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Quality Reports — Blank Template</dc:title>
  <dc:creator>Project Management Knowledge Atlas</dc:creator>
  <cp:lastModifiedBy>Project Management Knowledge Atlas</cp:lastModifiedBy>
  <dcterms:created xsi:type="dcterms:W3CDTF">2026-07-30T12:00:00Z</dcterms:created>
  <dcterms:modified xsi:type="dcterms:W3CDTF">2026-07-30T12:00:00Z</dcterms:modified>
</cp:coreProperties>
</file>