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Risk Report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Common across approaches</w:t>
      </w:r>
    </w:p>
    <w:p>
      <w:r>
        <w:t xml:space="preserve">The risk report keeps the same decision purpose; formality, storage, ownership, and update cadence are tailored to the work.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date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Overall exposure</w:t>
            </w:r>
          </w:p>
        </w:tc>
        <w:tc>
          <w:tcPr>
            <w:tcW w:w="6960" w:type="dxa"/>
          </w:tcPr>
          <w:p>
            <w:r>
              <w:t xml:space="preserve">Common across approaches: Overall exposure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Top risks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Trend</w:t>
            </w:r>
          </w:p>
        </w:tc>
        <w:tc>
          <w:tcPr>
            <w:tcW w:w="6960" w:type="dxa"/>
          </w:tcPr>
          <w:p>
            <w:r>
              <w:t xml:space="preserve">Forecast remains within the CR-001 revised authorization; migration quality is the leading acceptance risk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Response effectiveness</w:t>
            </w:r>
          </w:p>
        </w:tc>
        <w:tc>
          <w:tcPr>
            <w:tcW w:w="6960" w:type="dxa"/>
          </w:tcPr>
          <w:p>
            <w:r>
              <w:t xml:space="preserve">Common across approaches: Response effectiveness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Emerging exposure</w:t>
            </w:r>
          </w:p>
        </w:tc>
        <w:tc>
          <w:tcPr>
            <w:tcW w:w="6960" w:type="dxa"/>
          </w:tcPr>
          <w:p>
            <w:r>
              <w:t xml:space="preserve">Common across approaches: Emerging exposure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Forecast implication</w:t>
            </w:r>
          </w:p>
        </w:tc>
        <w:tc>
          <w:tcPr>
            <w:tcW w:w="6960" w:type="dxa"/>
          </w:tcPr>
          <w:p>
            <w:r>
              <w:t xml:space="preserve">Forecast remains within the CR-001 revised authorization; migration quality is the leading acceptance risk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needed</w:t>
            </w:r>
          </w:p>
        </w:tc>
        <w:tc>
          <w:tcPr>
            <w:tcW w:w="6960" w:type="dxa"/>
          </w:tcPr>
          <w:p>
            <w:r>
              <w:t xml:space="preserve">The 14-year-old service platform cannot meet accessibility, scheduling, retention, or integration needs without disproportionate operating effort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Risk Report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