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Transition Package — Filled Example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Shared fictional project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w="6960" w:type="dxa"/>
          </w:tcPr>
          <w:p>
            <w:r>
              <w:t xml:space="preserve">ServiceBridge Modernization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Organization</w:t>
            </w:r>
          </w:p>
        </w:tc>
        <w:tc>
          <w:tcPr>
            <w:tcW w:w="6960" w:type="dxa"/>
          </w:tcPr>
          <w:p>
            <w:r>
              <w:t xml:space="preserve">Northstar Public Services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Sponsor</w:t>
            </w:r>
          </w:p>
        </w:tc>
        <w:tc>
          <w:tcPr>
            <w:tcW w:w="6960" w:type="dxa"/>
          </w:tcPr>
          <w:p>
            <w:r>
              <w:t xml:space="preserve">Chief Customer Officer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Delivery model</w:t>
            </w:r>
          </w:p>
        </w:tc>
        <w:tc>
          <w:tcPr>
            <w:tcW w:w="6960" w:type="dxa"/>
          </w:tcPr>
          <w:p>
            <w:r>
              <w:t xml:space="preserve">Hybrid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Authorized budget</w:t>
            </w:r>
          </w:p>
        </w:tc>
        <w:tc>
          <w:tcPr>
            <w:tcW w:w="6960" w:type="dxa"/>
          </w:tcPr>
          <w:p>
            <w:r>
              <w:t xml:space="preserve">$2,400,000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Target transition</w:t>
            </w:r>
          </w:p>
        </w:tc>
        <w:tc>
          <w:tcPr>
            <w:tcW w:w="6960" w:type="dxa"/>
          </w:tcPr>
          <w:p>
            <w:r>
              <w:t xml:space="preserve">2027-11-19</w:t>
            </w:r>
          </w:p>
        </w:tc>
      </w:tr>
    </w:tbl>
    <w:p>
      <w:pPr>
        <w:pStyle w:val="Heading1"/>
      </w:pPr>
      <w:r>
        <w:t xml:space="preserve">Predictive / Waterfall</w:t>
      </w:r>
    </w:p>
    <w:p>
      <w:r>
        <w:t xml:space="preserve">The transition package supports an approved end-to-end plan, stage-gate review, and formal control of affected commitments.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Transition scope</w:t>
            </w:r>
          </w:p>
        </w:tc>
        <w:tc>
          <w:tcPr>
            <w:tcW w:w="6960" w:type="dxa"/>
          </w:tcPr>
          <w:p>
            <w:r>
              <w:t xml:space="preserve">Replace the outdated customer-service and appointment platform while preserving accessible service and auditable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Operational owner</w:t>
            </w:r>
          </w:p>
        </w:tc>
        <w:tc>
          <w:tcPr>
            <w:tcW w:w="6960" w:type="dxa"/>
          </w:tcPr>
          <w:p>
            <w:r>
              <w:t xml:space="preserve">Service Modernization Program Manager coordinates; Director of Customer Operations owns post-transition benefits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Readiness criteria</w:t>
            </w:r>
          </w:p>
        </w:tc>
        <w:tc>
          <w:tcPr>
            <w:tcW w:w="6960" w:type="dxa"/>
          </w:tcPr>
          <w:p>
            <w:r>
              <w:t xml:space="preserve">Predictive / Waterfall: Readiness criteria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Training and support</w:t>
            </w:r>
          </w:p>
        </w:tc>
        <w:tc>
          <w:tcPr>
            <w:tcW w:w="6960" w:type="dxa"/>
          </w:tcPr>
          <w:p>
            <w:r>
              <w:t xml:space="preserve">Predictive / Waterfall: Training and support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Data and configuration</w:t>
            </w:r>
          </w:p>
        </w:tc>
        <w:tc>
          <w:tcPr>
            <w:tcW w:w="6960" w:type="dxa"/>
          </w:tcPr>
          <w:p>
            <w:r>
              <w:t xml:space="preserve">Predictive / Waterfall: Data and configuration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Open obligations</w:t>
            </w:r>
          </w:p>
        </w:tc>
        <w:tc>
          <w:tcPr>
            <w:tcW w:w="6960" w:type="dxa"/>
          </w:tcPr>
          <w:p>
            <w:r>
              <w:t xml:space="preserve">WCAG 2.2 AA, seven-year records retention, approved security controls, and contractual evidence obligations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Handoff evidence</w:t>
            </w:r>
          </w:p>
        </w:tc>
        <w:tc>
          <w:tcPr>
            <w:tcW w:w="6960" w:type="dxa"/>
          </w:tcPr>
          <w:p>
            <w:r>
              <w:t xml:space="preserve">Controlled evidence package links requirement, test, decision, version, and seven-year retention rule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</w:tbl>
    <w:p>
      <w:pPr>
        <w:pStyle w:val="Heading1"/>
      </w:pPr>
      <w:r>
        <w:t xml:space="preserve">Adaptive / Agile</w:t>
      </w:r>
    </w:p>
    <w:p>
      <w:r>
        <w:t xml:space="preserve">The transition package is maintained close to the work, refined from feedback, and reviewed at iteration or release cadence without removing governance.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Transition scope</w:t>
            </w:r>
          </w:p>
        </w:tc>
        <w:tc>
          <w:tcPr>
            <w:tcW w:w="6960" w:type="dxa"/>
          </w:tcPr>
          <w:p>
            <w:r>
              <w:t xml:space="preserve">Replace the outdated customer-service and appointment platform while preserving accessible service and auditable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Operational owner</w:t>
            </w:r>
          </w:p>
        </w:tc>
        <w:tc>
          <w:tcPr>
            <w:tcW w:w="6960" w:type="dxa"/>
          </w:tcPr>
          <w:p>
            <w:r>
              <w:t xml:space="preserve">Service Modernization Program Manager coordinates; Director of Customer Operations owns post-transition benefits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Readiness criteria</w:t>
            </w:r>
          </w:p>
        </w:tc>
        <w:tc>
          <w:tcPr>
            <w:tcW w:w="6960" w:type="dxa"/>
          </w:tcPr>
          <w:p>
            <w:r>
              <w:t xml:space="preserve">Adaptive / Agile: Readiness criteria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Training and support</w:t>
            </w:r>
          </w:p>
        </w:tc>
        <w:tc>
          <w:tcPr>
            <w:tcW w:w="6960" w:type="dxa"/>
          </w:tcPr>
          <w:p>
            <w:r>
              <w:t xml:space="preserve">Adaptive / Agile: Training and support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Data and configuration</w:t>
            </w:r>
          </w:p>
        </w:tc>
        <w:tc>
          <w:tcPr>
            <w:tcW w:w="6960" w:type="dxa"/>
          </w:tcPr>
          <w:p>
            <w:r>
              <w:t xml:space="preserve">Adaptive / Agile: Data and configuration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Open obligations</w:t>
            </w:r>
          </w:p>
        </w:tc>
        <w:tc>
          <w:tcPr>
            <w:tcW w:w="6960" w:type="dxa"/>
          </w:tcPr>
          <w:p>
            <w:r>
              <w:t xml:space="preserve">WCAG 2.2 AA, seven-year records retention, approved security controls, and contractual evidence obligations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Handoff evidence</w:t>
            </w:r>
          </w:p>
        </w:tc>
        <w:tc>
          <w:tcPr>
            <w:tcW w:w="6960" w:type="dxa"/>
          </w:tcPr>
          <w:p>
            <w:r>
              <w:t xml:space="preserve">Controlled evidence package links requirement, test, decision, version, and seven-year retention rule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</w:tbl>
    <w:p>
      <w:pPr>
        <w:pStyle w:val="Heading1"/>
      </w:pPr>
      <w:r>
        <w:t xml:space="preserve">Hybrid</w:t>
      </w:r>
    </w:p>
    <w:p>
      <w:r>
        <w:t xml:space="preserve">The transition package connects baselined infrastructure and procurement commitments with incrementally refined software delivery.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Transition scope</w:t>
            </w:r>
          </w:p>
        </w:tc>
        <w:tc>
          <w:tcPr>
            <w:tcW w:w="6960" w:type="dxa"/>
          </w:tcPr>
          <w:p>
            <w:r>
              <w:t xml:space="preserve">Replace the outdated customer-service and appointment platform while preserving accessible service and auditable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Operational owner</w:t>
            </w:r>
          </w:p>
        </w:tc>
        <w:tc>
          <w:tcPr>
            <w:tcW w:w="6960" w:type="dxa"/>
          </w:tcPr>
          <w:p>
            <w:r>
              <w:t xml:space="preserve">Service Modernization Program Manager coordinates; Director of Customer Operations owns post-transition benefits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Readiness criteria</w:t>
            </w:r>
          </w:p>
        </w:tc>
        <w:tc>
          <w:tcPr>
            <w:tcW w:w="6960" w:type="dxa"/>
          </w:tcPr>
          <w:p>
            <w:r>
              <w:t xml:space="preserve">Hybrid: Readiness criteria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Training and support</w:t>
            </w:r>
          </w:p>
        </w:tc>
        <w:tc>
          <w:tcPr>
            <w:tcW w:w="6960" w:type="dxa"/>
          </w:tcPr>
          <w:p>
            <w:r>
              <w:t xml:space="preserve">Hybrid: Training and support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Data and configuration</w:t>
            </w:r>
          </w:p>
        </w:tc>
        <w:tc>
          <w:tcPr>
            <w:tcW w:w="6960" w:type="dxa"/>
          </w:tcPr>
          <w:p>
            <w:r>
              <w:t xml:space="preserve">Hybrid: Data and configuration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Open obligations</w:t>
            </w:r>
          </w:p>
        </w:tc>
        <w:tc>
          <w:tcPr>
            <w:tcW w:w="6960" w:type="dxa"/>
          </w:tcPr>
          <w:p>
            <w:r>
              <w:t xml:space="preserve">WCAG 2.2 AA, seven-year records retention, approved security controls, and contractual evidence obligations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Handoff evidence</w:t>
            </w:r>
          </w:p>
        </w:tc>
        <w:tc>
          <w:tcPr>
            <w:tcW w:w="6960" w:type="dxa"/>
          </w:tcPr>
          <w:p>
            <w:r>
              <w:t xml:space="preserve">Controlled evidence package links requirement, test, decision, version, and seven-year retention rule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</w:tbl>
    <w:p>
      <w:pPr>
        <w:pStyle w:val="Heading1"/>
      </w:pPr>
      <w:r>
        <w:t xml:space="preserve">Approach note</w:t>
      </w:r>
    </w:p>
    <w:p>
      <w:r>
        <w:t xml:space="preserve">Adaptive delivery still plans, documents, governs, verifies, accepts, and manages benefits. The form and cadence are tailored; no backlog, board, or framework-specific record is treated as universal.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Transition Package — Filled Example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