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Work Performance Reports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work performance reports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period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Overall 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schedule and cost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</w:t>
            </w:r>
          </w:p>
        </w:tc>
        <w:tc>
          <w:tcPr>
            <w:tcW w:w="6960" w:type="dxa"/>
          </w:tcPr>
          <w:p>
            <w:r>
              <w:t xml:space="preserve">REQ-001 accessibility audit and REQ-003 migration reconciliation must pass before acceptance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 and issues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Forecast</w:t>
            </w:r>
          </w:p>
        </w:tc>
        <w:tc>
          <w:tcPr>
            <w:tcW w:w="6960" w:type="dxa"/>
          </w:tcPr>
          <w:p>
            <w:r>
              <w:t xml:space="preserve">Forecast remains within the CR-001 revised authorization; migration quality is the leading acceptance risk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Decisions needed</w:t>
            </w:r>
          </w:p>
        </w:tc>
        <w:tc>
          <w:tcPr>
            <w:tcW w:w="6960" w:type="dxa"/>
          </w:tcPr>
          <w:p>
            <w:r>
              <w:t xml:space="preserve">The 14-year-old service platform cannot meet accessibility, scheduling, retention, or integration needs without disproportionate operating effort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Actions and owners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work performance reports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period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Overall 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schedule and cost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</w:t>
            </w:r>
          </w:p>
        </w:tc>
        <w:tc>
          <w:tcPr>
            <w:tcW w:w="6960" w:type="dxa"/>
          </w:tcPr>
          <w:p>
            <w:r>
              <w:t xml:space="preserve">REQ-001 accessibility audit and REQ-003 migration reconciliation must pass before acceptance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 and issues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Forecast</w:t>
            </w:r>
          </w:p>
        </w:tc>
        <w:tc>
          <w:tcPr>
            <w:tcW w:w="6960" w:type="dxa"/>
          </w:tcPr>
          <w:p>
            <w:r>
              <w:t xml:space="preserve">Forecast remains within the CR-001 revised authorization; migration quality is the leading acceptance risk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Decisions needed</w:t>
            </w:r>
          </w:p>
        </w:tc>
        <w:tc>
          <w:tcPr>
            <w:tcW w:w="6960" w:type="dxa"/>
          </w:tcPr>
          <w:p>
            <w:r>
              <w:t xml:space="preserve">The 14-year-old service platform cannot meet accessibility, scheduling, retention, or integration needs without disproportionate operating effort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Actions and owners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work performance reports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period</w:t>
            </w:r>
          </w:p>
        </w:tc>
        <w:tc>
          <w:tcPr>
            <w:tcW w:w="6960" w:type="dxa"/>
          </w:tcPr>
          <w:p>
            <w:r>
              <w:t xml:space="preserve">2026-09-15 through 2027-12-17; transition target 2027-11-19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Overall 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schedule and cost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</w:t>
            </w:r>
          </w:p>
        </w:tc>
        <w:tc>
          <w:tcPr>
            <w:tcW w:w="6960" w:type="dxa"/>
          </w:tcPr>
          <w:p>
            <w:r>
              <w:t xml:space="preserve">REQ-001 accessibility audit and REQ-003 migration reconciliation must pass before acceptance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 and issues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Forecast</w:t>
            </w:r>
          </w:p>
        </w:tc>
        <w:tc>
          <w:tcPr>
            <w:tcW w:w="6960" w:type="dxa"/>
          </w:tcPr>
          <w:p>
            <w:r>
              <w:t xml:space="preserve">Forecast remains within the CR-001 revised authorization; migration quality is the leading acceptance risk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Decisions needed</w:t>
            </w:r>
          </w:p>
        </w:tc>
        <w:tc>
          <w:tcPr>
            <w:tcW w:w="6960" w:type="dxa"/>
          </w:tcPr>
          <w:p>
            <w:r>
              <w:t xml:space="preserve">The 14-year-old service platform cannot meet accessibility, scheduling, retention, or integration needs without disproportionate operating effort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Actions and owners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Work Performance Reports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