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4E723" w14:textId="77777777" w:rsidR="00CD0060" w:rsidRDefault="009053E1">
      <w:pPr>
        <w:pStyle w:val="1"/>
      </w:pPr>
      <w:r>
        <w:t xml:space="preserve">1 Introduction  </w:t>
      </w:r>
    </w:p>
    <w:p w14:paraId="6183F9A9" w14:textId="0E261CB3" w:rsidR="00CD0060" w:rsidRDefault="009053E1">
      <w:pPr>
        <w:pStyle w:val="11"/>
      </w:pPr>
      <w:r>
        <w:t xml:space="preserve">It is still popular to find differentially expressed genes by microarray analysis. Independent of the platform and the analysis methods used, the result of a microarray experiment is, in most cases, a list of differentially expressed genes </w:t>
      </w:r>
      <w:r>
        <w:rPr>
          <w:vertAlign w:val="superscript"/>
        </w:rPr>
        <w:t>[2]</w:t>
      </w:r>
      <w:r>
        <w:t>. There are many techniques used to identify differentially expressed genes. These techniques can be divided into three categories: individual</w:t>
      </w:r>
      <w:r>
        <w:rPr>
          <w:rFonts w:hint="eastAsia"/>
        </w:rPr>
        <w:t xml:space="preserve"> </w:t>
      </w:r>
      <w:r>
        <w:t xml:space="preserve">genes, gene pathways and gene classes approaches </w:t>
      </w:r>
      <w:r>
        <w:rPr>
          <w:vertAlign w:val="superscript"/>
        </w:rPr>
        <w:t>[1]</w:t>
      </w:r>
      <w:r>
        <w:t>. In the past, people’s focus is in the function of one gene. However, the expression level of this gene in the cells (including tumor cells) is not so high. What really works in cell activity is not a single gene, but a group of genes that participate in a function. So it is necessary to introduce the systematic biology perspective to slightly “macroscopically” observe and evaluate the function of the cells. Recently, more and more research is devoted to gene sets instead of individual genes. Gene sets are group of differentially expressed genes, these genes are usually relating to diseases. Here, we call the differentially expressed genes between patients and normal for the ‘disease genes’. The gene sets blur the “powerful” function of the individual gene, and is more concerned with the role of the whole functional group,</w:t>
      </w:r>
      <w:r w:rsidR="00666DAB">
        <w:t xml:space="preserve"> </w:t>
      </w:r>
      <w:r>
        <w:t xml:space="preserve">thus closer to the normal condition of the cell, which is also its advantage. </w:t>
      </w:r>
    </w:p>
    <w:p w14:paraId="22A21F9D" w14:textId="77777777" w:rsidR="009417E4" w:rsidRDefault="009053E1" w:rsidP="009417E4">
      <w:pPr>
        <w:pStyle w:val="11"/>
      </w:pPr>
      <w:r>
        <w:t xml:space="preserve">Studying gene sets is more conducive to understanding the cause of disease and find out which part of biological functions is affected in the disease. However, the increasing complexity of gene expression data presents several challenges for researchers </w:t>
      </w:r>
      <w:r>
        <w:rPr>
          <w:vertAlign w:val="superscript"/>
        </w:rPr>
        <w:t>[2]</w:t>
      </w:r>
      <w:r>
        <w:t>. A big</w:t>
      </w:r>
      <w:r>
        <w:rPr>
          <w:rFonts w:hint="eastAsia"/>
        </w:rPr>
        <w:t xml:space="preserve"> </w:t>
      </w:r>
      <w:r>
        <w:t xml:space="preserve">challenge faced by the researchers is how to choose disease genes according to patients’ gene expression value and how to translate disease genes into a better understanding of the underlying biological process. There have been many microarray analysis methods proposed to solve the problem. Those methods are useful for diagnosis of a disease. </w:t>
      </w:r>
      <w:r>
        <w:rPr>
          <w:u w:val="single"/>
        </w:rPr>
        <w:t xml:space="preserve">Such as GSEA, </w:t>
      </w:r>
      <w:proofErr w:type="spellStart"/>
      <w:r>
        <w:rPr>
          <w:u w:val="single"/>
        </w:rPr>
        <w:t>SNet</w:t>
      </w:r>
      <w:proofErr w:type="spellEnd"/>
      <w:r>
        <w:rPr>
          <w:u w:val="single"/>
        </w:rPr>
        <w:t xml:space="preserve">, </w:t>
      </w:r>
      <w:proofErr w:type="spellStart"/>
      <w:r>
        <w:rPr>
          <w:u w:val="single"/>
        </w:rPr>
        <w:t>PFSNet</w:t>
      </w:r>
      <w:proofErr w:type="spellEnd"/>
      <w:r>
        <w:rPr>
          <w:u w:val="single"/>
        </w:rPr>
        <w:t xml:space="preserve"> and so on</w:t>
      </w:r>
      <w:r>
        <w:t>. But there are also some shortcomings for traditional methods: GSEA is a method based on pathways. Its enrichment analysis was carried out to find out relevant pathways.</w:t>
      </w:r>
      <w:r>
        <w:rPr>
          <w:rFonts w:hint="eastAsia"/>
        </w:rPr>
        <w:t xml:space="preserve"> </w:t>
      </w:r>
      <w:r>
        <w:t>The essence of this method is the whole pathways are considered and each pathway is scored by a variation of</w:t>
      </w:r>
      <w:r w:rsidR="004207BA">
        <w:t xml:space="preserve"> </w:t>
      </w:r>
      <w:r>
        <w:t xml:space="preserve">Kolmogorov-Smirnov statistic which determines its importance. But pathways are often large and the statistical score </w:t>
      </w:r>
      <w:r w:rsidR="0028325D">
        <w:t>is</w:t>
      </w:r>
      <w:r>
        <w:t xml:space="preserve"> easily affected by the genes in each pathway. When a pathway contains too few useful genes, the score of it will be low and finally this pathway will be missed</w:t>
      </w:r>
      <w:r>
        <w:rPr>
          <w:rFonts w:hint="eastAsia"/>
        </w:rPr>
        <w:t>, hence causing a big impact on the results.</w:t>
      </w:r>
      <w:r>
        <w:t xml:space="preserve"> As for </w:t>
      </w:r>
      <w:proofErr w:type="spellStart"/>
      <w:r>
        <w:t>SNet</w:t>
      </w:r>
      <w:proofErr w:type="spellEnd"/>
      <w:r>
        <w:t>, it</w:t>
      </w:r>
      <w:r w:rsidR="0028325D">
        <w:t xml:space="preserve"> is</w:t>
      </w:r>
      <w:r>
        <w:t xml:space="preserve"> a network-based method. In this method, differentially expressed genes is selected by setting a threshold on the gene expression levels.</w:t>
      </w:r>
      <w:r>
        <w:rPr>
          <w:rFonts w:hint="eastAsia"/>
        </w:rPr>
        <w:t xml:space="preserve"> </w:t>
      </w:r>
      <w:proofErr w:type="spellStart"/>
      <w:r>
        <w:rPr>
          <w:rFonts w:hint="eastAsia"/>
        </w:rPr>
        <w:t>SNet</w:t>
      </w:r>
      <w:proofErr w:type="spellEnd"/>
      <w:r>
        <w:rPr>
          <w:rFonts w:hint="eastAsia"/>
        </w:rPr>
        <w:t xml:space="preserve"> use gene rank </w:t>
      </w:r>
      <w:r w:rsidR="0028325D">
        <w:t xml:space="preserve">value </w:t>
      </w:r>
      <w:r>
        <w:rPr>
          <w:rFonts w:hint="eastAsia"/>
        </w:rPr>
        <w:t>rather than</w:t>
      </w:r>
      <w:r>
        <w:t xml:space="preserve"> the absolute gene expression values</w:t>
      </w:r>
      <w:r w:rsidR="0028325D">
        <w:t xml:space="preserve"> to select genes</w:t>
      </w:r>
      <w:r>
        <w:rPr>
          <w:rFonts w:hint="eastAsia"/>
        </w:rPr>
        <w:t xml:space="preserve">. This approach makes the results more consistent </w:t>
      </w:r>
      <w:r w:rsidR="0028325D">
        <w:rPr>
          <w:rFonts w:hint="eastAsia"/>
        </w:rPr>
        <w:t xml:space="preserve">in two </w:t>
      </w:r>
      <w:r w:rsidR="0028325D">
        <w:t xml:space="preserve">independent </w:t>
      </w:r>
      <w:r w:rsidR="0028325D">
        <w:rPr>
          <w:rFonts w:hint="eastAsia"/>
        </w:rPr>
        <w:t>datasets</w:t>
      </w:r>
      <w:r>
        <w:rPr>
          <w:rFonts w:hint="eastAsia"/>
        </w:rPr>
        <w:t>.</w:t>
      </w:r>
      <w:r>
        <w:t xml:space="preserve"> The shortcoming of this method is the threshold is hard to choose and genes around threshold is easily missed leading the results are not accurate. Based on </w:t>
      </w:r>
      <w:proofErr w:type="spellStart"/>
      <w:r>
        <w:t>SNet</w:t>
      </w:r>
      <w:proofErr w:type="spellEnd"/>
      <w:r>
        <w:t xml:space="preserve">, there is another method called </w:t>
      </w:r>
      <w:proofErr w:type="spellStart"/>
      <w:r>
        <w:t>PFSNet</w:t>
      </w:r>
      <w:proofErr w:type="spellEnd"/>
      <w:r>
        <w:t xml:space="preserve">. In </w:t>
      </w:r>
      <w:proofErr w:type="spellStart"/>
      <w:r>
        <w:t>PFSN</w:t>
      </w:r>
      <w:r w:rsidR="0028325D">
        <w:t>et</w:t>
      </w:r>
      <w:proofErr w:type="spellEnd"/>
      <w:r w:rsidR="0028325D">
        <w:t>, the genes around threshold are</w:t>
      </w:r>
      <w:r>
        <w:t xml:space="preserve"> considered by setting two threshold to choose significant genes. Another meaningful improvement of </w:t>
      </w:r>
      <w:proofErr w:type="spellStart"/>
      <w:r>
        <w:t>PFSNet</w:t>
      </w:r>
      <w:proofErr w:type="spellEnd"/>
      <w:r>
        <w:t xml:space="preserve"> is </w:t>
      </w:r>
      <w:proofErr w:type="spellStart"/>
      <w:r>
        <w:t>PFSNet</w:t>
      </w:r>
      <w:proofErr w:type="spellEnd"/>
      <w:r>
        <w:t xml:space="preserve"> do not use the absolute gene expression values but use a “fuzzy value” </w:t>
      </w:r>
      <w:r>
        <w:rPr>
          <w:rFonts w:hint="eastAsia"/>
        </w:rPr>
        <w:t xml:space="preserve">to substitute gene expression </w:t>
      </w:r>
      <w:r w:rsidR="009417E4">
        <w:t>level accor</w:t>
      </w:r>
      <w:r>
        <w:t>ding to gene ranks.</w:t>
      </w:r>
      <w:r w:rsidR="0028325D">
        <w:t xml:space="preserve"> The “fuzzy value” is </w:t>
      </w:r>
      <w:r w:rsidR="009417E4">
        <w:t xml:space="preserve">a number </w:t>
      </w:r>
      <w:r w:rsidR="0028325D">
        <w:t>between 0 and 1.</w:t>
      </w:r>
      <w:r>
        <w:t xml:space="preserve"> This method scores each subnet of pathways using a paired t-statistic based on the fuzzy score of two phenotypes. </w:t>
      </w:r>
      <w:r>
        <w:rPr>
          <w:rFonts w:hint="eastAsia"/>
        </w:rPr>
        <w:t xml:space="preserve">Finally the p-value of every single subnet </w:t>
      </w:r>
      <w:r w:rsidR="009417E4">
        <w:t xml:space="preserve">is estimated </w:t>
      </w:r>
      <w:r>
        <w:rPr>
          <w:rFonts w:hint="eastAsia"/>
        </w:rPr>
        <w:t xml:space="preserve">within the subnets list and keep those which are significant. </w:t>
      </w:r>
      <w:r>
        <w:t>This principle of “network-based” or “pathway-based” association (</w:t>
      </w:r>
      <w:proofErr w:type="spellStart"/>
      <w:r>
        <w:t>Califano</w:t>
      </w:r>
      <w:proofErr w:type="spellEnd"/>
      <w:r>
        <w:t xml:space="preserve"> et al., 2012) is now being</w:t>
      </w:r>
      <w:r>
        <w:rPr>
          <w:rFonts w:hint="eastAsia"/>
        </w:rPr>
        <w:t xml:space="preserve"> </w:t>
      </w:r>
      <w:r>
        <w:t xml:space="preserve">applied to effectively map the genetics underlying </w:t>
      </w:r>
      <w:r>
        <w:lastRenderedPageBreak/>
        <w:t xml:space="preserve">complex phenotypes, including cancer and other common diseases. However, the scoring process of these methods do not consider the structure of each subnet. </w:t>
      </w:r>
      <w:r w:rsidR="009417E4">
        <w:t>T</w:t>
      </w:r>
      <w:r>
        <w:rPr>
          <w:rFonts w:hint="eastAsia"/>
        </w:rPr>
        <w:t>he significance of each biological process</w:t>
      </w:r>
      <w:r>
        <w:t xml:space="preserve"> </w:t>
      </w:r>
      <w:r w:rsidR="009417E4">
        <w:t xml:space="preserve">is measured </w:t>
      </w:r>
      <w:r>
        <w:rPr>
          <w:rFonts w:hint="eastAsia"/>
        </w:rPr>
        <w:t xml:space="preserve">by gene </w:t>
      </w:r>
      <w:r>
        <w:t>sets, which only contain differentially expressed genes. So the question is: Is it possible that the causative gene is not highly expressed but affects the expression of genes that are closely linked surrounding it?</w:t>
      </w:r>
      <w:r>
        <w:rPr>
          <w:rFonts w:hint="eastAsia"/>
        </w:rPr>
        <w:t xml:space="preserve"> </w:t>
      </w:r>
    </w:p>
    <w:p w14:paraId="6DBE93CC" w14:textId="143A8656" w:rsidR="00CD0060" w:rsidRDefault="009053E1" w:rsidP="009417E4">
      <w:pPr>
        <w:pStyle w:val="11"/>
        <w:spacing w:after="240"/>
      </w:pPr>
      <w:r>
        <w:t>This paper looks at a problem of finding biological process according to gene sets based on GO.</w:t>
      </w:r>
      <w:r w:rsidR="001E2A26">
        <w:t xml:space="preserve"> Different from the previous method,</w:t>
      </w:r>
      <w:r>
        <w:t xml:space="preserve"> </w:t>
      </w:r>
      <w:r w:rsidR="001E2A26">
        <w:t>t</w:t>
      </w:r>
      <w:r>
        <w:rPr>
          <w:rFonts w:hint="eastAsia"/>
        </w:rPr>
        <w:t xml:space="preserve">he gene sets </w:t>
      </w:r>
      <w:r w:rsidR="001E2A26">
        <w:t>we study here are</w:t>
      </w:r>
      <w:r>
        <w:rPr>
          <w:rFonts w:hint="eastAsia"/>
        </w:rPr>
        <w:t xml:space="preserve"> composed of differential </w:t>
      </w:r>
      <w:r w:rsidR="00DF7432">
        <w:t xml:space="preserve">expressed </w:t>
      </w:r>
      <w:r>
        <w:rPr>
          <w:rFonts w:hint="eastAsia"/>
        </w:rPr>
        <w:t xml:space="preserve">genes and </w:t>
      </w:r>
      <w:r w:rsidR="001E2A26">
        <w:t>some new</w:t>
      </w:r>
      <w:r>
        <w:rPr>
          <w:rFonts w:hint="eastAsia"/>
        </w:rPr>
        <w:t xml:space="preserve"> genes. </w:t>
      </w:r>
      <w:r w:rsidR="001E2A26">
        <w:t xml:space="preserve">These new genes have potential to play the same function as differential genes. </w:t>
      </w:r>
      <w:r>
        <w:t xml:space="preserve">Directly, the gene sets are first mapped onto knowledge of GO </w:t>
      </w:r>
      <w:r>
        <w:rPr>
          <w:rFonts w:hint="eastAsia"/>
        </w:rPr>
        <w:t>terms</w:t>
      </w:r>
      <w:r>
        <w:t xml:space="preserve">; affected </w:t>
      </w:r>
      <w:r>
        <w:rPr>
          <w:rFonts w:hint="eastAsia"/>
        </w:rPr>
        <w:t>subnets</w:t>
      </w:r>
      <w:r>
        <w:t xml:space="preserve"> are then statistically associated with the disease phenotype. We identify some shortcomings of the previous methods in finding consistent disease subnets. Thinking they did not consider the biological process’ structural information and just focus on the differentially expressed genes. In this article we present our technique, </w:t>
      </w:r>
      <w:proofErr w:type="spellStart"/>
      <w:r>
        <w:t>DNet</w:t>
      </w:r>
      <w:proofErr w:type="spellEnd"/>
      <w:r>
        <w:t>, to identify significant biological process within a phenotype of microarray experiment</w:t>
      </w:r>
      <w:r>
        <w:rPr>
          <w:rFonts w:hint="eastAsia"/>
        </w:rPr>
        <w:t>s</w:t>
      </w:r>
      <w:r>
        <w:t xml:space="preserve">. The method drives its power by focusing on gene sets as well as GO </w:t>
      </w:r>
      <w:r>
        <w:rPr>
          <w:rFonts w:hint="eastAsia"/>
        </w:rPr>
        <w:t xml:space="preserve">term </w:t>
      </w:r>
      <w:r>
        <w:t>network structure information. This method can greatly increase</w:t>
      </w:r>
      <w:r>
        <w:rPr>
          <w:rFonts w:hint="eastAsia"/>
        </w:rPr>
        <w:t xml:space="preserve"> </w:t>
      </w:r>
      <w:r>
        <w:t xml:space="preserve">our power to identify relevant associations between </w:t>
      </w:r>
      <w:r w:rsidR="00DF7432">
        <w:t>phenotype</w:t>
      </w:r>
      <w:r>
        <w:t xml:space="preserve"> and </w:t>
      </w:r>
      <w:r w:rsidR="00DF7432">
        <w:t xml:space="preserve">biological </w:t>
      </w:r>
      <w:proofErr w:type="gramStart"/>
      <w:r w:rsidR="00DF7432">
        <w:t>process</w:t>
      </w:r>
      <w:r>
        <w:rPr>
          <w:vertAlign w:val="superscript"/>
        </w:rPr>
        <w:t>[</w:t>
      </w:r>
      <w:proofErr w:type="gramEnd"/>
      <w:r>
        <w:rPr>
          <w:vertAlign w:val="superscript"/>
        </w:rPr>
        <w:t>4]</w:t>
      </w:r>
      <w:r>
        <w:t>.</w:t>
      </w:r>
      <w:r>
        <w:rPr>
          <w:rFonts w:hint="eastAsia"/>
        </w:rPr>
        <w:t xml:space="preserve"> </w:t>
      </w:r>
    </w:p>
    <w:p w14:paraId="4338E29C" w14:textId="77777777" w:rsidR="00CD0060" w:rsidRDefault="009053E1">
      <w:pPr>
        <w:pStyle w:val="1"/>
      </w:pPr>
      <w:r>
        <w:t xml:space="preserve">2 Method </w:t>
      </w:r>
    </w:p>
    <w:p w14:paraId="0CC865A3" w14:textId="306B4290" w:rsidR="00670649" w:rsidRDefault="00864F8A" w:rsidP="00670649">
      <w:pPr>
        <w:pStyle w:val="11"/>
      </w:pPr>
      <w:r>
        <w:t xml:space="preserve">We blend information on GO and genes from GO annotations. </w:t>
      </w:r>
      <w:r w:rsidR="00670649">
        <w:t>The GO network we study here is a directed graph (DAG) of terms and hierarchical relations.</w:t>
      </w:r>
      <w:r w:rsidR="004647AA">
        <w:t xml:space="preserve"> It consists of three branches: biological processes, cellular components and molecular functions. Here, we </w:t>
      </w:r>
      <w:r w:rsidR="00430746">
        <w:t xml:space="preserve">focus on researching biological process. </w:t>
      </w:r>
      <w:r w:rsidR="007F6ED1">
        <w:t xml:space="preserve">The </w:t>
      </w:r>
      <w:r w:rsidR="00670649">
        <w:t xml:space="preserve">graph is made up of vertices and nodes. It is defined as G= (V, E). V is the vertex set whose elements are the nodes of the graph. This set is often denoted </w:t>
      </w:r>
      <w:proofErr w:type="gramStart"/>
      <w:r w:rsidR="00670649">
        <w:t>V(</w:t>
      </w:r>
      <w:proofErr w:type="gramEnd"/>
      <w:r w:rsidR="00670649">
        <w:t xml:space="preserve">G) or just V. E is the edge set whose elements are edges of the graph. This set is often denoted </w:t>
      </w:r>
      <w:proofErr w:type="gramStart"/>
      <w:r w:rsidR="00670649">
        <w:t>E(</w:t>
      </w:r>
      <w:proofErr w:type="gramEnd"/>
      <w:r w:rsidR="00670649">
        <w:t xml:space="preserve">G) or just E </w:t>
      </w:r>
      <w:r w:rsidR="00670649">
        <w:rPr>
          <w:vertAlign w:val="superscript"/>
        </w:rPr>
        <w:t>[5]</w:t>
      </w:r>
      <w:r w:rsidR="00670649">
        <w:t>. Each vertices represents a GO term and each edges represent the relationship between two terms.</w:t>
      </w:r>
    </w:p>
    <w:p w14:paraId="7EEFC732" w14:textId="77777777" w:rsidR="00670649" w:rsidRDefault="00670649" w:rsidP="00670649">
      <w:pPr>
        <w:pStyle w:val="11"/>
      </w:pPr>
      <w:r>
        <w:t>The subnets we found here is an undirected graph, defined as S = (V’, E’). Each vertices represents a gene and each edges represent the relationship between the two genes. Every subnet belong to a term and represent a small biological process. Each subnets with more than five nodes.</w:t>
      </w:r>
    </w:p>
    <w:p w14:paraId="4FB9D714" w14:textId="77777777" w:rsidR="00670649" w:rsidRDefault="00670649" w:rsidP="00670649">
      <w:pPr>
        <w:pStyle w:val="ab"/>
      </w:pPr>
      <w:r>
        <w:t>For undirected simple graphs, the graph density is defined as:</w:t>
      </w:r>
      <w:r w:rsidRPr="00D8080C">
        <w:t xml:space="preserve"> </w:t>
      </w:r>
    </w:p>
    <w:p w14:paraId="277CF54E" w14:textId="77777777" w:rsidR="00670649" w:rsidRDefault="00670649" w:rsidP="00670649">
      <w:pPr>
        <w:pStyle w:val="ab"/>
      </w:pPr>
      <m:oMathPara>
        <m:oMath>
          <m:r>
            <m:rPr>
              <m:sty m:val="p"/>
            </m:rPr>
            <w:rPr>
              <w:rFonts w:ascii="Cambria Math" w:hAnsi="Cambria Math"/>
            </w:rPr>
            <m:t>D</m:t>
          </m:r>
          <m:r>
            <w:rPr>
              <w:rFonts w:ascii="Cambria Math" w:hAnsi="Cambria Math"/>
            </w:rPr>
            <m:t xml:space="preserve">=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m:oMathPara>
    </w:p>
    <w:p w14:paraId="2C81DB57" w14:textId="7FDB7F68" w:rsidR="00670649" w:rsidRDefault="00670649" w:rsidP="00864F8A">
      <w:pPr>
        <w:pStyle w:val="11"/>
        <w:ind w:firstLineChars="0" w:firstLine="0"/>
      </w:pPr>
      <w:proofErr w:type="gramStart"/>
      <w:r>
        <w:t>where</w:t>
      </w:r>
      <w:proofErr w:type="gramEnd"/>
      <w:r>
        <w:t xml:space="preserve"> E is the number of edges and V is the number of vertices in the graph. The maximum number of edges for an undirected graph is ½ |V| (|V|−1), so the maximal density is 1 (for complete graphs) and the minimal density is 0(Fig. 1) </w:t>
      </w:r>
      <w:r>
        <w:rPr>
          <w:vertAlign w:val="superscript"/>
        </w:rPr>
        <w:t>[6]</w:t>
      </w:r>
      <w:r>
        <w:t>.</w:t>
      </w:r>
    </w:p>
    <w:p w14:paraId="7020E542" w14:textId="77777777" w:rsidR="00670649" w:rsidRDefault="00670649" w:rsidP="00670649">
      <w:pPr>
        <w:pStyle w:val="11"/>
        <w:ind w:firstLineChars="0" w:firstLine="0"/>
      </w:pPr>
      <w:r>
        <w:rPr>
          <w:noProof/>
        </w:rPr>
        <w:drawing>
          <wp:inline distT="0" distB="0" distL="0" distR="0" wp14:anchorId="03E83111" wp14:editId="7DAF1D82">
            <wp:extent cx="1773555" cy="11811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pic:cNvPicPr>
                  </pic:nvPicPr>
                  <pic:blipFill>
                    <a:blip r:embed="rId6"/>
                    <a:stretch>
                      <a:fillRect/>
                    </a:stretch>
                  </pic:blipFill>
                  <pic:spPr>
                    <a:xfrm>
                      <a:off x="0" y="0"/>
                      <a:ext cx="1812646" cy="1207047"/>
                    </a:xfrm>
                    <a:prstGeom prst="rect">
                      <a:avLst/>
                    </a:prstGeom>
                  </pic:spPr>
                </pic:pic>
              </a:graphicData>
            </a:graphic>
          </wp:inline>
        </w:drawing>
      </w:r>
      <w:r>
        <w:rPr>
          <w:noProof/>
        </w:rPr>
        <w:drawing>
          <wp:inline distT="0" distB="0" distL="0" distR="0" wp14:anchorId="420BF73E" wp14:editId="6018D878">
            <wp:extent cx="1616075" cy="1076325"/>
            <wp:effectExtent l="0" t="0" r="317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7"/>
                    <a:stretch>
                      <a:fillRect/>
                    </a:stretch>
                  </pic:blipFill>
                  <pic:spPr>
                    <a:xfrm>
                      <a:off x="0" y="0"/>
                      <a:ext cx="1653942" cy="1101366"/>
                    </a:xfrm>
                    <a:prstGeom prst="rect">
                      <a:avLst/>
                    </a:prstGeom>
                  </pic:spPr>
                </pic:pic>
              </a:graphicData>
            </a:graphic>
          </wp:inline>
        </w:drawing>
      </w:r>
      <w:r>
        <w:t xml:space="preserve"> </w:t>
      </w:r>
      <w:r>
        <w:rPr>
          <w:noProof/>
        </w:rPr>
        <w:drawing>
          <wp:inline distT="0" distB="0" distL="0" distR="0" wp14:anchorId="3435505B" wp14:editId="7C5887F3">
            <wp:extent cx="1773555" cy="11811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8"/>
                    <a:stretch>
                      <a:fillRect/>
                    </a:stretch>
                  </pic:blipFill>
                  <pic:spPr>
                    <a:xfrm>
                      <a:off x="0" y="0"/>
                      <a:ext cx="1789725" cy="1191785"/>
                    </a:xfrm>
                    <a:prstGeom prst="rect">
                      <a:avLst/>
                    </a:prstGeom>
                  </pic:spPr>
                </pic:pic>
              </a:graphicData>
            </a:graphic>
          </wp:inline>
        </w:drawing>
      </w:r>
    </w:p>
    <w:p w14:paraId="0E626748" w14:textId="06D3AEAE" w:rsidR="00670649" w:rsidRPr="00554066" w:rsidRDefault="00670649" w:rsidP="00670649">
      <w:pPr>
        <w:pStyle w:val="11"/>
        <w:ind w:firstLineChars="0" w:firstLine="0"/>
      </w:pPr>
      <w:r>
        <w:rPr>
          <w:rFonts w:hint="eastAsia"/>
          <w:b/>
        </w:rPr>
        <w:t>Fig. 1.</w:t>
      </w:r>
      <w:r>
        <w:rPr>
          <w:rFonts w:hint="eastAsia"/>
        </w:rPr>
        <w:t xml:space="preserve"> </w:t>
      </w:r>
      <w:r>
        <w:t>(a) The maximum number of edges for an undirected graph is ½ |V| (|V|−1), so the maximal density is 1. (b)</w:t>
      </w:r>
      <w:r>
        <w:rPr>
          <w:rFonts w:hint="eastAsia"/>
        </w:rPr>
        <w:t xml:space="preserve"> </w:t>
      </w:r>
      <w:r>
        <w:rPr>
          <w:rFonts w:hint="eastAsia"/>
        </w:rPr>
        <w:t>最小</w:t>
      </w:r>
      <w:r>
        <w:t>连通子图的</w:t>
      </w:r>
      <w:r>
        <w:rPr>
          <w:rFonts w:hint="eastAsia"/>
        </w:rPr>
        <w:t>有</w:t>
      </w:r>
      <w:r>
        <w:t>N-1</w:t>
      </w:r>
      <w:r>
        <w:rPr>
          <w:rFonts w:hint="eastAsia"/>
        </w:rPr>
        <w:t>个</w:t>
      </w:r>
      <w:r>
        <w:t>边</w:t>
      </w:r>
      <w:r>
        <w:t xml:space="preserve">  (c) The minimal density of a graph is 0</w:t>
      </w:r>
      <w:r>
        <w:rPr>
          <w:rFonts w:hint="eastAsia"/>
        </w:rPr>
        <w:t>.</w:t>
      </w:r>
    </w:p>
    <w:p w14:paraId="657C3936" w14:textId="4E9BF760" w:rsidR="00CD0060" w:rsidRPr="00670649" w:rsidRDefault="009053E1" w:rsidP="00670649">
      <w:pPr>
        <w:pStyle w:val="2"/>
      </w:pPr>
      <w:r>
        <w:lastRenderedPageBreak/>
        <w:t>2</w:t>
      </w:r>
      <w:r>
        <w:rPr>
          <w:rFonts w:hint="eastAsia"/>
        </w:rPr>
        <w:t>.1</w:t>
      </w:r>
      <w:r>
        <w:t xml:space="preserve"> Subnets generation</w:t>
      </w:r>
    </w:p>
    <w:p w14:paraId="57E718AF" w14:textId="6585FDCD" w:rsidR="00CD0060" w:rsidRDefault="009053E1">
      <w:pPr>
        <w:pStyle w:val="11"/>
      </w:pPr>
      <w:r>
        <w:t xml:space="preserve">For </w:t>
      </w:r>
      <w:r w:rsidR="00864F8A">
        <w:t xml:space="preserve">each </w:t>
      </w:r>
      <w:r>
        <w:t>disease we stud</w:t>
      </w:r>
      <w:r w:rsidR="00864F8A">
        <w:t>y</w:t>
      </w:r>
      <w:r>
        <w:t xml:space="preserve"> here, we consider test patients and normal </w:t>
      </w:r>
      <w:proofErr w:type="gramStart"/>
      <w:r>
        <w:t>patients</w:t>
      </w:r>
      <w:proofErr w:type="gramEnd"/>
      <w:r>
        <w:t xml:space="preserve"> gene expression </w:t>
      </w:r>
      <w:r>
        <w:rPr>
          <w:rFonts w:hint="eastAsia"/>
        </w:rPr>
        <w:t>level</w:t>
      </w:r>
      <w:r>
        <w:t xml:space="preserve"> together. </w:t>
      </w:r>
      <w:r>
        <w:rPr>
          <w:rFonts w:hint="eastAsia"/>
        </w:rPr>
        <w:t>The phenotype of test patients is</w:t>
      </w:r>
      <w:r>
        <w:t xml:space="preserve"> defined as </w:t>
      </w:r>
      <w:r>
        <w:rPr>
          <w:rFonts w:ascii="Times New Roman" w:hAnsi="Times New Roman" w:hint="eastAsia"/>
        </w:rPr>
        <w:t>D</w:t>
      </w:r>
      <w:r>
        <w:t xml:space="preserve"> and </w:t>
      </w:r>
      <w:r>
        <w:rPr>
          <w:rFonts w:hint="eastAsia"/>
        </w:rPr>
        <w:t xml:space="preserve">the phenotype of normal patients is defined as </w:t>
      </w:r>
      <w:r>
        <w:rPr>
          <w:rFonts w:ascii="宋体" w:hAnsi="宋体" w:cs="宋体" w:hint="eastAsia"/>
        </w:rPr>
        <w:t>¬</w:t>
      </w:r>
      <w:r>
        <w:rPr>
          <w:rFonts w:ascii="Times New Roman" w:hAnsi="Times New Roman" w:hint="eastAsia"/>
        </w:rPr>
        <w:t>D</w:t>
      </w:r>
      <w:r>
        <w:rPr>
          <w:rFonts w:ascii="Times New Roman" w:hAnsi="Times New Roman"/>
        </w:rPr>
        <w:t>.</w:t>
      </w:r>
      <w:r>
        <w:t xml:space="preserve"> We rank each gene for each patients based on </w:t>
      </w:r>
      <w:r w:rsidR="00864F8A">
        <w:t xml:space="preserve">gene </w:t>
      </w:r>
      <w:r>
        <w:t>expression data.</w:t>
      </w:r>
      <w:r>
        <w:rPr>
          <w:rFonts w:hint="eastAsia"/>
        </w:rPr>
        <w:t xml:space="preserve"> </w:t>
      </w:r>
      <w:r>
        <w:t xml:space="preserve">After ranking, we give each gene a weight value </w:t>
      </w:r>
      <w:proofErr w:type="gramStart"/>
      <w:r>
        <w:t>w(</w:t>
      </w:r>
      <w:proofErr w:type="gramEnd"/>
      <w:r>
        <w:t xml:space="preserve"> </w:t>
      </w:r>
      <w:proofErr w:type="spellStart"/>
      <w:r>
        <w:t>gi</w:t>
      </w:r>
      <w:proofErr w:type="spellEnd"/>
      <w:r>
        <w:t xml:space="preserve">, </w:t>
      </w:r>
      <w:proofErr w:type="spellStart"/>
      <w:r>
        <w:t>pj</w:t>
      </w:r>
      <w:proofErr w:type="spellEnd"/>
      <w:r>
        <w:t xml:space="preserve"> ). Genes whose rank is up 95% get a weight value 1 and genes whose rank is below 85% get a weight value 0. Genes between 85% and 95% are given a weight value between 0 and 1 based on their rank. </w:t>
      </w:r>
      <w:r w:rsidR="00864F8A">
        <w:t xml:space="preserve">Then we calculate each gene’s average weight value and </w:t>
      </w:r>
      <w:r>
        <w:t xml:space="preserve">chose genes whose average weight value greater than 0.5 into </w:t>
      </w:r>
      <w:r w:rsidR="00864F8A">
        <w:t>the</w:t>
      </w:r>
      <w:r>
        <w:t xml:space="preserve"> gene list</w:t>
      </w:r>
      <w:r>
        <w:rPr>
          <w:rFonts w:hint="eastAsia"/>
        </w:rPr>
        <w:t xml:space="preserve"> L</w:t>
      </w:r>
      <w:r>
        <w:t xml:space="preserve">. </w:t>
      </w:r>
      <w:r w:rsidR="00864F8A">
        <w:t>These genes</w:t>
      </w:r>
      <w:r>
        <w:t xml:space="preserve"> are considered to be</w:t>
      </w:r>
      <w:r w:rsidR="00864F8A">
        <w:t xml:space="preserve"> differentially</w:t>
      </w:r>
      <w:r>
        <w:t xml:space="preserve"> expression genes </w:t>
      </w:r>
      <w:r w:rsidR="00864F8A">
        <w:t xml:space="preserve">in the disease because their weight value are high </w:t>
      </w:r>
      <w:r>
        <w:t xml:space="preserve">in most patients. </w:t>
      </w:r>
    </w:p>
    <w:p w14:paraId="57AADD8B" w14:textId="0C0E9124" w:rsidR="00CD0060" w:rsidRDefault="00864F8A">
      <w:pPr>
        <w:pStyle w:val="11"/>
        <w:rPr>
          <w:rFonts w:ascii="Times New Roman" w:hAnsi="Times New Roman"/>
        </w:rPr>
      </w:pPr>
      <w:r>
        <w:t>When we complete the construction of the gene list, t</w:t>
      </w:r>
      <w:r w:rsidR="009053E1">
        <w:t xml:space="preserve">he next step is to </w:t>
      </w:r>
      <w:r w:rsidR="009053E1">
        <w:rPr>
          <w:rFonts w:hint="eastAsia"/>
        </w:rPr>
        <w:t>generate subnets</w:t>
      </w:r>
      <w:r w:rsidR="009053E1">
        <w:t xml:space="preserve">. In this step, we </w:t>
      </w:r>
      <w:r w:rsidR="009053E1">
        <w:rPr>
          <w:rFonts w:hint="eastAsia"/>
        </w:rPr>
        <w:t>first generate the subnets S</w:t>
      </w:r>
      <w:r w:rsidR="00320B25">
        <w:t>S</w:t>
      </w:r>
      <w:r w:rsidR="009053E1">
        <w:rPr>
          <w:rFonts w:hint="eastAsia"/>
        </w:rPr>
        <w:t xml:space="preserve"> according to L. Then we add</w:t>
      </w:r>
      <w:r w:rsidR="009053E1">
        <w:t xml:space="preserve"> genes which </w:t>
      </w:r>
      <w:r w:rsidR="009053E1">
        <w:rPr>
          <w:rFonts w:hint="eastAsia"/>
        </w:rPr>
        <w:t xml:space="preserve">are </w:t>
      </w:r>
      <w:r w:rsidR="009053E1">
        <w:t>tightly connected to subnets</w:t>
      </w:r>
      <w:r w:rsidR="009053E1">
        <w:rPr>
          <w:rFonts w:hint="eastAsia"/>
        </w:rPr>
        <w:t xml:space="preserve"> into S</w:t>
      </w:r>
      <w:r w:rsidR="009053E1">
        <w:t xml:space="preserve">. Because the differentially expressed genes may be caused by genes that are not themselves differentially expressed. </w:t>
      </w:r>
      <w:r w:rsidR="009053E1">
        <w:rPr>
          <w:rFonts w:hint="eastAsia"/>
        </w:rPr>
        <w:t xml:space="preserve">For example, a gene has a mutation which impact on the shape of its protein product but its expression level are not </w:t>
      </w:r>
      <w:r w:rsidR="004514ED">
        <w:t>a</w:t>
      </w:r>
      <w:r w:rsidR="009053E1">
        <w:rPr>
          <w:rFonts w:hint="eastAsia"/>
        </w:rPr>
        <w:t xml:space="preserve">ffected. In this case, it can affect the surrounding genes which closely linked to it. Finally this gene has a </w:t>
      </w:r>
      <w:r w:rsidR="004514ED">
        <w:t>great impact on</w:t>
      </w:r>
      <w:r w:rsidR="009053E1">
        <w:rPr>
          <w:rFonts w:hint="eastAsia"/>
        </w:rPr>
        <w:t xml:space="preserve"> many differentially genes but its expression level has no change.</w:t>
      </w:r>
      <w:r w:rsidR="004514ED">
        <w:rPr>
          <w:rFonts w:hint="eastAsia"/>
        </w:rPr>
        <w:t xml:space="preserve"> </w:t>
      </w:r>
      <w:r w:rsidR="004514ED">
        <w:t>Thus it</w:t>
      </w:r>
      <w:r w:rsidR="004514ED">
        <w:rPr>
          <w:rFonts w:hint="eastAsia"/>
        </w:rPr>
        <w:t xml:space="preserve"> is easily to be ignored</w:t>
      </w:r>
      <w:r w:rsidR="004514ED">
        <w:t xml:space="preserve"> since the traditional method only pick genes that have great changes in expression</w:t>
      </w:r>
      <w:r w:rsidR="004514ED">
        <w:rPr>
          <w:rFonts w:hint="eastAsia"/>
        </w:rPr>
        <w:t xml:space="preserve">. </w:t>
      </w:r>
      <w:r w:rsidR="004514ED">
        <w:t xml:space="preserve">So </w:t>
      </w:r>
      <w:r w:rsidR="009053E1">
        <w:rPr>
          <w:rFonts w:hint="eastAsia"/>
        </w:rPr>
        <w:t>i</w:t>
      </w:r>
      <w:r w:rsidR="009053E1">
        <w:t xml:space="preserve">t is more likely that the genes which have more connection to gene sets </w:t>
      </w:r>
      <w:r w:rsidR="009053E1">
        <w:rPr>
          <w:rFonts w:hint="eastAsia"/>
        </w:rPr>
        <w:t xml:space="preserve">L </w:t>
      </w:r>
      <w:r w:rsidR="009053E1">
        <w:t>plays a similar function</w:t>
      </w:r>
      <w:r w:rsidR="009053E1">
        <w:rPr>
          <w:rFonts w:hint="eastAsia"/>
        </w:rPr>
        <w:t xml:space="preserve"> and we should pay attention to these </w:t>
      </w:r>
      <w:r w:rsidR="009053E1">
        <w:t>“</w:t>
      </w:r>
      <w:r w:rsidR="009053E1">
        <w:rPr>
          <w:rFonts w:hint="eastAsia"/>
        </w:rPr>
        <w:t>extra</w:t>
      </w:r>
      <w:r w:rsidR="009053E1">
        <w:t>”</w:t>
      </w:r>
      <w:r w:rsidR="009053E1">
        <w:rPr>
          <w:rFonts w:hint="eastAsia"/>
        </w:rPr>
        <w:t xml:space="preserve"> genes as well</w:t>
      </w:r>
      <w:r w:rsidR="009053E1">
        <w:t xml:space="preserve">. E.g. for subnet S with n nodes, when a node that don’t belong to </w:t>
      </w:r>
      <w:r w:rsidR="009053E1">
        <w:rPr>
          <w:rFonts w:hint="eastAsia"/>
        </w:rPr>
        <w:t xml:space="preserve">S </w:t>
      </w:r>
      <w:r w:rsidR="009053E1">
        <w:t xml:space="preserve">connect to more than 2*n/3 nodes in the subnet S, we add this node into </w:t>
      </w:r>
      <w:r w:rsidR="009053E1">
        <w:rPr>
          <w:rFonts w:hint="eastAsia"/>
        </w:rPr>
        <w:t>S</w:t>
      </w:r>
      <w:r w:rsidR="009053E1">
        <w:t>. (Fig. 2)</w:t>
      </w:r>
    </w:p>
    <w:p w14:paraId="510213E2" w14:textId="77777777" w:rsidR="00CD0060" w:rsidRDefault="009053E1">
      <w:pPr>
        <w:pStyle w:val="11"/>
      </w:pPr>
      <w:r>
        <w:rPr>
          <w:rFonts w:hint="eastAsia"/>
          <w:noProof/>
        </w:rPr>
        <w:drawing>
          <wp:inline distT="0" distB="0" distL="0" distR="0" wp14:anchorId="6F6C1A44" wp14:editId="21388456">
            <wp:extent cx="4581525" cy="2178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9390" cy="2196241"/>
                    </a:xfrm>
                    <a:prstGeom prst="rect">
                      <a:avLst/>
                    </a:prstGeom>
                  </pic:spPr>
                </pic:pic>
              </a:graphicData>
            </a:graphic>
          </wp:inline>
        </w:drawing>
      </w:r>
    </w:p>
    <w:p w14:paraId="57C19EA4" w14:textId="77777777" w:rsidR="00CD0060" w:rsidRDefault="009053E1">
      <w:r>
        <w:rPr>
          <w:rFonts w:hint="eastAsia"/>
          <w:b/>
        </w:rPr>
        <w:t xml:space="preserve">Fig. </w:t>
      </w:r>
      <w:r>
        <w:rPr>
          <w:b/>
        </w:rPr>
        <w:t>2</w:t>
      </w:r>
      <w:r>
        <w:rPr>
          <w:rFonts w:hint="eastAsia"/>
        </w:rPr>
        <w:t>. We add</w:t>
      </w:r>
      <w:r>
        <w:t xml:space="preserve"> nodes that closed to subnets into subnets S</w:t>
      </w:r>
    </w:p>
    <w:p w14:paraId="39EFD5BE" w14:textId="77777777" w:rsidR="00CD0060" w:rsidRDefault="009053E1">
      <w:pPr>
        <w:pStyle w:val="2"/>
      </w:pPr>
      <w:r>
        <w:t>2</w:t>
      </w:r>
      <w:r>
        <w:rPr>
          <w:rFonts w:hint="eastAsia"/>
        </w:rPr>
        <w:t>.2</w:t>
      </w:r>
      <w:r>
        <w:t xml:space="preserve"> Subnets scoring</w:t>
      </w:r>
    </w:p>
    <w:p w14:paraId="40E79D89" w14:textId="21A9D9A0" w:rsidR="00CD0060" w:rsidRDefault="009053E1">
      <w:pPr>
        <w:pStyle w:val="11"/>
      </w:pPr>
      <w:r>
        <w:t xml:space="preserve">For every subnet S, each patients of </w:t>
      </w:r>
      <w:r>
        <w:rPr>
          <w:rFonts w:hint="eastAsia"/>
        </w:rPr>
        <w:t xml:space="preserve">phenotype </w:t>
      </w:r>
      <w:r>
        <w:t xml:space="preserve">D can be scored as follows: </w:t>
      </w:r>
    </w:p>
    <w:p w14:paraId="10935D80" w14:textId="77777777" w:rsidR="00CD0060" w:rsidRDefault="009053E1">
      <w:pPr>
        <w:ind w:left="315" w:hangingChars="150" w:hanging="315"/>
        <w:jc w:val="right"/>
        <w:rPr>
          <w:rFonts w:ascii="Times New Roman" w:hAnsi="Times New Roman"/>
        </w:rPr>
      </w:pPr>
      <w:r>
        <w:rPr>
          <w:rFonts w:ascii="Times New Roman" w:hAnsi="Times New Roman"/>
        </w:rPr>
        <w:t xml:space="preserve">    </w:t>
      </w:r>
      <w:r>
        <w:rPr>
          <w:rFonts w:ascii="Times New Roman" w:hAnsi="Times New Roman" w:hint="eastAsia"/>
          <w:position w:val="-36"/>
        </w:rPr>
        <w:object w:dxaOrig="4402" w:dyaOrig="815" w14:anchorId="1039A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1pt;height:40.75pt" o:ole="">
            <v:imagedata r:id="rId10" o:title=""/>
          </v:shape>
          <o:OLEObject Type="Embed" ProgID="Equation.3" ShapeID="_x0000_i1025" DrawAspect="Content" ObjectID="_1552835734" r:id="rId11"/>
        </w:object>
      </w:r>
      <w:r>
        <w:rPr>
          <w:rFonts w:ascii="Times New Roman" w:hAnsi="Times New Roman"/>
        </w:rPr>
        <w:t xml:space="preserve">                </w:t>
      </w:r>
      <w:r>
        <w:rPr>
          <w:rFonts w:ascii="Times New Roman" w:hAnsi="Times New Roman"/>
        </w:rPr>
        <w:t>（</w:t>
      </w:r>
      <w:r>
        <w:rPr>
          <w:rFonts w:ascii="Times New Roman" w:hAnsi="Times New Roman"/>
        </w:rPr>
        <w:t>2-1</w:t>
      </w:r>
      <w:r>
        <w:rPr>
          <w:rFonts w:ascii="Times New Roman" w:hAnsi="Times New Roman"/>
        </w:rPr>
        <w:t>）</w:t>
      </w:r>
      <w:r>
        <w:rPr>
          <w:rFonts w:ascii="Times New Roman" w:hAnsi="Times New Roman"/>
        </w:rPr>
        <w:t xml:space="preserve">                   </w:t>
      </w:r>
      <w:r>
        <w:rPr>
          <w:rFonts w:ascii="Times New Roman" w:hAnsi="Times New Roman" w:hint="eastAsia"/>
          <w:position w:val="-40"/>
        </w:rPr>
        <w:object w:dxaOrig="4442" w:dyaOrig="856" w14:anchorId="0E73D983">
          <v:shape id="_x0000_i1026" type="#_x0000_t75" style="width:222.1pt;height:42.8pt" o:ole="">
            <v:imagedata r:id="rId12" o:title=""/>
          </v:shape>
          <o:OLEObject Type="Embed" ProgID="Equation.3" ShapeID="_x0000_i1026" DrawAspect="Content" ObjectID="_1552835735" r:id="rId13"/>
        </w:object>
      </w:r>
      <w:r>
        <w:rPr>
          <w:rFonts w:ascii="Times New Roman" w:hAnsi="Times New Roman"/>
        </w:rPr>
        <w:t xml:space="preserve">                </w:t>
      </w:r>
      <w:r>
        <w:rPr>
          <w:rFonts w:ascii="Times New Roman" w:hAnsi="Times New Roman"/>
        </w:rPr>
        <w:t>（</w:t>
      </w:r>
      <w:r>
        <w:rPr>
          <w:rFonts w:ascii="Times New Roman" w:hAnsi="Times New Roman"/>
        </w:rPr>
        <w:t>2-2</w:t>
      </w:r>
      <w:r>
        <w:rPr>
          <w:rFonts w:ascii="Times New Roman" w:hAnsi="Times New Roman"/>
        </w:rPr>
        <w:t>）</w:t>
      </w:r>
    </w:p>
    <w:p w14:paraId="0076AAFB" w14:textId="20E69FF5" w:rsidR="003E3A0E" w:rsidRPr="000067E0" w:rsidRDefault="003E3A0E" w:rsidP="003E3A0E">
      <w:pPr>
        <w:tabs>
          <w:tab w:val="left" w:pos="8080"/>
        </w:tabs>
      </w:pPr>
      <w:r>
        <w:t>Where</w:t>
      </w:r>
      <w:r>
        <w:rPr>
          <w:rFonts w:hint="eastAsia"/>
        </w:rPr>
        <w:t xml:space="preserve"> </w:t>
      </w:r>
      <m:oMath>
        <m:r>
          <w:rPr>
            <w:rFonts w:ascii="Cambria Math" w:hAnsi="Cambria Math"/>
          </w:rPr>
          <m:t>D</m:t>
        </m:r>
      </m:oMath>
      <w:r>
        <w:rPr>
          <w:rFonts w:hint="eastAsia"/>
        </w:rPr>
        <w:t xml:space="preserve"> </w:t>
      </w:r>
      <w:r>
        <w:t>is</w:t>
      </w:r>
      <w:r>
        <w:rPr>
          <w:rFonts w:hint="eastAsia"/>
        </w:rPr>
        <w:t xml:space="preserve"> the phenotype for which </w:t>
      </w:r>
      <w:r>
        <w:t>the subnet is generate and</w:t>
      </w:r>
      <w:r w:rsidR="00EE4399">
        <w:t xml:space="preserve"> </w:t>
      </w:r>
      <m:oMath>
        <m:r>
          <w:rPr>
            <w:rFonts w:ascii="Cambria Math" w:hAnsi="Cambria Math"/>
          </w:rPr>
          <m:t>¬D</m:t>
        </m:r>
      </m:oMath>
      <w:r>
        <w:t xml:space="preserve"> is</w:t>
      </w:r>
      <w:r>
        <w:rPr>
          <w:rFonts w:hint="eastAsia"/>
        </w:rPr>
        <w:t xml:space="preserve"> the phenotype for </w:t>
      </w:r>
      <w:r>
        <w:t xml:space="preserve">normal </w:t>
      </w:r>
      <w:proofErr w:type="gramStart"/>
      <w:r>
        <w:t>patients.</w:t>
      </w:r>
      <w:proofErr w:type="gramEnd"/>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Pr>
          <w:rFonts w:hint="eastAsia"/>
        </w:rPr>
        <w:t xml:space="preserve"> </w:t>
      </w:r>
      <w:proofErr w:type="gramStart"/>
      <w:r>
        <w:t>ranges</w:t>
      </w:r>
      <w:proofErr w:type="gramEnd"/>
      <w:r>
        <w:t xml:space="preserve"> over the patients of phenotype </w:t>
      </w:r>
      <m:oMath>
        <m:r>
          <w:rPr>
            <w:rFonts w:ascii="Cambria Math" w:hAnsi="Cambria Math"/>
          </w:rPr>
          <m:t>D</m:t>
        </m:r>
      </m:oMath>
      <w:r>
        <w:t xml:space="preserve"> and </w:t>
      </w:r>
      <w:r w:rsidRPr="002F1736">
        <w:rPr>
          <w:position w:val="-12"/>
        </w:rPr>
        <w:object w:dxaOrig="859" w:dyaOrig="380" w14:anchorId="0D6C414C">
          <v:shape id="_x0000_i1027" type="#_x0000_t75" style="width:42.8pt;height:19pt" o:ole="">
            <v:imagedata r:id="rId14" o:title=""/>
          </v:shape>
          <o:OLEObject Type="Embed" ProgID="Equation.3" ShapeID="_x0000_i1027" DrawAspect="Content" ObjectID="_1552835736" r:id="rId15"/>
        </w:object>
      </w:r>
      <w:r>
        <w:rPr>
          <w:rFonts w:hint="eastAsia"/>
        </w:rPr>
        <w:t xml:space="preserve"> </w:t>
      </w:r>
      <w:r>
        <w:t xml:space="preserve">is </w:t>
      </w:r>
      <w:r>
        <w:rPr>
          <w:rFonts w:hint="eastAsia"/>
        </w:rPr>
        <w:t xml:space="preserve">the </w:t>
      </w:r>
      <w:r>
        <w:t>weight value for each patient of each gen.</w:t>
      </w:r>
    </w:p>
    <w:p w14:paraId="638A0A7E" w14:textId="77777777" w:rsidR="00CD0060" w:rsidRDefault="009053E1">
      <w:pPr>
        <w:pStyle w:val="11"/>
        <w:tabs>
          <w:tab w:val="left" w:pos="426"/>
        </w:tabs>
      </w:pPr>
      <w:r>
        <w:rPr>
          <w:rFonts w:hint="eastAsia"/>
        </w:rPr>
        <w:t xml:space="preserve">In this step, we get two scores for each subnet. </w:t>
      </w:r>
      <w:r>
        <w:t xml:space="preserve">When we get two scores that both describe the network S, we expect the scores calculated by D and </w:t>
      </w:r>
      <w:r>
        <w:rPr>
          <w:rFonts w:ascii="宋体" w:hAnsi="宋体" w:cs="宋体" w:hint="eastAsia"/>
        </w:rPr>
        <w:t>¬</w:t>
      </w:r>
      <w:r>
        <w:rPr>
          <w:rFonts w:hint="eastAsia"/>
        </w:rPr>
        <w:t>D</w:t>
      </w:r>
      <w:r>
        <w:t xml:space="preserve"> is really diffident since they come from different phenotype. So a paired t-test was done under the null hypothesis that the difference in scores gives us a distribution with mean=0. While doing a t-test, we considered the structural information of the subnet as well. It is easy to think that sparse networks and dense networks are </w:t>
      </w:r>
      <w:r>
        <w:rPr>
          <w:rFonts w:hint="eastAsia"/>
        </w:rPr>
        <w:t>really</w:t>
      </w:r>
      <w:r>
        <w:t xml:space="preserve"> different. A dense network has more edges and is more likely to have informations. </w:t>
      </w:r>
      <w:r>
        <w:rPr>
          <w:rFonts w:hint="eastAsia"/>
        </w:rPr>
        <w:t xml:space="preserve">The nodes in dense network are closely connected and have the tendency to play a same function. Thus, we introduce the density of the graph to measure the score of each network. The density of the graph can reflect the closeness of the nodes in the </w:t>
      </w:r>
      <w:proofErr w:type="spellStart"/>
      <w:r>
        <w:rPr>
          <w:rFonts w:hint="eastAsia"/>
        </w:rPr>
        <w:t>fraph</w:t>
      </w:r>
      <w:proofErr w:type="spellEnd"/>
      <w:r>
        <w:rPr>
          <w:rFonts w:hint="eastAsia"/>
        </w:rPr>
        <w:t xml:space="preserve">. So a variant t-test is used to score each subnet. </w:t>
      </w:r>
      <w:r>
        <w:t>The final score of subnets not only use the gene average weight value but also the density of the subnet. For every subnet S, the score is defined as follows:</w:t>
      </w:r>
      <w:r>
        <w:rPr>
          <w:rFonts w:ascii="Times New Roman" w:hAnsi="Times New Roman"/>
        </w:rPr>
        <w:t xml:space="preserve">  </w:t>
      </w:r>
    </w:p>
    <w:p w14:paraId="7EB0FA3C" w14:textId="0F518D10" w:rsidR="0019240B" w:rsidRPr="008A53D1" w:rsidRDefault="00A4329E" w:rsidP="0019240B">
      <w:pPr>
        <w:tabs>
          <w:tab w:val="left" w:pos="426"/>
        </w:tabs>
        <w:ind w:right="105"/>
        <w:jc w:val="center"/>
        <w:rPr>
          <w:rFonts w:ascii="Times New Roman" w:hAnsi="Times New Roman"/>
        </w:rPr>
      </w:pPr>
      <m:oMath>
        <m:r>
          <m:rPr>
            <m:sty m:val="p"/>
          </m:rPr>
          <w:rPr>
            <w:rFonts w:ascii="Cambria Math" w:hAnsi="Cambria Math"/>
          </w:rPr>
          <m:t xml:space="preserve"> </m:t>
        </m:r>
        <m:r>
          <w:rPr>
            <w:rFonts w:ascii="Cambria Math" w:hAnsi="Cambria Math"/>
          </w:rPr>
          <m:t>DF</m:t>
        </m:r>
        <m:d>
          <m:dPr>
            <m:ctrlPr>
              <w:rPr>
                <w:rFonts w:ascii="Cambria Math" w:hAnsi="Cambria Math"/>
              </w:rPr>
            </m:ctrlPr>
          </m:dPr>
          <m:e>
            <m:r>
              <m:rPr>
                <m:sty m:val="p"/>
              </m:rPr>
              <w:rPr>
                <w:rFonts w:ascii="Cambria Math" w:hAnsi="Cambria Math"/>
              </w:rPr>
              <m:t xml:space="preserve"> </m:t>
            </m:r>
            <m:r>
              <w:rPr>
                <w:rFonts w:ascii="Cambria Math" w:hAnsi="Cambria Math"/>
              </w:rPr>
              <m:t>S</m:t>
            </m:r>
          </m:e>
        </m:d>
        <m:r>
          <w:rPr>
            <w:rFonts w:ascii="Cambria Math" w:hAnsi="Cambria Math"/>
          </w:rPr>
          <m:t xml:space="preserve">= </m:t>
        </m:r>
        <m:r>
          <m:rPr>
            <m:sty m:val="p"/>
          </m:rPr>
          <w:rPr>
            <w:rFonts w:ascii="Cambria Math" w:hAnsi="Cambria Math"/>
            <w:position w:val="-36"/>
          </w:rPr>
          <w:object w:dxaOrig="2740" w:dyaOrig="780" w14:anchorId="234864C4">
            <v:shape id="_x0000_i1028" type="#_x0000_t75" style="width:137.2pt;height:38.7pt" o:ole="">
              <v:imagedata r:id="rId16" o:title=""/>
            </v:shape>
            <o:OLEObject Type="Embed" ProgID="Equation.3" ShapeID="_x0000_i1028" DrawAspect="Content" ObjectID="_1552835737" r:id="rId17"/>
          </w:object>
        </m:r>
        <m:r>
          <w:rPr>
            <w:rFonts w:ascii="Cambria Math" w:hAnsi="Cambria Math"/>
          </w:rPr>
          <m:t xml:space="preserve">- </m:t>
        </m:r>
        <m:r>
          <m:rPr>
            <m:sty m:val="p"/>
          </m:rPr>
          <w:rPr>
            <w:rFonts w:ascii="Cambria Math" w:hAnsi="Cambria Math"/>
            <w:position w:val="-40"/>
          </w:rPr>
          <w:object w:dxaOrig="2880" w:dyaOrig="820" w14:anchorId="2B4E8780">
            <v:shape id="_x0000_i1029" type="#_x0000_t75" style="width:2in;height:41.45pt" o:ole="">
              <v:imagedata r:id="rId18" o:title=""/>
            </v:shape>
            <o:OLEObject Type="Embed" ProgID="Equation.3" ShapeID="_x0000_i1029" DrawAspect="Content" ObjectID="_1552835738" r:id="rId19"/>
          </w:object>
        </m:r>
      </m:oMath>
      <w:r w:rsidR="0019240B">
        <w:t xml:space="preserve"> </w:t>
      </w:r>
      <w:r w:rsidR="0019240B">
        <w:tab/>
      </w:r>
      <w:r w:rsidR="0019240B">
        <w:rPr>
          <w:rFonts w:ascii="Times New Roman" w:hAnsi="Times New Roman"/>
        </w:rPr>
        <w:t>(2-3)</w:t>
      </w:r>
    </w:p>
    <w:p w14:paraId="667CCD99" w14:textId="2FE8CB9A" w:rsidR="0019240B" w:rsidRPr="000F4B85" w:rsidRDefault="0019240B" w:rsidP="0019240B">
      <w:pPr>
        <w:tabs>
          <w:tab w:val="left" w:pos="709"/>
          <w:tab w:val="left" w:pos="7655"/>
        </w:tabs>
        <w:ind w:right="105"/>
        <w:jc w:val="center"/>
        <w:rPr>
          <w:rFonts w:ascii="Times New Roman" w:hAnsi="Times New Roman"/>
        </w:rPr>
      </w:pPr>
      <w:r>
        <w:rPr>
          <w:rFonts w:ascii="Times New Roman" w:hAnsi="Times New Roman"/>
          <w:sz w:val="22"/>
        </w:rPr>
        <w:tab/>
        <w:t xml:space="preserve"> </w:t>
      </w:r>
      <m:oMath>
        <m:r>
          <m:rPr>
            <m:sty m:val="p"/>
          </m:rPr>
          <w:rPr>
            <w:rFonts w:ascii="Cambria Math" w:hAnsi="Cambria Math"/>
          </w:rPr>
          <m:t xml:space="preserve"> </m:t>
        </m:r>
        <m:r>
          <w:rPr>
            <w:rFonts w:ascii="Cambria Math" w:hAnsi="Cambria Math"/>
          </w:rPr>
          <m:t>Score(S)</m:t>
        </m:r>
        <m:r>
          <m:rPr>
            <m:sty m:val="p"/>
          </m:rPr>
          <w:rPr>
            <w:rFonts w:ascii="Cambria Math" w:hAnsi="Cambria Math"/>
            <w:sz w:val="22"/>
          </w:rPr>
          <m:t>= -</m:t>
        </m:r>
        <m:f>
          <m:fPr>
            <m:ctrlPr>
              <w:rPr>
                <w:rFonts w:ascii="Cambria Math" w:hAnsi="Cambria Math"/>
                <w:sz w:val="22"/>
              </w:rPr>
            </m:ctrlPr>
          </m:fPr>
          <m:num>
            <m:r>
              <w:rPr>
                <w:rFonts w:ascii="Cambria Math" w:hAnsi="Cambria Math"/>
                <w:sz w:val="22"/>
              </w:rPr>
              <m:t>1</m:t>
            </m:r>
          </m:num>
          <m:den>
            <m:r>
              <m:rPr>
                <m:sty m:val="p"/>
              </m:rPr>
              <w:rPr>
                <w:rFonts w:ascii="Cambria Math" w:hAnsi="Cambria Math"/>
                <w:sz w:val="22"/>
              </w:rPr>
              <m:t>log⁡(</m:t>
            </m:r>
            <m:r>
              <w:rPr>
                <w:rFonts w:ascii="Cambria Math" w:hAnsi="Cambria Math"/>
              </w:rPr>
              <m:t>DF</m:t>
            </m:r>
            <m:d>
              <m:dPr>
                <m:ctrlPr>
                  <w:rPr>
                    <w:rFonts w:ascii="Cambria Math" w:hAnsi="Cambria Math"/>
                  </w:rPr>
                </m:ctrlPr>
              </m:dPr>
              <m:e>
                <m:r>
                  <m:rPr>
                    <m:sty m:val="p"/>
                  </m:rPr>
                  <w:rPr>
                    <w:rFonts w:ascii="Cambria Math" w:hAnsi="Cambria Math"/>
                  </w:rPr>
                  <m:t xml:space="preserve"> </m:t>
                </m:r>
                <m:r>
                  <w:rPr>
                    <w:rFonts w:ascii="Cambria Math" w:hAnsi="Cambria Math"/>
                  </w:rPr>
                  <m:t>S</m:t>
                </m:r>
              </m:e>
            </m:d>
            <m:r>
              <m:rPr>
                <m:sty m:val="p"/>
              </m:rPr>
              <w:rPr>
                <w:rFonts w:ascii="Cambria Math" w:hAnsi="Cambria Math"/>
                <w:sz w:val="22"/>
              </w:rPr>
              <m:t>)</m:t>
            </m:r>
          </m:den>
        </m:f>
        <m:r>
          <w:rPr>
            <w:rFonts w:ascii="Cambria Math" w:hAnsi="Cambria Math"/>
            <w:sz w:val="22"/>
          </w:rPr>
          <m:t>*</m:t>
        </m:r>
        <m:f>
          <m:fPr>
            <m:ctrlPr>
              <w:rPr>
                <w:rFonts w:ascii="Cambria Math" w:hAnsi="Cambria Math"/>
                <w:sz w:val="22"/>
              </w:rPr>
            </m:ctrlPr>
          </m:fPr>
          <m:num>
            <m:r>
              <w:rPr>
                <w:rFonts w:ascii="Cambria Math" w:hAnsi="Cambria Math"/>
                <w:sz w:val="22"/>
              </w:rPr>
              <m:t>n*</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nary>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piϵD</m:t>
                    </m:r>
                  </m:sub>
                  <m:sup/>
                  <m:e>
                    <m:sSup>
                      <m:sSupPr>
                        <m:ctrlPr>
                          <w:rPr>
                            <w:rFonts w:ascii="Cambria Math" w:hAnsi="Cambria Math"/>
                            <w:i/>
                            <w:sz w:val="22"/>
                          </w:rPr>
                        </m:ctrlPr>
                      </m:sSupPr>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sup>
                        <m:r>
                          <w:rPr>
                            <w:rFonts w:ascii="Cambria Math" w:hAnsi="Cambria Math"/>
                            <w:sz w:val="22"/>
                          </w:rPr>
                          <m:t>2</m:t>
                        </m:r>
                      </m:sup>
                    </m:sSup>
                  </m:e>
                </m:nary>
                <m:r>
                  <w:rPr>
                    <w:rFonts w:ascii="Cambria Math" w:hAnsi="Cambria Math"/>
                    <w:sz w:val="22"/>
                  </w:rPr>
                  <m:t>-n*</m:t>
                </m:r>
                <m:sSup>
                  <m:sSupPr>
                    <m:ctrlPr>
                      <w:rPr>
                        <w:rFonts w:ascii="Cambria Math" w:hAnsi="Cambria Math"/>
                        <w:i/>
                        <w:sz w:val="22"/>
                      </w:rPr>
                    </m:ctrlPr>
                  </m:sSupPr>
                  <m:e>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r>
                          <w:rPr>
                            <w:rFonts w:ascii="Cambria Math" w:hAnsi="Cambria Math"/>
                            <w:sz w:val="22"/>
                          </w:rPr>
                          <m:t>(S)</m:t>
                        </m:r>
                      </m:e>
                    </m:nary>
                  </m:e>
                  <m:sup>
                    <m:r>
                      <w:rPr>
                        <w:rFonts w:ascii="Cambria Math" w:hAnsi="Cambria Math"/>
                        <w:sz w:val="22"/>
                      </w:rPr>
                      <m:t>2</m:t>
                    </m:r>
                  </m:sup>
                </m:sSup>
              </m:e>
            </m:rad>
          </m:den>
        </m:f>
      </m:oMath>
      <w:r>
        <w:rPr>
          <w:rFonts w:ascii="Times New Roman" w:hAnsi="Times New Roman"/>
          <w:sz w:val="22"/>
        </w:rPr>
        <w:t xml:space="preserve"> </w:t>
      </w:r>
      <w:r>
        <w:rPr>
          <w:rFonts w:ascii="Times New Roman" w:hAnsi="Times New Roman"/>
          <w:sz w:val="22"/>
        </w:rPr>
        <w:tab/>
        <w:t>(2-4)</w:t>
      </w:r>
    </w:p>
    <w:p w14:paraId="5F7C6005" w14:textId="417C87D1" w:rsidR="001B4180" w:rsidRDefault="001B4180" w:rsidP="001B4180">
      <w:r>
        <w:t>Where</w:t>
      </w:r>
      <m:oMath>
        <m:r>
          <m:rPr>
            <m:sty m:val="p"/>
          </m:rPr>
          <w:rPr>
            <w:rFonts w:ascii="Cambria Math" w:hAnsi="Cambria Math"/>
          </w:rPr>
          <m:t xml:space="preserve"> </m:t>
        </m:r>
        <m:r>
          <w:rPr>
            <w:rFonts w:ascii="Cambria Math" w:hAnsi="Cambria Math"/>
          </w:rPr>
          <m:t>DS(S)</m:t>
        </m:r>
      </m:oMath>
      <w:r>
        <w:t xml:space="preserve"> is</w:t>
      </w:r>
      <w:r>
        <w:rPr>
          <w:rFonts w:hint="eastAsia"/>
        </w:rPr>
        <w:t xml:space="preserve"> the </w:t>
      </w:r>
      <w:r>
        <w:t xml:space="preserve">density of subnet </w:t>
      </w:r>
      <w:proofErr w:type="gramStart"/>
      <w:r>
        <w:t>S.</w:t>
      </w:r>
      <w:proofErr w:type="gramEnd"/>
      <w:r>
        <w:rPr>
          <w:rFonts w:hint="eastAsia"/>
        </w:rPr>
        <w:t xml:space="preserve"> </w:t>
      </w:r>
    </w:p>
    <w:p w14:paraId="7A31889C" w14:textId="5952C0C8" w:rsidR="00CA7C92" w:rsidRDefault="00CA7C92" w:rsidP="00CA7C92">
      <w:pPr>
        <w:pStyle w:val="2"/>
      </w:pPr>
      <w:r>
        <w:t>2</w:t>
      </w:r>
      <w:r>
        <w:rPr>
          <w:rFonts w:hint="eastAsia"/>
        </w:rPr>
        <w:t>.</w:t>
      </w:r>
      <w:r>
        <w:t>3 Subnets output</w:t>
      </w:r>
    </w:p>
    <w:p w14:paraId="56BA9917" w14:textId="5A2F943D" w:rsidR="00CA7C92" w:rsidRPr="00CA7C92" w:rsidRDefault="00CA7C92" w:rsidP="00CA7C92"/>
    <w:p w14:paraId="08C91FBA" w14:textId="7FADB84D" w:rsidR="00CD0060" w:rsidRDefault="00B75C7A">
      <w:pPr>
        <w:pStyle w:val="1"/>
      </w:pPr>
      <w:r>
        <w:t>3</w:t>
      </w:r>
      <w:r w:rsidR="009053E1">
        <w:t xml:space="preserve"> Results</w:t>
      </w:r>
    </w:p>
    <w:p w14:paraId="26D2C9AF" w14:textId="1C3CB4F8" w:rsidR="00CD0060" w:rsidRDefault="007F6ED1" w:rsidP="007F6ED1">
      <w:pPr>
        <w:pStyle w:val="11"/>
      </w:pPr>
      <w:r>
        <w:t>The GO project has develop three structured ontologies that describe gene products in term of their associated biological processes, cellular components and molecular functions in a species-independent manner. A biological process is a recognized series of events or molecular functions. Here, we study the biological process across GO database.</w:t>
      </w:r>
      <w:r>
        <w:rPr>
          <w:rFonts w:hint="eastAsia"/>
        </w:rPr>
        <w:t xml:space="preserve"> </w:t>
      </w:r>
      <w:r w:rsidR="009053E1">
        <w:t xml:space="preserve">We use GO from Gene Ontology Consortium, a project that address the need for consistent description of gene products across databases. </w:t>
      </w:r>
    </w:p>
    <w:p w14:paraId="7F90115E" w14:textId="08E7DA85" w:rsidR="00CD0060" w:rsidRDefault="00C034F8">
      <w:pPr>
        <w:pStyle w:val="11"/>
      </w:pPr>
      <w:r>
        <w:t xml:space="preserve">We tested </w:t>
      </w:r>
      <w:proofErr w:type="spellStart"/>
      <w:r>
        <w:t>DNet</w:t>
      </w:r>
      <w:proofErr w:type="spellEnd"/>
      <w:r>
        <w:t xml:space="preserve"> on independent datasets of two diseases. </w:t>
      </w:r>
      <w:r w:rsidR="009053E1">
        <w:t xml:space="preserve">For each of the two disease types studied here—Leukemia (Armstrong et al., 2002; </w:t>
      </w:r>
      <w:proofErr w:type="spellStart"/>
      <w:r w:rsidR="009053E1">
        <w:t>Golub</w:t>
      </w:r>
      <w:proofErr w:type="spellEnd"/>
      <w:r w:rsidR="009053E1">
        <w:t xml:space="preserve"> et al., 1999) and </w:t>
      </w:r>
      <w:proofErr w:type="spellStart"/>
      <w:r w:rsidR="009053E1">
        <w:t>Duchenne</w:t>
      </w:r>
      <w:proofErr w:type="spellEnd"/>
      <w:r w:rsidR="009053E1">
        <w:t xml:space="preserve"> Muscular Dystrophy (DMD</w:t>
      </w:r>
      <w:proofErr w:type="gramStart"/>
      <w:r w:rsidR="009053E1">
        <w:t>)(</w:t>
      </w:r>
      <w:proofErr w:type="gramEnd"/>
      <w:r w:rsidR="009053E1">
        <w:t xml:space="preserve">Haslett et al., 2002; </w:t>
      </w:r>
      <w:proofErr w:type="spellStart"/>
      <w:r w:rsidR="009053E1">
        <w:t>Pescatori</w:t>
      </w:r>
      <w:proofErr w:type="spellEnd"/>
      <w:r w:rsidR="009053E1">
        <w:t xml:space="preserve"> et al., 2007)—we obtain two independent datasets which are produced using different microarray platforms. For each disease type, we run </w:t>
      </w:r>
      <w:proofErr w:type="spellStart"/>
      <w:r w:rsidR="00CA7C92">
        <w:t>D</w:t>
      </w:r>
      <w:r w:rsidR="009053E1">
        <w:t>Net</w:t>
      </w:r>
      <w:proofErr w:type="spellEnd"/>
      <w:r w:rsidR="009053E1">
        <w:t xml:space="preserve"> and </w:t>
      </w:r>
      <w:proofErr w:type="spellStart"/>
      <w:r w:rsidR="00CA7C92">
        <w:lastRenderedPageBreak/>
        <w:t>PFS</w:t>
      </w:r>
      <w:r w:rsidR="009053E1">
        <w:t>Net</w:t>
      </w:r>
      <w:proofErr w:type="spellEnd"/>
      <w:r w:rsidR="009053E1">
        <w:t xml:space="preserve"> on the two datasets independently and obtain a corresponding outputs about disease affected biological process.</w:t>
      </w:r>
      <w:r w:rsidR="009053E1">
        <w:rPr>
          <w:rFonts w:hint="eastAsia"/>
        </w:rPr>
        <w:t xml:space="preserve"> We compared the results form </w:t>
      </w:r>
      <w:proofErr w:type="spellStart"/>
      <w:r w:rsidR="009053E1">
        <w:rPr>
          <w:rFonts w:hint="eastAsia"/>
        </w:rPr>
        <w:t>DNet</w:t>
      </w:r>
      <w:proofErr w:type="spellEnd"/>
      <w:r w:rsidR="009053E1">
        <w:rPr>
          <w:rFonts w:hint="eastAsia"/>
        </w:rPr>
        <w:t xml:space="preserve"> and </w:t>
      </w:r>
      <w:proofErr w:type="spellStart"/>
      <w:r w:rsidR="009053E1">
        <w:rPr>
          <w:rFonts w:hint="eastAsia"/>
        </w:rPr>
        <w:t>PFSNet</w:t>
      </w:r>
      <w:proofErr w:type="spellEnd"/>
      <w:r w:rsidR="009053E1">
        <w:rPr>
          <w:rFonts w:hint="eastAsia"/>
        </w:rPr>
        <w:t xml:space="preserve">. The results indicate that our technique gives a higher consistently for </w:t>
      </w:r>
      <w:r w:rsidR="00B75C7A">
        <w:t>each disease</w:t>
      </w:r>
      <w:r w:rsidR="009053E1">
        <w:rPr>
          <w:rFonts w:hint="eastAsia"/>
        </w:rPr>
        <w:t xml:space="preserve">. </w:t>
      </w:r>
      <w:r w:rsidR="009053E1">
        <w:tab/>
        <w:t xml:space="preserve">    </w:t>
      </w:r>
    </w:p>
    <w:p w14:paraId="54F73856" w14:textId="5CB7AC8C" w:rsidR="00CD0060" w:rsidRDefault="00B75C7A">
      <w:pPr>
        <w:pStyle w:val="2"/>
      </w:pPr>
      <w:r>
        <w:t>3</w:t>
      </w:r>
      <w:r w:rsidR="009053E1">
        <w:rPr>
          <w:rFonts w:hint="eastAsia"/>
        </w:rPr>
        <w:t xml:space="preserve">.1 comparing </w:t>
      </w:r>
      <w:proofErr w:type="spellStart"/>
      <w:r w:rsidR="009053E1">
        <w:t>DNet</w:t>
      </w:r>
      <w:proofErr w:type="spellEnd"/>
      <w:r w:rsidR="009053E1">
        <w:t xml:space="preserve"> and </w:t>
      </w:r>
      <w:proofErr w:type="spellStart"/>
      <w:r w:rsidR="009053E1">
        <w:t>PFSnet</w:t>
      </w:r>
      <w:proofErr w:type="spellEnd"/>
    </w:p>
    <w:p w14:paraId="4869129C" w14:textId="4DB217CE" w:rsidR="00CD0060" w:rsidRDefault="00B75C7A" w:rsidP="00B75C7A">
      <w:r>
        <w:t xml:space="preserve">When comparing </w:t>
      </w:r>
      <w:proofErr w:type="spellStart"/>
      <w:r>
        <w:t>DNet</w:t>
      </w:r>
      <w:proofErr w:type="spellEnd"/>
      <w:r>
        <w:t xml:space="preserve"> and </w:t>
      </w:r>
      <w:proofErr w:type="spellStart"/>
      <w:r>
        <w:t>PFSNet</w:t>
      </w:r>
      <w:proofErr w:type="spellEnd"/>
      <w:r>
        <w:t xml:space="preserve">, we set </w:t>
      </w:r>
      <m:oMath>
        <m:sSub>
          <m:sSubPr>
            <m:ctrlPr>
              <w:rPr>
                <w:rFonts w:ascii="Cambria Math" w:hAnsi="Cambria Math"/>
              </w:rPr>
            </m:ctrlPr>
          </m:sSubPr>
          <m:e>
            <m:r>
              <w:rPr>
                <w:rFonts w:ascii="Cambria Math" w:hAnsi="Cambria Math"/>
              </w:rPr>
              <m:t>θ</m:t>
            </m:r>
          </m:e>
          <m:sub>
            <m:r>
              <w:rPr>
                <w:rFonts w:ascii="Cambria Math" w:hAnsi="Cambria Math"/>
              </w:rPr>
              <m:t xml:space="preserve">1 </m:t>
            </m:r>
          </m:sub>
        </m:sSub>
      </m:oMath>
      <w:r>
        <w:rPr>
          <w:rFonts w:hint="eastAsia"/>
        </w:rPr>
        <w:t>=</w:t>
      </w:r>
      <w:r>
        <w:t xml:space="preserve"> </w:t>
      </w:r>
      <w:r>
        <w:rPr>
          <w:rFonts w:hint="eastAsia"/>
        </w:rPr>
        <w:t xml:space="preserve">5% and </w:t>
      </w:r>
      <m:oMath>
        <m:sSub>
          <m:sSubPr>
            <m:ctrlPr>
              <w:rPr>
                <w:rFonts w:ascii="Cambria Math" w:hAnsi="Cambria Math"/>
              </w:rPr>
            </m:ctrlPr>
          </m:sSubPr>
          <m:e>
            <m:r>
              <w:rPr>
                <w:rFonts w:ascii="Cambria Math" w:hAnsi="Cambria Math"/>
              </w:rPr>
              <m:t>θ</m:t>
            </m:r>
          </m:e>
          <m:sub>
            <m:r>
              <w:rPr>
                <w:rFonts w:ascii="Cambria Math" w:hAnsi="Cambria Math"/>
              </w:rPr>
              <m:t>2</m:t>
            </m:r>
          </m:sub>
        </m:sSub>
      </m:oMath>
      <w:r>
        <w:rPr>
          <w:rFonts w:hint="eastAsia"/>
        </w:rPr>
        <w:t xml:space="preserve"> =</w:t>
      </w:r>
      <w:r>
        <w:t xml:space="preserve"> 15% for </w:t>
      </w:r>
      <w:proofErr w:type="spellStart"/>
      <w:r>
        <w:t>PFSNet</w:t>
      </w:r>
      <w:proofErr w:type="spellEnd"/>
      <w:r>
        <w:t>.</w:t>
      </w:r>
      <w:r w:rsidR="009053E1">
        <w:t xml:space="preserve"> In this way, genes above 95th percentile are given a total vote and genes below 85th are given no vote at all. This allows same genes to be considered in </w:t>
      </w:r>
      <w:proofErr w:type="spellStart"/>
      <w:r w:rsidR="009053E1">
        <w:t>DNet</w:t>
      </w:r>
      <w:proofErr w:type="spellEnd"/>
      <w:r w:rsidR="009053E1">
        <w:t xml:space="preserve"> and </w:t>
      </w:r>
      <w:proofErr w:type="spellStart"/>
      <w:r w:rsidR="009053E1">
        <w:t>PFSNet</w:t>
      </w:r>
      <w:proofErr w:type="spellEnd"/>
      <w:r w:rsidR="009053E1">
        <w:t xml:space="preserve">. In the results, we compare top 10, top 20, top 30 and top 40 significant subnets from two datasets using </w:t>
      </w:r>
      <w:proofErr w:type="spellStart"/>
      <w:r w:rsidR="009053E1">
        <w:t>Jaccard</w:t>
      </w:r>
      <w:proofErr w:type="spellEnd"/>
      <w:r w:rsidR="009053E1">
        <w:t xml:space="preserve"> similarity coefficient method. It is defined as follows:</w:t>
      </w:r>
    </w:p>
    <w:p w14:paraId="37FA0A2D" w14:textId="5D7BA957" w:rsidR="00AB0D0B" w:rsidRDefault="00AB0D0B" w:rsidP="00AB0D0B">
      <w:pPr>
        <w:tabs>
          <w:tab w:val="left" w:pos="3261"/>
        </w:tabs>
      </w:pPr>
      <m:oMathPara>
        <m:oMath>
          <m:r>
            <w:rPr>
              <w:rFonts w:ascii="Cambria Math" w:hAnsi="Cambria Math"/>
            </w:rPr>
            <m:t xml:space="preserve">J(A,B)= </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14:paraId="01FBCE8E" w14:textId="6A5F5A0E" w:rsidR="00CD0060" w:rsidRDefault="009053E1">
      <w:r>
        <w:t xml:space="preserve">   </w:t>
      </w:r>
      <w:r w:rsidR="004F7040">
        <w:t xml:space="preserve">We run </w:t>
      </w:r>
      <w:proofErr w:type="spellStart"/>
      <w:r w:rsidR="004F7040">
        <w:t>DNet</w:t>
      </w:r>
      <w:proofErr w:type="spellEnd"/>
      <w:r w:rsidR="004F7040">
        <w:t xml:space="preserve"> and </w:t>
      </w:r>
      <w:proofErr w:type="spellStart"/>
      <w:r w:rsidR="004F7040">
        <w:t>PFSNet</w:t>
      </w:r>
      <w:proofErr w:type="spellEnd"/>
      <w:r w:rsidR="004F7040">
        <w:t xml:space="preserve"> on </w:t>
      </w:r>
      <w:r w:rsidR="004F7040">
        <w:t>two</w:t>
      </w:r>
      <w:r w:rsidR="004F7040">
        <w:t xml:space="preserve"> datasets and analysis the results of top 10, top 20, top 30 and top 40 subnets</w:t>
      </w:r>
      <w:r w:rsidR="004F7040">
        <w:t xml:space="preserve">. </w:t>
      </w:r>
      <w:r>
        <w:t>I</w:t>
      </w:r>
      <w:r>
        <w:rPr>
          <w:rFonts w:hint="eastAsia"/>
        </w:rPr>
        <w:t xml:space="preserve">n </w:t>
      </w:r>
      <w:proofErr w:type="spellStart"/>
      <w:r>
        <w:t>DNet</w:t>
      </w:r>
      <w:proofErr w:type="spellEnd"/>
      <w:r>
        <w:t xml:space="preserve">, we get even higher subnet-level agreement than </w:t>
      </w:r>
      <w:proofErr w:type="spellStart"/>
      <w:r>
        <w:t>PFSNet</w:t>
      </w:r>
      <w:proofErr w:type="spellEnd"/>
      <w:r>
        <w:t xml:space="preserve"> in the two dataset (Fig.3). </w:t>
      </w:r>
      <w:r w:rsidR="00F941DF">
        <w:t xml:space="preserve">In the top 10 subnets of the results, </w:t>
      </w:r>
      <w:proofErr w:type="spellStart"/>
      <w:r w:rsidR="00F941DF">
        <w:t>DNet</w:t>
      </w:r>
      <w:proofErr w:type="spellEnd"/>
      <w:r w:rsidR="00F941DF">
        <w:t xml:space="preserve"> achieves the maximum subnet agreement of 25%</w:t>
      </w:r>
      <w:r w:rsidR="00F941DF">
        <w:t xml:space="preserve"> in Leukemia </w:t>
      </w:r>
      <w:r w:rsidR="00E15443">
        <w:t xml:space="preserve">datasets </w:t>
      </w:r>
      <w:r w:rsidR="00F941DF">
        <w:t xml:space="preserve">and </w:t>
      </w:r>
      <w:r w:rsidR="00E15443">
        <w:t>1</w:t>
      </w:r>
      <w:r w:rsidR="00F941DF">
        <w:t>1.1%</w:t>
      </w:r>
      <w:r w:rsidR="00F941DF">
        <w:t xml:space="preserve"> in DMD </w:t>
      </w:r>
      <w:r w:rsidR="008840B3">
        <w:t>dataset</w:t>
      </w:r>
      <w:r w:rsidR="00E15443">
        <w:t xml:space="preserve">s </w:t>
      </w:r>
      <w:r w:rsidR="00F941DF">
        <w:t xml:space="preserve">whereas </w:t>
      </w:r>
      <w:proofErr w:type="spellStart"/>
      <w:r w:rsidR="00F941DF">
        <w:t>PFSNet</w:t>
      </w:r>
      <w:proofErr w:type="spellEnd"/>
      <w:r w:rsidR="00F941DF">
        <w:t xml:space="preserve"> achieves the maximum subnet agreement of 17.6% </w:t>
      </w:r>
      <w:r w:rsidR="00E15443">
        <w:t xml:space="preserve">in Leukemia datasets </w:t>
      </w:r>
      <w:r w:rsidR="00F941DF">
        <w:t xml:space="preserve">and </w:t>
      </w:r>
      <w:r w:rsidR="00E15443">
        <w:t>5.3% in DMD datasets.</w:t>
      </w:r>
      <w:r w:rsidR="00F941DF">
        <w:t xml:space="preserve"> </w:t>
      </w:r>
      <w:r>
        <w:t xml:space="preserve">This shows the subnet structure plays an important role in consistent disease subnet. Besides, as we allow more genes which closely related to the subnets to be considered, we also measure the gene-level agreement from significant subnets between two datasets to see whether these genes are similar. The result shows that adding these genes into subnets makes the gene-agreement of </w:t>
      </w:r>
      <w:proofErr w:type="spellStart"/>
      <w:r>
        <w:t>DNet</w:t>
      </w:r>
      <w:proofErr w:type="spellEnd"/>
      <w:r>
        <w:t xml:space="preserve"> even higher. </w:t>
      </w:r>
      <w:r w:rsidR="00D85310">
        <w:t>In the top 10 subnets</w:t>
      </w:r>
      <w:r w:rsidR="00FA1735">
        <w:t xml:space="preserve"> of results</w:t>
      </w:r>
      <w:r w:rsidR="00D85310">
        <w:t xml:space="preserve">, </w:t>
      </w:r>
      <w:r w:rsidR="004F7040">
        <w:t xml:space="preserve">In </w:t>
      </w:r>
      <w:r w:rsidR="00CA7C92">
        <w:t>the Leukemia dataset</w:t>
      </w:r>
      <w:r>
        <w:t xml:space="preserve">, </w:t>
      </w:r>
      <w:proofErr w:type="spellStart"/>
      <w:r>
        <w:t>DNet</w:t>
      </w:r>
      <w:proofErr w:type="spellEnd"/>
      <w:r>
        <w:t xml:space="preserve"> achieves</w:t>
      </w:r>
      <w:r w:rsidR="00FA1735">
        <w:t xml:space="preserve"> the</w:t>
      </w:r>
      <w:r w:rsidR="00D85310">
        <w:t xml:space="preserve"> maximum gene agreement of 58% </w:t>
      </w:r>
      <w:r>
        <w:t xml:space="preserve">whereas </w:t>
      </w:r>
      <w:proofErr w:type="spellStart"/>
      <w:r>
        <w:t>PFSNet</w:t>
      </w:r>
      <w:proofErr w:type="spellEnd"/>
      <w:r>
        <w:t xml:space="preserve"> achieves </w:t>
      </w:r>
      <w:r w:rsidR="00D85310">
        <w:t>maximum gene agreement of 53.3%</w:t>
      </w:r>
      <w:r>
        <w:t>. In the DMD datas</w:t>
      </w:r>
      <w:r w:rsidR="00D85310">
        <w:t xml:space="preserve">ets, </w:t>
      </w:r>
      <w:proofErr w:type="spellStart"/>
      <w:r w:rsidR="00D85310">
        <w:t>DNet</w:t>
      </w:r>
      <w:proofErr w:type="spellEnd"/>
      <w:r w:rsidR="00D85310">
        <w:t xml:space="preserve"> achieves the maximum gene agreement of 91.5% </w:t>
      </w:r>
      <w:r>
        <w:t xml:space="preserve">whereas </w:t>
      </w:r>
      <w:proofErr w:type="spellStart"/>
      <w:r>
        <w:t>PFSNet</w:t>
      </w:r>
      <w:proofErr w:type="spellEnd"/>
      <w:r>
        <w:t xml:space="preserve"> achieves </w:t>
      </w:r>
      <w:r w:rsidR="00D85310">
        <w:t>maximum gene agreement of 50%</w:t>
      </w:r>
      <w:r>
        <w:t xml:space="preserve">. </w:t>
      </w:r>
      <w:r w:rsidR="00FF7A0B">
        <w:t>The results also tell us that the extra genes we find is similar to the differentially expressed genes.</w:t>
      </w:r>
    </w:p>
    <w:p w14:paraId="342FD5EF" w14:textId="77777777" w:rsidR="00CD0060" w:rsidRDefault="009053E1">
      <w:r>
        <w:rPr>
          <w:rFonts w:hint="eastAsia"/>
          <w:noProof/>
        </w:rPr>
        <w:drawing>
          <wp:inline distT="0" distB="0" distL="0" distR="0" wp14:anchorId="0D11B7C3" wp14:editId="7BC35B53">
            <wp:extent cx="5274310" cy="1990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14:paraId="2A2EFC15" w14:textId="77777777" w:rsidR="00CD0060" w:rsidRDefault="009053E1">
      <w:r>
        <w:rPr>
          <w:rFonts w:hint="eastAsia"/>
          <w:b/>
        </w:rPr>
        <w:t xml:space="preserve">Fig. 3. </w:t>
      </w:r>
      <w:r>
        <w:t>C</w:t>
      </w:r>
      <w:r>
        <w:rPr>
          <w:rFonts w:hint="eastAsia"/>
        </w:rPr>
        <w:t xml:space="preserve">onsistency </w:t>
      </w:r>
      <w:r>
        <w:t xml:space="preserve">of subnets and their genes in Leukemia and DMD </w:t>
      </w:r>
      <w:proofErr w:type="spellStart"/>
      <w:r>
        <w:t>dataseet</w:t>
      </w:r>
      <w:proofErr w:type="spellEnd"/>
      <w:r>
        <w:t>.</w:t>
      </w:r>
    </w:p>
    <w:p w14:paraId="67897C55" w14:textId="77777777" w:rsidR="00CD0060" w:rsidRDefault="009053E1">
      <w:pPr>
        <w:pStyle w:val="2"/>
      </w:pPr>
      <w:r>
        <w:rPr>
          <w:rFonts w:hint="eastAsia"/>
        </w:rPr>
        <w:t xml:space="preserve">4.2 comparing </w:t>
      </w:r>
      <w:r>
        <w:t>GO and s</w:t>
      </w:r>
      <w:r>
        <w:rPr>
          <w:rFonts w:hint="eastAsia"/>
        </w:rPr>
        <w:t>ubnets</w:t>
      </w:r>
    </w:p>
    <w:p w14:paraId="0FC3182F" w14:textId="6F3F7634" w:rsidR="00CD0060" w:rsidRDefault="009053E1" w:rsidP="000C4301">
      <w:r>
        <w:t xml:space="preserve">GO is a big directed graph. It contains more than 40000 terms and 80000 relationships. The GO </w:t>
      </w:r>
      <w:r>
        <w:lastRenderedPageBreak/>
        <w:t xml:space="preserve">data provides a very effective way of linking biological knowledge with the analysis of the large datasets of post-genomics research </w:t>
      </w:r>
      <w:r>
        <w:rPr>
          <w:vertAlign w:val="superscript"/>
        </w:rPr>
        <w:t>[7]</w:t>
      </w:r>
      <w:r>
        <w:t xml:space="preserve">. As for GO terms, each GO term can be seen as a network made up by genes. We chose terms whose annotation genes between 50 and 100 in our methods. These terms contain more than 7000 genes and almost 100000 relationships. After that, we break each term’s network into small subnets to see whether it is associated with diseases in two independent datasets. We compare our methods with </w:t>
      </w:r>
      <w:proofErr w:type="spellStart"/>
      <w:r>
        <w:t>PFSNet</w:t>
      </w:r>
      <w:proofErr w:type="spellEnd"/>
      <w:r>
        <w:t xml:space="preserve">. (Fig.4). Comparison results shows that whether it is DMD or Leukemia, the number of intersections of subnets and genes in </w:t>
      </w:r>
      <w:proofErr w:type="spellStart"/>
      <w:r>
        <w:t>DNet</w:t>
      </w:r>
      <w:proofErr w:type="spellEnd"/>
      <w:r>
        <w:t xml:space="preserve"> is more than </w:t>
      </w:r>
      <w:proofErr w:type="spellStart"/>
      <w:r>
        <w:t>PFSNet</w:t>
      </w:r>
      <w:proofErr w:type="spellEnd"/>
      <w:r>
        <w:t xml:space="preserve">. </w:t>
      </w:r>
      <w:r w:rsidR="00C87A09">
        <w:t xml:space="preserve">For example, when we compare the number of </w:t>
      </w:r>
      <w:r w:rsidR="00C87A09">
        <w:t xml:space="preserve">intersection </w:t>
      </w:r>
      <w:r w:rsidR="00C87A09">
        <w:t xml:space="preserve">genes in DMD datasets, we find that our technical can find more than </w:t>
      </w:r>
      <w:bookmarkStart w:id="0" w:name="_GoBack"/>
      <w:bookmarkEnd w:id="0"/>
      <w:r w:rsidR="00C87A09">
        <w:t xml:space="preserve">   </w:t>
      </w:r>
    </w:p>
    <w:p w14:paraId="6768289F" w14:textId="5973CF99" w:rsidR="004F7040" w:rsidRDefault="004F7040" w:rsidP="00C71582">
      <w:pPr>
        <w:pStyle w:val="11"/>
        <w:ind w:firstLineChars="0" w:firstLine="0"/>
      </w:pPr>
      <w:r>
        <w:rPr>
          <w:noProof/>
        </w:rPr>
        <w:drawing>
          <wp:inline distT="0" distB="0" distL="0" distR="0" wp14:anchorId="4AEFF553" wp14:editId="3CCADFA7">
            <wp:extent cx="5274310" cy="1898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98650"/>
                    </a:xfrm>
                    <a:prstGeom prst="rect">
                      <a:avLst/>
                    </a:prstGeom>
                  </pic:spPr>
                </pic:pic>
              </a:graphicData>
            </a:graphic>
          </wp:inline>
        </w:drawing>
      </w:r>
    </w:p>
    <w:p w14:paraId="4A836BFC" w14:textId="665F9819" w:rsidR="00CD0060" w:rsidRDefault="00CD0060"/>
    <w:p w14:paraId="2ED28321" w14:textId="77777777" w:rsidR="00CD0060" w:rsidRDefault="009053E1">
      <w:r>
        <w:rPr>
          <w:rFonts w:hint="eastAsia"/>
          <w:b/>
        </w:rPr>
        <w:t xml:space="preserve">Fig. </w:t>
      </w:r>
      <w:r>
        <w:rPr>
          <w:b/>
        </w:rPr>
        <w:t>4</w:t>
      </w:r>
      <w:r>
        <w:rPr>
          <w:rFonts w:hint="eastAsia"/>
          <w:b/>
        </w:rPr>
        <w:t xml:space="preserve">. </w:t>
      </w:r>
      <w:r>
        <w:t>C</w:t>
      </w:r>
      <w:r>
        <w:rPr>
          <w:rFonts w:hint="eastAsia"/>
        </w:rPr>
        <w:t xml:space="preserve">onsistency </w:t>
      </w:r>
      <w:r>
        <w:t xml:space="preserve">of subnets and their genes in Leukemia and DMD </w:t>
      </w:r>
      <w:proofErr w:type="spellStart"/>
      <w:r>
        <w:t>dataseet</w:t>
      </w:r>
      <w:proofErr w:type="spellEnd"/>
      <w:r>
        <w:t>.</w:t>
      </w:r>
    </w:p>
    <w:p w14:paraId="5CFD67FF" w14:textId="77777777" w:rsidR="00CD0060" w:rsidRDefault="009053E1">
      <w:pPr>
        <w:pStyle w:val="2"/>
      </w:pPr>
      <w:r>
        <w:rPr>
          <w:rFonts w:hint="eastAsia"/>
        </w:rPr>
        <w:t>4.3 biologically significant subnets</w:t>
      </w:r>
    </w:p>
    <w:p w14:paraId="008B87C5" w14:textId="77777777" w:rsidR="00CD0060" w:rsidRDefault="009053E1">
      <w:pPr>
        <w:pStyle w:val="11"/>
      </w:pPr>
      <w:r>
        <w:t xml:space="preserve">We check the subnets and genes </w:t>
      </w:r>
      <w:proofErr w:type="spellStart"/>
      <w:r>
        <w:t>outputed</w:t>
      </w:r>
      <w:proofErr w:type="spellEnd"/>
      <w:r>
        <w:t xml:space="preserve"> by </w:t>
      </w:r>
      <w:proofErr w:type="spellStart"/>
      <w:r>
        <w:t>DNet</w:t>
      </w:r>
      <w:proofErr w:type="spellEnd"/>
      <w:r>
        <w:t xml:space="preserve"> for biologically significance.</w:t>
      </w:r>
    </w:p>
    <w:p w14:paraId="03E433C9" w14:textId="77777777" w:rsidR="00CD0060" w:rsidRDefault="009053E1">
      <w:pPr>
        <w:pStyle w:val="11"/>
      </w:pPr>
      <w:r>
        <w:t>For Leukemia dataset</w:t>
      </w:r>
      <w:r>
        <w:rPr>
          <w:rFonts w:hint="eastAsia"/>
        </w:rPr>
        <w:t>,</w:t>
      </w:r>
      <w:r>
        <w:t xml:space="preserve"> one of the significant subnet we find is term GO</w:t>
      </w:r>
      <w:proofErr w:type="gramStart"/>
      <w:r>
        <w:t>:0048024</w:t>
      </w:r>
      <w:proofErr w:type="gramEnd"/>
      <w:r>
        <w:t xml:space="preserve">. We compare the outputs of this subnet’s nodes between </w:t>
      </w:r>
      <w:proofErr w:type="spellStart"/>
      <w:r>
        <w:t>DNet</w:t>
      </w:r>
      <w:proofErr w:type="spellEnd"/>
      <w:r>
        <w:t xml:space="preserve"> and </w:t>
      </w:r>
      <w:proofErr w:type="spellStart"/>
      <w:r>
        <w:t>PFSNet</w:t>
      </w:r>
      <w:proofErr w:type="spellEnd"/>
      <w:r>
        <w:t xml:space="preserve">. In the output gene list, we can find four genes that is associated with this subnets while </w:t>
      </w:r>
      <w:proofErr w:type="spellStart"/>
      <w:r>
        <w:t>PFSNet</w:t>
      </w:r>
      <w:proofErr w:type="spellEnd"/>
      <w:r>
        <w:t xml:space="preserve"> can’t find. They are RBM5, SFRS7 and SF3A1 (Fig. 5).</w:t>
      </w:r>
    </w:p>
    <w:p w14:paraId="64A367BB" w14:textId="77777777" w:rsidR="00CD0060" w:rsidRDefault="009053E1">
      <w:pPr>
        <w:pStyle w:val="11"/>
      </w:pPr>
      <w:r>
        <w:t xml:space="preserve"> </w:t>
      </w:r>
      <w:commentRangeStart w:id="1"/>
      <w:r>
        <w:rPr>
          <w:highlight w:val="yellow"/>
          <w:u w:val="single"/>
        </w:rPr>
        <w:t>SFRS7</w:t>
      </w:r>
      <w:commentRangeEnd w:id="1"/>
      <w:r>
        <w:rPr>
          <w:rStyle w:val="a9"/>
          <w:highlight w:val="yellow"/>
          <w:u w:val="single"/>
        </w:rPr>
        <w:commentReference w:id="1"/>
      </w:r>
      <w:r>
        <w:rPr>
          <w:u w:val="single"/>
        </w:rPr>
        <w:t xml:space="preserve"> is a member of the serine/arginine-rich family of pre-mRNA-splicing factors, which constitute part of the </w:t>
      </w:r>
      <w:proofErr w:type="spellStart"/>
      <w:r>
        <w:rPr>
          <w:u w:val="single"/>
        </w:rPr>
        <w:t>spliceosome</w:t>
      </w:r>
      <w:proofErr w:type="spellEnd"/>
      <w:r>
        <w:rPr>
          <w:u w:val="single"/>
          <w:vertAlign w:val="superscript"/>
        </w:rPr>
        <w:t>[11]</w:t>
      </w:r>
      <w:r>
        <w:rPr>
          <w:u w:val="single"/>
        </w:rPr>
        <w:t>.</w:t>
      </w:r>
      <w:r>
        <w:t xml:space="preserve">The protein encoded by this gene is a member of the serine/arginine (SR)-rich family of pre-mRNA splicing factors, which constitute part of the </w:t>
      </w:r>
      <w:proofErr w:type="spellStart"/>
      <w:r>
        <w:t>spliceosome</w:t>
      </w:r>
      <w:proofErr w:type="spellEnd"/>
      <w:r>
        <w:t xml:space="preserve"> (Table 1).</w:t>
      </w:r>
      <w:r>
        <w:rPr>
          <w:vertAlign w:val="superscript"/>
        </w:rPr>
        <w:t>[12]</w:t>
      </w:r>
      <w:r>
        <w:t>. Comparative DNA and</w:t>
      </w:r>
      <w:r>
        <w:rPr>
          <w:rFonts w:hint="eastAsia"/>
        </w:rPr>
        <w:t xml:space="preserve"> </w:t>
      </w:r>
      <w:r>
        <w:t>RNA sequencing (</w:t>
      </w:r>
      <w:proofErr w:type="spellStart"/>
      <w:r>
        <w:t>RNAseq</w:t>
      </w:r>
      <w:proofErr w:type="spellEnd"/>
      <w:r>
        <w:t xml:space="preserve">) studies have revealed that </w:t>
      </w:r>
      <w:proofErr w:type="spellStart"/>
      <w:r>
        <w:t>humanspecific</w:t>
      </w:r>
      <w:proofErr w:type="spellEnd"/>
      <w:r>
        <w:t xml:space="preserve"> distal regulatory elements, RNA editing, and alternative</w:t>
      </w:r>
      <w:r>
        <w:rPr>
          <w:rFonts w:hint="eastAsia"/>
        </w:rPr>
        <w:t xml:space="preserve"> </w:t>
      </w:r>
      <w:r>
        <w:t>splicing play key roles in human embryonic stem cell (</w:t>
      </w:r>
      <w:proofErr w:type="spellStart"/>
      <w:r>
        <w:t>hESC</w:t>
      </w:r>
      <w:proofErr w:type="spellEnd"/>
      <w:r>
        <w:t>)</w:t>
      </w:r>
      <w:r>
        <w:rPr>
          <w:rFonts w:hint="eastAsia"/>
        </w:rPr>
        <w:t xml:space="preserve"> </w:t>
      </w:r>
      <w:r>
        <w:t>self-renewal and cell fate determination. Several of the</w:t>
      </w:r>
      <w:r>
        <w:rPr>
          <w:rFonts w:hint="eastAsia"/>
        </w:rPr>
        <w:t xml:space="preserve"> </w:t>
      </w:r>
      <w:proofErr w:type="spellStart"/>
      <w:r>
        <w:t>phosphoproteins</w:t>
      </w:r>
      <w:proofErr w:type="spellEnd"/>
      <w:r>
        <w:t xml:space="preserve"> regulated during differentiation are components</w:t>
      </w:r>
      <w:r>
        <w:rPr>
          <w:rFonts w:hint="eastAsia"/>
        </w:rPr>
        <w:t xml:space="preserve"> </w:t>
      </w:r>
      <w:r>
        <w:t>of the posttranscriptional RNA modification machinery, including</w:t>
      </w:r>
      <w:r>
        <w:rPr>
          <w:rFonts w:hint="eastAsia"/>
        </w:rPr>
        <w:t xml:space="preserve"> </w:t>
      </w:r>
      <w:r>
        <w:t xml:space="preserve">double-stranded RNA-specific adenosine </w:t>
      </w:r>
      <w:proofErr w:type="spellStart"/>
      <w:r>
        <w:t>deaminase</w:t>
      </w:r>
      <w:proofErr w:type="spellEnd"/>
      <w:r>
        <w:t xml:space="preserve"> (ADAR) and</w:t>
      </w:r>
      <w:r>
        <w:rPr>
          <w:rFonts w:hint="eastAsia"/>
        </w:rPr>
        <w:t xml:space="preserve"> </w:t>
      </w:r>
      <w:r>
        <w:t>serine/arginine-rich splicing factor 7 (</w:t>
      </w:r>
      <w:r>
        <w:rPr>
          <w:highlight w:val="yellow"/>
        </w:rPr>
        <w:t>SFRS7</w:t>
      </w:r>
      <w:r>
        <w:t>)</w:t>
      </w:r>
      <w:r>
        <w:rPr>
          <w:vertAlign w:val="superscript"/>
        </w:rPr>
        <w:t xml:space="preserve"> [10]</w:t>
      </w:r>
      <w:r>
        <w:t>.</w:t>
      </w:r>
    </w:p>
    <w:p w14:paraId="6BCF61BB" w14:textId="77777777" w:rsidR="00CD0060" w:rsidRDefault="00CD0060">
      <w:pPr>
        <w:pStyle w:val="11"/>
      </w:pPr>
    </w:p>
    <w:p w14:paraId="0DE539FF" w14:textId="77777777" w:rsidR="00CD0060" w:rsidRDefault="00CD0060">
      <w:pPr>
        <w:pStyle w:val="11"/>
      </w:pPr>
    </w:p>
    <w:p w14:paraId="2DEEB73E" w14:textId="77777777" w:rsidR="00CD0060" w:rsidRDefault="009053E1">
      <w:pPr>
        <w:jc w:val="left"/>
      </w:pPr>
      <w:r>
        <w:rPr>
          <w:rFonts w:hint="eastAsia"/>
          <w:noProof/>
        </w:rPr>
        <w:lastRenderedPageBreak/>
        <w:drawing>
          <wp:inline distT="0" distB="0" distL="0" distR="0" wp14:anchorId="4DCC277B" wp14:editId="2C137792">
            <wp:extent cx="2664460" cy="201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cstate="print">
                      <a:extLst>
                        <a:ext uri="{28A0092B-C50C-407E-A947-70E740481C1C}">
                          <a14:useLocalDpi xmlns:a14="http://schemas.microsoft.com/office/drawing/2010/main" val="0"/>
                        </a:ext>
                      </a:extLst>
                    </a:blip>
                    <a:srcRect l="10284" t="-49" r="28271" b="2104"/>
                    <a:stretch>
                      <a:fillRect/>
                    </a:stretch>
                  </pic:blipFill>
                  <pic:spPr>
                    <a:xfrm>
                      <a:off x="0" y="0"/>
                      <a:ext cx="2743864" cy="2079397"/>
                    </a:xfrm>
                    <a:prstGeom prst="rect">
                      <a:avLst/>
                    </a:prstGeom>
                    <a:ln>
                      <a:noFill/>
                    </a:ln>
                  </pic:spPr>
                </pic:pic>
              </a:graphicData>
            </a:graphic>
          </wp:inline>
        </w:drawing>
      </w:r>
      <w:r>
        <w:rPr>
          <w:rFonts w:hint="eastAsia"/>
          <w:noProof/>
        </w:rPr>
        <w:drawing>
          <wp:inline distT="0" distB="0" distL="0" distR="0" wp14:anchorId="01DEE65F" wp14:editId="5F38852E">
            <wp:extent cx="2543175" cy="2083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cstate="print">
                      <a:extLst>
                        <a:ext uri="{28A0092B-C50C-407E-A947-70E740481C1C}">
                          <a14:useLocalDpi xmlns:a14="http://schemas.microsoft.com/office/drawing/2010/main" val="0"/>
                        </a:ext>
                      </a:extLst>
                    </a:blip>
                    <a:srcRect l="19323" r="20720" b="-3316"/>
                    <a:stretch>
                      <a:fillRect/>
                    </a:stretch>
                  </pic:blipFill>
                  <pic:spPr>
                    <a:xfrm>
                      <a:off x="0" y="0"/>
                      <a:ext cx="2547586" cy="2087179"/>
                    </a:xfrm>
                    <a:prstGeom prst="rect">
                      <a:avLst/>
                    </a:prstGeom>
                    <a:ln>
                      <a:noFill/>
                    </a:ln>
                  </pic:spPr>
                </pic:pic>
              </a:graphicData>
            </a:graphic>
          </wp:inline>
        </w:drawing>
      </w:r>
    </w:p>
    <w:p w14:paraId="39F88391" w14:textId="77777777" w:rsidR="00CD0060" w:rsidRDefault="009053E1">
      <w:r>
        <w:rPr>
          <w:rFonts w:hint="eastAsia"/>
          <w:b/>
        </w:rPr>
        <w:t>Fig. 5.</w:t>
      </w:r>
      <w:r>
        <w:rPr>
          <w:b/>
        </w:rPr>
        <w:t xml:space="preserve"> </w:t>
      </w:r>
      <w:r>
        <w:t>RBM5, SFRS7 and SF3A1</w:t>
      </w:r>
    </w:p>
    <w:p w14:paraId="0DDC1471" w14:textId="77777777" w:rsidR="00CD0060" w:rsidRDefault="00CD0060"/>
    <w:p w14:paraId="4F08E075" w14:textId="77777777" w:rsidR="00CD0060" w:rsidRDefault="009053E1">
      <w:r>
        <w:rPr>
          <w:rFonts w:hint="eastAsia"/>
          <w:b/>
        </w:rPr>
        <w:t xml:space="preserve">Table 1. </w:t>
      </w:r>
      <w:r>
        <w:t>SR-rich family</w:t>
      </w:r>
    </w:p>
    <w:tbl>
      <w:tblPr>
        <w:tblStyle w:val="aa"/>
        <w:tblW w:w="736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985"/>
        <w:gridCol w:w="2410"/>
        <w:gridCol w:w="1275"/>
      </w:tblGrid>
      <w:tr w:rsidR="00CD0060" w14:paraId="3374B6BA" w14:textId="77777777">
        <w:trPr>
          <w:trHeight w:val="340"/>
          <w:jc w:val="center"/>
        </w:trPr>
        <w:tc>
          <w:tcPr>
            <w:tcW w:w="7366" w:type="dxa"/>
            <w:gridSpan w:val="4"/>
            <w:tcBorders>
              <w:bottom w:val="single" w:sz="4" w:space="0" w:color="auto"/>
            </w:tcBorders>
          </w:tcPr>
          <w:p w14:paraId="2297C531" w14:textId="77777777" w:rsidR="00CD0060" w:rsidRDefault="009053E1">
            <w:pPr>
              <w:jc w:val="left"/>
              <w:rPr>
                <w:b/>
              </w:rPr>
            </w:pPr>
            <w:r>
              <w:rPr>
                <w:b/>
              </w:rPr>
              <w:t>Human genes encoding SR proteins</w:t>
            </w:r>
          </w:p>
        </w:tc>
      </w:tr>
      <w:tr w:rsidR="00CD0060" w14:paraId="375908B6" w14:textId="77777777">
        <w:trPr>
          <w:trHeight w:val="340"/>
          <w:jc w:val="center"/>
        </w:trPr>
        <w:tc>
          <w:tcPr>
            <w:tcW w:w="1696" w:type="dxa"/>
            <w:tcBorders>
              <w:top w:val="single" w:sz="4" w:space="0" w:color="auto"/>
              <w:bottom w:val="single" w:sz="4" w:space="0" w:color="auto"/>
            </w:tcBorders>
          </w:tcPr>
          <w:p w14:paraId="1F92D3D1" w14:textId="77777777" w:rsidR="00CD0060" w:rsidRDefault="009053E1">
            <w:r>
              <w:t>Gene name</w:t>
            </w:r>
          </w:p>
        </w:tc>
        <w:tc>
          <w:tcPr>
            <w:tcW w:w="1985" w:type="dxa"/>
            <w:tcBorders>
              <w:top w:val="single" w:sz="4" w:space="0" w:color="auto"/>
              <w:bottom w:val="single" w:sz="4" w:space="0" w:color="auto"/>
            </w:tcBorders>
          </w:tcPr>
          <w:p w14:paraId="5ED4AF06" w14:textId="77777777" w:rsidR="00CD0060" w:rsidRDefault="009053E1">
            <w:r>
              <w:t>SR protein</w:t>
            </w:r>
          </w:p>
        </w:tc>
        <w:tc>
          <w:tcPr>
            <w:tcW w:w="2410" w:type="dxa"/>
            <w:tcBorders>
              <w:top w:val="single" w:sz="4" w:space="0" w:color="auto"/>
              <w:bottom w:val="single" w:sz="4" w:space="0" w:color="auto"/>
            </w:tcBorders>
          </w:tcPr>
          <w:p w14:paraId="204B5891" w14:textId="77777777" w:rsidR="00CD0060" w:rsidRDefault="009053E1">
            <w:r>
              <w:t>Chromosomal location</w:t>
            </w:r>
          </w:p>
        </w:tc>
        <w:tc>
          <w:tcPr>
            <w:tcW w:w="1275" w:type="dxa"/>
            <w:tcBorders>
              <w:top w:val="single" w:sz="4" w:space="0" w:color="auto"/>
              <w:bottom w:val="single" w:sz="4" w:space="0" w:color="auto"/>
            </w:tcBorders>
          </w:tcPr>
          <w:p w14:paraId="05916EEC" w14:textId="77777777" w:rsidR="00CD0060" w:rsidRDefault="009053E1">
            <w:proofErr w:type="spellStart"/>
            <w:r>
              <w:t>UniProt</w:t>
            </w:r>
            <w:proofErr w:type="spellEnd"/>
          </w:p>
        </w:tc>
      </w:tr>
      <w:tr w:rsidR="00CD0060" w14:paraId="2F0AEE05" w14:textId="77777777">
        <w:trPr>
          <w:trHeight w:val="340"/>
          <w:jc w:val="center"/>
        </w:trPr>
        <w:tc>
          <w:tcPr>
            <w:tcW w:w="1696" w:type="dxa"/>
            <w:tcBorders>
              <w:top w:val="single" w:sz="4" w:space="0" w:color="auto"/>
            </w:tcBorders>
          </w:tcPr>
          <w:p w14:paraId="6DAFF1B3" w14:textId="77777777" w:rsidR="00CD0060" w:rsidRDefault="009053E1">
            <w:r>
              <w:t>SFRS1</w:t>
            </w:r>
          </w:p>
        </w:tc>
        <w:tc>
          <w:tcPr>
            <w:tcW w:w="1985" w:type="dxa"/>
            <w:tcBorders>
              <w:top w:val="single" w:sz="4" w:space="0" w:color="auto"/>
            </w:tcBorders>
          </w:tcPr>
          <w:p w14:paraId="11D85A17" w14:textId="77777777" w:rsidR="00CD0060" w:rsidRDefault="009053E1">
            <w:r>
              <w:t>SF2/ASF/SRp30a</w:t>
            </w:r>
          </w:p>
        </w:tc>
        <w:tc>
          <w:tcPr>
            <w:tcW w:w="2410" w:type="dxa"/>
            <w:tcBorders>
              <w:top w:val="single" w:sz="4" w:space="0" w:color="auto"/>
            </w:tcBorders>
          </w:tcPr>
          <w:p w14:paraId="3404D3C9" w14:textId="77777777" w:rsidR="00CD0060" w:rsidRDefault="009053E1">
            <w:r>
              <w:t>17q21.3-q22</w:t>
            </w:r>
          </w:p>
        </w:tc>
        <w:tc>
          <w:tcPr>
            <w:tcW w:w="1275" w:type="dxa"/>
            <w:tcBorders>
              <w:top w:val="single" w:sz="4" w:space="0" w:color="auto"/>
            </w:tcBorders>
          </w:tcPr>
          <w:p w14:paraId="383D9F09" w14:textId="77777777" w:rsidR="00CD0060" w:rsidRDefault="009053E1">
            <w:r>
              <w:t>Q07955</w:t>
            </w:r>
          </w:p>
        </w:tc>
      </w:tr>
      <w:tr w:rsidR="00CD0060" w14:paraId="4F223A09" w14:textId="77777777">
        <w:trPr>
          <w:trHeight w:val="340"/>
          <w:jc w:val="center"/>
        </w:trPr>
        <w:tc>
          <w:tcPr>
            <w:tcW w:w="1696" w:type="dxa"/>
            <w:tcBorders>
              <w:top w:val="nil"/>
            </w:tcBorders>
          </w:tcPr>
          <w:p w14:paraId="5159EFCF" w14:textId="77777777" w:rsidR="00CD0060" w:rsidRDefault="009053E1">
            <w:r>
              <w:t>SFRS2</w:t>
            </w:r>
          </w:p>
        </w:tc>
        <w:tc>
          <w:tcPr>
            <w:tcW w:w="1985" w:type="dxa"/>
            <w:tcBorders>
              <w:top w:val="nil"/>
            </w:tcBorders>
          </w:tcPr>
          <w:p w14:paraId="0251C8AC" w14:textId="77777777" w:rsidR="00CD0060" w:rsidRDefault="009053E1">
            <w:r>
              <w:t>SC35/SRp30b</w:t>
            </w:r>
          </w:p>
        </w:tc>
        <w:tc>
          <w:tcPr>
            <w:tcW w:w="2410" w:type="dxa"/>
            <w:tcBorders>
              <w:top w:val="nil"/>
            </w:tcBorders>
          </w:tcPr>
          <w:p w14:paraId="168C1440" w14:textId="77777777" w:rsidR="00CD0060" w:rsidRDefault="009053E1">
            <w:r>
              <w:t>17q25.1</w:t>
            </w:r>
          </w:p>
        </w:tc>
        <w:tc>
          <w:tcPr>
            <w:tcW w:w="1275" w:type="dxa"/>
            <w:tcBorders>
              <w:top w:val="nil"/>
            </w:tcBorders>
          </w:tcPr>
          <w:p w14:paraId="16F1A3B6" w14:textId="77777777" w:rsidR="00CD0060" w:rsidRDefault="009053E1">
            <w:r>
              <w:t>Q01130</w:t>
            </w:r>
          </w:p>
        </w:tc>
      </w:tr>
      <w:tr w:rsidR="00CD0060" w14:paraId="6B9DE9D3" w14:textId="77777777">
        <w:trPr>
          <w:trHeight w:val="340"/>
          <w:jc w:val="center"/>
        </w:trPr>
        <w:tc>
          <w:tcPr>
            <w:tcW w:w="1696" w:type="dxa"/>
            <w:tcBorders>
              <w:top w:val="nil"/>
            </w:tcBorders>
          </w:tcPr>
          <w:p w14:paraId="6F193898" w14:textId="77777777" w:rsidR="00CD0060" w:rsidRDefault="009053E1">
            <w:r>
              <w:t>SFRS3</w:t>
            </w:r>
          </w:p>
        </w:tc>
        <w:tc>
          <w:tcPr>
            <w:tcW w:w="1985" w:type="dxa"/>
            <w:tcBorders>
              <w:top w:val="nil"/>
            </w:tcBorders>
          </w:tcPr>
          <w:p w14:paraId="359D0A71" w14:textId="77777777" w:rsidR="00CD0060" w:rsidRDefault="009053E1">
            <w:r>
              <w:t>SRp20</w:t>
            </w:r>
          </w:p>
        </w:tc>
        <w:tc>
          <w:tcPr>
            <w:tcW w:w="2410" w:type="dxa"/>
            <w:tcBorders>
              <w:top w:val="nil"/>
            </w:tcBorders>
          </w:tcPr>
          <w:p w14:paraId="64A66831" w14:textId="77777777" w:rsidR="00CD0060" w:rsidRDefault="009053E1">
            <w:r>
              <w:t>6p21.31</w:t>
            </w:r>
          </w:p>
        </w:tc>
        <w:tc>
          <w:tcPr>
            <w:tcW w:w="1275" w:type="dxa"/>
            <w:tcBorders>
              <w:top w:val="nil"/>
            </w:tcBorders>
          </w:tcPr>
          <w:p w14:paraId="5EF80327" w14:textId="77777777" w:rsidR="00CD0060" w:rsidRDefault="009053E1">
            <w:r>
              <w:t>P84103</w:t>
            </w:r>
          </w:p>
        </w:tc>
      </w:tr>
      <w:tr w:rsidR="00CD0060" w14:paraId="5E5F0861" w14:textId="77777777">
        <w:trPr>
          <w:trHeight w:val="340"/>
          <w:jc w:val="center"/>
        </w:trPr>
        <w:tc>
          <w:tcPr>
            <w:tcW w:w="1696" w:type="dxa"/>
            <w:tcBorders>
              <w:top w:val="nil"/>
            </w:tcBorders>
          </w:tcPr>
          <w:p w14:paraId="24202AC1" w14:textId="77777777" w:rsidR="00CD0060" w:rsidRDefault="009053E1">
            <w:r>
              <w:t>FRS4</w:t>
            </w:r>
          </w:p>
        </w:tc>
        <w:tc>
          <w:tcPr>
            <w:tcW w:w="1985" w:type="dxa"/>
            <w:tcBorders>
              <w:top w:val="nil"/>
            </w:tcBorders>
          </w:tcPr>
          <w:p w14:paraId="0115058F" w14:textId="77777777" w:rsidR="00CD0060" w:rsidRDefault="009053E1">
            <w:r>
              <w:t>SRp75</w:t>
            </w:r>
          </w:p>
        </w:tc>
        <w:tc>
          <w:tcPr>
            <w:tcW w:w="2410" w:type="dxa"/>
            <w:tcBorders>
              <w:top w:val="nil"/>
            </w:tcBorders>
          </w:tcPr>
          <w:p w14:paraId="1E82F174" w14:textId="77777777" w:rsidR="00CD0060" w:rsidRDefault="009053E1">
            <w:r>
              <w:t>1p35.3</w:t>
            </w:r>
          </w:p>
        </w:tc>
        <w:tc>
          <w:tcPr>
            <w:tcW w:w="1275" w:type="dxa"/>
            <w:tcBorders>
              <w:top w:val="nil"/>
            </w:tcBorders>
          </w:tcPr>
          <w:p w14:paraId="2075B2F4" w14:textId="77777777" w:rsidR="00CD0060" w:rsidRDefault="009053E1">
            <w:r>
              <w:t>Q08170</w:t>
            </w:r>
          </w:p>
        </w:tc>
      </w:tr>
      <w:tr w:rsidR="00CD0060" w14:paraId="4A293196" w14:textId="77777777">
        <w:trPr>
          <w:trHeight w:val="340"/>
          <w:jc w:val="center"/>
        </w:trPr>
        <w:tc>
          <w:tcPr>
            <w:tcW w:w="1696" w:type="dxa"/>
            <w:tcBorders>
              <w:top w:val="nil"/>
            </w:tcBorders>
          </w:tcPr>
          <w:p w14:paraId="7ED1493D" w14:textId="77777777" w:rsidR="00CD0060" w:rsidRDefault="009053E1">
            <w:r>
              <w:t>SFRS5</w:t>
            </w:r>
          </w:p>
        </w:tc>
        <w:tc>
          <w:tcPr>
            <w:tcW w:w="1985" w:type="dxa"/>
            <w:tcBorders>
              <w:top w:val="nil"/>
            </w:tcBorders>
          </w:tcPr>
          <w:p w14:paraId="3DF3A325" w14:textId="77777777" w:rsidR="00CD0060" w:rsidRDefault="009053E1">
            <w:r>
              <w:t>SRp40</w:t>
            </w:r>
          </w:p>
        </w:tc>
        <w:tc>
          <w:tcPr>
            <w:tcW w:w="2410" w:type="dxa"/>
            <w:tcBorders>
              <w:top w:val="nil"/>
            </w:tcBorders>
          </w:tcPr>
          <w:p w14:paraId="46C69131" w14:textId="77777777" w:rsidR="00CD0060" w:rsidRDefault="009053E1">
            <w:r>
              <w:t>14q24.2</w:t>
            </w:r>
          </w:p>
        </w:tc>
        <w:tc>
          <w:tcPr>
            <w:tcW w:w="1275" w:type="dxa"/>
            <w:tcBorders>
              <w:top w:val="nil"/>
            </w:tcBorders>
          </w:tcPr>
          <w:p w14:paraId="4ABCDAF8" w14:textId="77777777" w:rsidR="00CD0060" w:rsidRDefault="009053E1">
            <w:r>
              <w:t>Q13243</w:t>
            </w:r>
          </w:p>
        </w:tc>
      </w:tr>
      <w:tr w:rsidR="00CD0060" w14:paraId="39653EB2" w14:textId="77777777">
        <w:trPr>
          <w:trHeight w:val="340"/>
          <w:jc w:val="center"/>
        </w:trPr>
        <w:tc>
          <w:tcPr>
            <w:tcW w:w="1696" w:type="dxa"/>
            <w:tcBorders>
              <w:top w:val="nil"/>
            </w:tcBorders>
          </w:tcPr>
          <w:p w14:paraId="29602B00" w14:textId="77777777" w:rsidR="00CD0060" w:rsidRDefault="009053E1">
            <w:r>
              <w:t>SFRS6</w:t>
            </w:r>
          </w:p>
        </w:tc>
        <w:tc>
          <w:tcPr>
            <w:tcW w:w="1985" w:type="dxa"/>
            <w:tcBorders>
              <w:top w:val="nil"/>
            </w:tcBorders>
          </w:tcPr>
          <w:p w14:paraId="695E5ADE" w14:textId="77777777" w:rsidR="00CD0060" w:rsidRDefault="009053E1">
            <w:r>
              <w:t>SRp55</w:t>
            </w:r>
          </w:p>
        </w:tc>
        <w:tc>
          <w:tcPr>
            <w:tcW w:w="2410" w:type="dxa"/>
            <w:tcBorders>
              <w:top w:val="nil"/>
            </w:tcBorders>
          </w:tcPr>
          <w:p w14:paraId="63D0D581" w14:textId="77777777" w:rsidR="00CD0060" w:rsidRDefault="009053E1">
            <w:r>
              <w:t>20q13.11</w:t>
            </w:r>
          </w:p>
        </w:tc>
        <w:tc>
          <w:tcPr>
            <w:tcW w:w="1275" w:type="dxa"/>
            <w:tcBorders>
              <w:top w:val="nil"/>
            </w:tcBorders>
          </w:tcPr>
          <w:p w14:paraId="5D9BB46A" w14:textId="77777777" w:rsidR="00CD0060" w:rsidRDefault="009053E1">
            <w:r>
              <w:t>Q13247</w:t>
            </w:r>
          </w:p>
        </w:tc>
      </w:tr>
      <w:tr w:rsidR="00CD0060" w14:paraId="3F8EF04A" w14:textId="77777777">
        <w:trPr>
          <w:trHeight w:val="340"/>
          <w:jc w:val="center"/>
        </w:trPr>
        <w:tc>
          <w:tcPr>
            <w:tcW w:w="1696" w:type="dxa"/>
            <w:tcBorders>
              <w:top w:val="nil"/>
            </w:tcBorders>
          </w:tcPr>
          <w:p w14:paraId="7C22F3A0" w14:textId="77777777" w:rsidR="00CD0060" w:rsidRDefault="009053E1">
            <w:r>
              <w:t>SFRS7</w:t>
            </w:r>
          </w:p>
        </w:tc>
        <w:tc>
          <w:tcPr>
            <w:tcW w:w="1985" w:type="dxa"/>
            <w:tcBorders>
              <w:top w:val="nil"/>
            </w:tcBorders>
          </w:tcPr>
          <w:p w14:paraId="63E92D78" w14:textId="77777777" w:rsidR="00CD0060" w:rsidRDefault="009053E1">
            <w:r>
              <w:t>9G8</w:t>
            </w:r>
          </w:p>
        </w:tc>
        <w:tc>
          <w:tcPr>
            <w:tcW w:w="2410" w:type="dxa"/>
            <w:tcBorders>
              <w:top w:val="nil"/>
            </w:tcBorders>
          </w:tcPr>
          <w:p w14:paraId="0382479D" w14:textId="77777777" w:rsidR="00CD0060" w:rsidRDefault="009053E1">
            <w:r>
              <w:t>2p22.1</w:t>
            </w:r>
          </w:p>
        </w:tc>
        <w:tc>
          <w:tcPr>
            <w:tcW w:w="1275" w:type="dxa"/>
            <w:tcBorders>
              <w:top w:val="nil"/>
            </w:tcBorders>
          </w:tcPr>
          <w:p w14:paraId="3801FE8B" w14:textId="77777777" w:rsidR="00CD0060" w:rsidRDefault="009053E1">
            <w:r>
              <w:t>Q16629</w:t>
            </w:r>
          </w:p>
        </w:tc>
      </w:tr>
      <w:tr w:rsidR="00CD0060" w14:paraId="530AF37D" w14:textId="77777777">
        <w:trPr>
          <w:trHeight w:val="340"/>
          <w:jc w:val="center"/>
        </w:trPr>
        <w:tc>
          <w:tcPr>
            <w:tcW w:w="1696" w:type="dxa"/>
            <w:tcBorders>
              <w:top w:val="nil"/>
              <w:bottom w:val="nil"/>
            </w:tcBorders>
          </w:tcPr>
          <w:p w14:paraId="69A51FE5" w14:textId="77777777" w:rsidR="00CD0060" w:rsidRDefault="009053E1">
            <w:r>
              <w:t>SFRS9</w:t>
            </w:r>
          </w:p>
        </w:tc>
        <w:tc>
          <w:tcPr>
            <w:tcW w:w="1985" w:type="dxa"/>
            <w:tcBorders>
              <w:top w:val="nil"/>
              <w:bottom w:val="nil"/>
            </w:tcBorders>
          </w:tcPr>
          <w:p w14:paraId="7EC58C4C" w14:textId="77777777" w:rsidR="00CD0060" w:rsidRDefault="009053E1">
            <w:r>
              <w:t>SRp30c</w:t>
            </w:r>
          </w:p>
        </w:tc>
        <w:tc>
          <w:tcPr>
            <w:tcW w:w="2410" w:type="dxa"/>
            <w:tcBorders>
              <w:top w:val="nil"/>
              <w:bottom w:val="nil"/>
            </w:tcBorders>
          </w:tcPr>
          <w:p w14:paraId="7BA44654" w14:textId="77777777" w:rsidR="00CD0060" w:rsidRDefault="009053E1">
            <w:r>
              <w:t>12q24.23</w:t>
            </w:r>
          </w:p>
        </w:tc>
        <w:tc>
          <w:tcPr>
            <w:tcW w:w="1275" w:type="dxa"/>
            <w:tcBorders>
              <w:top w:val="nil"/>
              <w:bottom w:val="nil"/>
            </w:tcBorders>
          </w:tcPr>
          <w:p w14:paraId="682AF521" w14:textId="77777777" w:rsidR="00CD0060" w:rsidRDefault="009053E1">
            <w:r>
              <w:t>Q13242</w:t>
            </w:r>
          </w:p>
        </w:tc>
      </w:tr>
      <w:tr w:rsidR="00CD0060" w14:paraId="26FE20FF" w14:textId="77777777">
        <w:trPr>
          <w:trHeight w:val="340"/>
          <w:jc w:val="center"/>
        </w:trPr>
        <w:tc>
          <w:tcPr>
            <w:tcW w:w="1696" w:type="dxa"/>
            <w:tcBorders>
              <w:top w:val="nil"/>
              <w:bottom w:val="single" w:sz="4" w:space="0" w:color="auto"/>
            </w:tcBorders>
          </w:tcPr>
          <w:p w14:paraId="662BEFF4" w14:textId="77777777" w:rsidR="00CD0060" w:rsidRDefault="009053E1">
            <w:r>
              <w:t>SFRS11</w:t>
            </w:r>
          </w:p>
        </w:tc>
        <w:tc>
          <w:tcPr>
            <w:tcW w:w="1985" w:type="dxa"/>
            <w:tcBorders>
              <w:top w:val="nil"/>
              <w:bottom w:val="single" w:sz="4" w:space="0" w:color="auto"/>
            </w:tcBorders>
          </w:tcPr>
          <w:p w14:paraId="3EA152E9" w14:textId="77777777" w:rsidR="00CD0060" w:rsidRDefault="009053E1">
            <w:r>
              <w:t>SRp54</w:t>
            </w:r>
          </w:p>
        </w:tc>
        <w:tc>
          <w:tcPr>
            <w:tcW w:w="2410" w:type="dxa"/>
            <w:tcBorders>
              <w:top w:val="nil"/>
              <w:bottom w:val="single" w:sz="4" w:space="0" w:color="auto"/>
            </w:tcBorders>
          </w:tcPr>
          <w:p w14:paraId="4DF6845E" w14:textId="77777777" w:rsidR="00CD0060" w:rsidRDefault="009053E1">
            <w:r>
              <w:t>1p31.1</w:t>
            </w:r>
          </w:p>
        </w:tc>
        <w:tc>
          <w:tcPr>
            <w:tcW w:w="1275" w:type="dxa"/>
            <w:tcBorders>
              <w:top w:val="nil"/>
              <w:bottom w:val="single" w:sz="4" w:space="0" w:color="auto"/>
            </w:tcBorders>
          </w:tcPr>
          <w:p w14:paraId="0540EE2E" w14:textId="77777777" w:rsidR="00CD0060" w:rsidRDefault="009053E1">
            <w:r>
              <w:t>Q05519</w:t>
            </w:r>
          </w:p>
        </w:tc>
      </w:tr>
    </w:tbl>
    <w:p w14:paraId="7E4498A5" w14:textId="77777777" w:rsidR="00CD0060" w:rsidRDefault="009053E1">
      <w:pPr>
        <w:pStyle w:val="11"/>
      </w:pPr>
      <w:r>
        <w:t xml:space="preserve">The RNA maturation is an important and complex biological process. It requires several small nuclear </w:t>
      </w:r>
      <w:proofErr w:type="spellStart"/>
      <w:r>
        <w:t>ribonucleoproteins</w:t>
      </w:r>
      <w:proofErr w:type="spellEnd"/>
      <w:r>
        <w:t xml:space="preserve"> (</w:t>
      </w:r>
      <w:proofErr w:type="spellStart"/>
      <w:r>
        <w:t>snRNPs</w:t>
      </w:r>
      <w:proofErr w:type="spellEnd"/>
      <w:r>
        <w:t xml:space="preserve">) that comprise the two forms of </w:t>
      </w:r>
      <w:proofErr w:type="spellStart"/>
      <w:r>
        <w:t>spliceosomes</w:t>
      </w:r>
      <w:proofErr w:type="spellEnd"/>
      <w:r>
        <w:t xml:space="preserve">. The major form of </w:t>
      </w:r>
      <w:proofErr w:type="spellStart"/>
      <w:r>
        <w:t>spliceosome</w:t>
      </w:r>
      <w:proofErr w:type="spellEnd"/>
      <w:r>
        <w:t xml:space="preserve"> (U2-type) is composed of U1, U2, U4/6 and U5 </w:t>
      </w:r>
      <w:proofErr w:type="spellStart"/>
      <w:r>
        <w:t>snRNPs</w:t>
      </w:r>
      <w:proofErr w:type="spellEnd"/>
      <w:r>
        <w:t xml:space="preserve">, and catalyzes most splicing events in </w:t>
      </w:r>
      <w:proofErr w:type="spellStart"/>
      <w:r>
        <w:t>metazoans.Mutations</w:t>
      </w:r>
      <w:proofErr w:type="spellEnd"/>
      <w:r>
        <w:t xml:space="preserve"> of genes, such as SF3B1, SRSF2, U2AF1, ZRSR2, and to a lesser extent SF1, </w:t>
      </w:r>
      <w:commentRangeStart w:id="2"/>
      <w:r>
        <w:rPr>
          <w:highlight w:val="yellow"/>
        </w:rPr>
        <w:t>SF3A1</w:t>
      </w:r>
      <w:commentRangeEnd w:id="2"/>
      <w:r>
        <w:rPr>
          <w:rStyle w:val="a9"/>
          <w:highlight w:val="yellow"/>
        </w:rPr>
        <w:commentReference w:id="2"/>
      </w:r>
      <w:r>
        <w:t xml:space="preserve">, U2AF2 or PRPF40B, encoding </w:t>
      </w:r>
      <w:proofErr w:type="spellStart"/>
      <w:r>
        <w:t>spliceosome</w:t>
      </w:r>
      <w:proofErr w:type="spellEnd"/>
      <w:r>
        <w:t xml:space="preserve"> compounds have been found to occur at high frequencies in </w:t>
      </w:r>
      <w:proofErr w:type="spellStart"/>
      <w:r>
        <w:t>myelodysplastic</w:t>
      </w:r>
      <w:proofErr w:type="spellEnd"/>
      <w:r>
        <w:t xml:space="preserve"> syndromes (MDS) and chronic lymphocytic leukemia (CLL). Subsequently, SF3B1 mutations were also found in solid tumors such as endometrial, lung, bladder, pancreatic and breast carcinomas and cutaneous melanomas </w:t>
      </w:r>
      <w:r>
        <w:rPr>
          <w:vertAlign w:val="superscript"/>
        </w:rPr>
        <w:t>[14]</w:t>
      </w:r>
      <w:r>
        <w:t>.</w:t>
      </w:r>
    </w:p>
    <w:p w14:paraId="28A0F31F" w14:textId="77777777" w:rsidR="00CD0060" w:rsidRDefault="009053E1">
      <w:pPr>
        <w:pStyle w:val="11"/>
      </w:pPr>
      <w:r>
        <w:t xml:space="preserve">Recent studies have shown that some </w:t>
      </w:r>
      <w:proofErr w:type="spellStart"/>
      <w:r>
        <w:t>spliceosome</w:t>
      </w:r>
      <w:proofErr w:type="spellEnd"/>
      <w:r>
        <w:t xml:space="preserve"> genes involved in the early steps of U2-dependent splice site recognition are commonly mutated in hematologic malignancies and solid cancers. For example, </w:t>
      </w:r>
      <w:proofErr w:type="spellStart"/>
      <w:r>
        <w:t>exome</w:t>
      </w:r>
      <w:proofErr w:type="spellEnd"/>
      <w:r>
        <w:t xml:space="preserve">-sequencing studies found that SF3B1 was mutated in 10–15% of patients with chronic lymphocytic leukemia, while other </w:t>
      </w:r>
      <w:proofErr w:type="spellStart"/>
      <w:r>
        <w:t>spliceosome</w:t>
      </w:r>
      <w:proofErr w:type="spellEnd"/>
      <w:r>
        <w:t xml:space="preserve"> genes (e.g. SRSF1, </w:t>
      </w:r>
      <w:r>
        <w:rPr>
          <w:highlight w:val="yellow"/>
        </w:rPr>
        <w:t>SRSF7</w:t>
      </w:r>
      <w:r>
        <w:t xml:space="preserve"> and U2AF65) were mutated at lower (but still detectable) frequencies in chronic lymphocytic leukemia patients. In </w:t>
      </w:r>
      <w:proofErr w:type="spellStart"/>
      <w:r>
        <w:t>myelodysplastic</w:t>
      </w:r>
      <w:proofErr w:type="spellEnd"/>
      <w:r>
        <w:t xml:space="preserve"> syndrome, </w:t>
      </w:r>
      <w:proofErr w:type="spellStart"/>
      <w:r>
        <w:t>spliceosome</w:t>
      </w:r>
      <w:proofErr w:type="spellEnd"/>
      <w:r>
        <w:t xml:space="preserve"> genes were reported to be mutated in 45–85% of patients; mutations were commonly found in SF3B1, SRSF2 and U2AF35, and also found (albeit at lower frequencies) in </w:t>
      </w:r>
      <w:r>
        <w:rPr>
          <w:highlight w:val="yellow"/>
        </w:rPr>
        <w:t>SF3A1</w:t>
      </w:r>
      <w:r>
        <w:t xml:space="preserve">, PRPF40B, U2AF65 and SF1. These findings illustrate that </w:t>
      </w:r>
      <w:commentRangeStart w:id="3"/>
      <w:r>
        <w:t>RNA splicing-related genes</w:t>
      </w:r>
      <w:commentRangeEnd w:id="3"/>
      <w:r>
        <w:rPr>
          <w:rStyle w:val="a9"/>
        </w:rPr>
        <w:commentReference w:id="3"/>
      </w:r>
      <w:r>
        <w:t xml:space="preserve"> appear to be associated with </w:t>
      </w:r>
      <w:proofErr w:type="gramStart"/>
      <w:r>
        <w:t>cancer</w:t>
      </w:r>
      <w:r>
        <w:rPr>
          <w:vertAlign w:val="superscript"/>
        </w:rPr>
        <w:t>[</w:t>
      </w:r>
      <w:proofErr w:type="gramEnd"/>
      <w:r>
        <w:rPr>
          <w:vertAlign w:val="superscript"/>
        </w:rPr>
        <w:t>15]</w:t>
      </w:r>
      <w:r>
        <w:t>.</w:t>
      </w:r>
    </w:p>
    <w:p w14:paraId="419BA56F" w14:textId="77777777" w:rsidR="00CD0060" w:rsidRDefault="009053E1">
      <w:pPr>
        <w:pStyle w:val="11"/>
      </w:pPr>
      <w:r>
        <w:t xml:space="preserve">In the past years, the study about </w:t>
      </w:r>
      <w:commentRangeStart w:id="4"/>
      <w:r>
        <w:rPr>
          <w:highlight w:val="yellow"/>
        </w:rPr>
        <w:t xml:space="preserve">RBM5 </w:t>
      </w:r>
      <w:commentRangeEnd w:id="4"/>
      <w:r>
        <w:rPr>
          <w:rStyle w:val="a9"/>
          <w:highlight w:val="yellow"/>
        </w:rPr>
        <w:commentReference w:id="4"/>
      </w:r>
      <w:r>
        <w:t xml:space="preserve">suggest that </w:t>
      </w:r>
      <w:r>
        <w:rPr>
          <w:highlight w:val="yellow"/>
        </w:rPr>
        <w:t>RBM6</w:t>
      </w:r>
      <w:r>
        <w:t>-</w:t>
      </w:r>
      <w:r>
        <w:rPr>
          <w:highlight w:val="yellow"/>
        </w:rPr>
        <w:t>RBM5</w:t>
      </w:r>
      <w:r>
        <w:t xml:space="preserve"> transcription-induced </w:t>
      </w:r>
      <w:proofErr w:type="spellStart"/>
      <w:r>
        <w:lastRenderedPageBreak/>
        <w:t>chimerism</w:t>
      </w:r>
      <w:proofErr w:type="spellEnd"/>
      <w:r>
        <w:t xml:space="preserve"> might be a process that is linked to the </w:t>
      </w:r>
      <w:proofErr w:type="spellStart"/>
      <w:r>
        <w:t>tumour</w:t>
      </w:r>
      <w:proofErr w:type="spellEnd"/>
      <w:r>
        <w:t xml:space="preserve">-associated increased transcriptional activity of the RBM6 gene. It appears that none of the transcription-induced chimeras generates a protein product; however, the novel alternative splicing, which affects putative functional domains within exons 3, 6 and 11 of RBM6, does suggest that the generation of these chimeric transcripts has functional relevance. Finally, the association of chimeric expression with diseases suggests that RBM6-RBM5 chimeric expression may be a potential </w:t>
      </w:r>
      <w:proofErr w:type="spellStart"/>
      <w:r>
        <w:t>tumour</w:t>
      </w:r>
      <w:proofErr w:type="spellEnd"/>
      <w:r>
        <w:t xml:space="preserve"> differentiation marker </w:t>
      </w:r>
      <w:r>
        <w:rPr>
          <w:vertAlign w:val="superscript"/>
        </w:rPr>
        <w:t>[16]</w:t>
      </w:r>
      <w:r>
        <w:rPr>
          <w:rFonts w:hint="eastAsia"/>
        </w:rPr>
        <w:t>.</w:t>
      </w:r>
    </w:p>
    <w:p w14:paraId="0B265D82" w14:textId="77777777" w:rsidR="00CD0060" w:rsidRDefault="00CD0060">
      <w:pPr>
        <w:pStyle w:val="11"/>
      </w:pPr>
    </w:p>
    <w:p w14:paraId="59DDF0F5" w14:textId="77777777" w:rsidR="00CD0060" w:rsidRDefault="00CD0060">
      <w:pPr>
        <w:pStyle w:val="11"/>
        <w:jc w:val="center"/>
      </w:pPr>
    </w:p>
    <w:p w14:paraId="3271D1B4" w14:textId="77777777" w:rsidR="00CD0060" w:rsidRDefault="00CD0060">
      <w:pPr>
        <w:pStyle w:val="11"/>
      </w:pPr>
    </w:p>
    <w:p w14:paraId="5386B30B" w14:textId="77777777" w:rsidR="00CD0060" w:rsidRDefault="00CD0060">
      <w:pPr>
        <w:pStyle w:val="11"/>
        <w:ind w:leftChars="50" w:left="105" w:firstLineChars="150" w:firstLine="315"/>
      </w:pPr>
    </w:p>
    <w:p w14:paraId="718F7FDD" w14:textId="77777777" w:rsidR="00CD0060" w:rsidRDefault="00CD0060">
      <w:pPr>
        <w:pStyle w:val="11"/>
        <w:ind w:leftChars="100" w:left="210" w:firstLineChars="100" w:firstLine="210"/>
      </w:pPr>
    </w:p>
    <w:p w14:paraId="29293D71" w14:textId="77777777" w:rsidR="00CD0060" w:rsidRDefault="009053E1">
      <w:pPr>
        <w:pStyle w:val="1"/>
      </w:pPr>
      <w:r>
        <w:rPr>
          <w:rFonts w:hint="eastAsia"/>
        </w:rPr>
        <w:t>5 conclusion</w:t>
      </w:r>
    </w:p>
    <w:p w14:paraId="2E26F124" w14:textId="77777777" w:rsidR="00CD0060" w:rsidRDefault="009053E1">
      <w:pPr>
        <w:ind w:right="525"/>
        <w:rPr>
          <w:rFonts w:ascii="Times New Roman" w:hAnsi="Times New Roman"/>
          <w:sz w:val="32"/>
        </w:rPr>
      </w:pPr>
      <w:proofErr w:type="gramStart"/>
      <w:r>
        <w:rPr>
          <w:rFonts w:ascii="Times New Roman" w:hAnsi="Times New Roman" w:hint="eastAsia"/>
          <w:sz w:val="32"/>
        </w:rPr>
        <w:t>introduction</w:t>
      </w:r>
      <w:proofErr w:type="gramEnd"/>
    </w:p>
    <w:p w14:paraId="26FDCACC" w14:textId="77777777" w:rsidR="00CD0060" w:rsidRDefault="009053E1">
      <w:pPr>
        <w:ind w:right="525"/>
      </w:pPr>
      <w:r>
        <w:rPr>
          <w:rFonts w:hint="eastAsia"/>
        </w:rPr>
        <w:t>[1]</w:t>
      </w:r>
      <w:r>
        <w:t xml:space="preserve"> Finding consistent disease </w:t>
      </w:r>
      <w:proofErr w:type="spellStart"/>
      <w:r>
        <w:t>subnetworks</w:t>
      </w:r>
      <w:proofErr w:type="spellEnd"/>
      <w:r>
        <w:t xml:space="preserve"> across</w:t>
      </w:r>
      <w:r>
        <w:rPr>
          <w:rFonts w:hint="eastAsia"/>
        </w:rPr>
        <w:t xml:space="preserve"> </w:t>
      </w:r>
      <w:r>
        <w:t>microarray datasets</w:t>
      </w:r>
    </w:p>
    <w:p w14:paraId="7159A9FB" w14:textId="77777777" w:rsidR="00CD0060" w:rsidRDefault="009053E1">
      <w:pPr>
        <w:ind w:right="525"/>
      </w:pPr>
      <w:r>
        <w:t xml:space="preserve">[2] Ontological analysis of gene expression data: current </w:t>
      </w:r>
      <w:proofErr w:type="spellStart"/>
      <w:r>
        <w:t>tools</w:t>
      </w:r>
      <w:proofErr w:type="gramStart"/>
      <w:r>
        <w:t>,limitations</w:t>
      </w:r>
      <w:proofErr w:type="spellEnd"/>
      <w:proofErr w:type="gramEnd"/>
      <w:r>
        <w:t>, and open problems</w:t>
      </w:r>
    </w:p>
    <w:p w14:paraId="17DAF307" w14:textId="77777777" w:rsidR="00CD0060" w:rsidRDefault="009053E1">
      <w:pPr>
        <w:ind w:right="525"/>
      </w:pPr>
      <w:r>
        <w:t xml:space="preserve">[3] Visualization and analysis of microarray and gene ontology data with </w:t>
      </w:r>
      <w:proofErr w:type="spellStart"/>
      <w:r>
        <w:t>treemaps</w:t>
      </w:r>
      <w:proofErr w:type="spellEnd"/>
    </w:p>
    <w:p w14:paraId="45AA1C4C" w14:textId="77777777" w:rsidR="00CD0060" w:rsidRDefault="009053E1">
      <w:pPr>
        <w:ind w:right="525"/>
      </w:pPr>
      <w:r>
        <w:rPr>
          <w:rFonts w:hint="eastAsia"/>
        </w:rPr>
        <w:t>[4]</w:t>
      </w:r>
      <w:r>
        <w:t xml:space="preserve"> Translation of Genotype to Phenotype by a Hierarchy</w:t>
      </w:r>
      <w:r>
        <w:rPr>
          <w:rFonts w:hint="eastAsia"/>
        </w:rPr>
        <w:t xml:space="preserve"> </w:t>
      </w:r>
      <w:r>
        <w:t>of Cell Subsystems</w:t>
      </w:r>
    </w:p>
    <w:p w14:paraId="2A0C77C3" w14:textId="77777777" w:rsidR="00CD0060" w:rsidRDefault="00CD0060">
      <w:pPr>
        <w:ind w:right="525"/>
      </w:pPr>
    </w:p>
    <w:p w14:paraId="3B5B39C0" w14:textId="77777777" w:rsidR="00CD0060" w:rsidRDefault="009053E1">
      <w:pPr>
        <w:ind w:right="525"/>
      </w:pPr>
      <w:r>
        <w:t>[5</w:t>
      </w:r>
      <w:r>
        <w:rPr>
          <w:rFonts w:hint="eastAsia"/>
        </w:rPr>
        <w:t>]</w:t>
      </w:r>
      <w:r>
        <w:t xml:space="preserve"> Coleman, Thomas F.; </w:t>
      </w:r>
      <w:proofErr w:type="spellStart"/>
      <w:r>
        <w:t>Moré</w:t>
      </w:r>
      <w:proofErr w:type="spellEnd"/>
      <w:r>
        <w:t xml:space="preserve">, Jorge J. (1983), "Estimation of sparse </w:t>
      </w:r>
      <w:proofErr w:type="spellStart"/>
      <w:r>
        <w:t>Jacobian</w:t>
      </w:r>
      <w:proofErr w:type="spellEnd"/>
      <w:r>
        <w:t xml:space="preserve"> matrices and graph coloring Problems", SIAM Journal on Numerical Analysis, 20 (1): 187–209, doi</w:t>
      </w:r>
      <w:proofErr w:type="gramStart"/>
      <w:r>
        <w:t>:10.1137</w:t>
      </w:r>
      <w:proofErr w:type="gramEnd"/>
      <w:r>
        <w:t>/0720013</w:t>
      </w:r>
    </w:p>
    <w:p w14:paraId="35C34049" w14:textId="77777777" w:rsidR="00CD0060" w:rsidRDefault="009053E1">
      <w:pPr>
        <w:ind w:right="525"/>
      </w:pPr>
      <w:r>
        <w:t>[6] Biggs, N.; Lloyd, E.; Wilson, R. (1986), Graph Theory, 1736–1936, Oxford University Press.</w:t>
      </w:r>
    </w:p>
    <w:p w14:paraId="1E85F994" w14:textId="77777777" w:rsidR="00CD0060" w:rsidRDefault="009053E1">
      <w:pPr>
        <w:ind w:right="525"/>
      </w:pPr>
      <w:r>
        <w:t>[7]Improvements to cardiovascular gene ontology.</w:t>
      </w:r>
    </w:p>
    <w:p w14:paraId="14C45A11" w14:textId="77777777" w:rsidR="00CD0060" w:rsidRDefault="00CD0060">
      <w:pPr>
        <w:ind w:right="525"/>
      </w:pPr>
    </w:p>
    <w:p w14:paraId="4BBFF399" w14:textId="77777777" w:rsidR="00CD0060" w:rsidRDefault="009053E1">
      <w:pPr>
        <w:ind w:right="525"/>
      </w:pPr>
      <w:r>
        <w:t>[10] Reversion to an embryonic alternative splicing</w:t>
      </w:r>
      <w:r>
        <w:rPr>
          <w:rFonts w:hint="eastAsia"/>
        </w:rPr>
        <w:t xml:space="preserve"> </w:t>
      </w:r>
      <w:r>
        <w:t>program enhances leukemia stem cell self-renewal</w:t>
      </w:r>
    </w:p>
    <w:p w14:paraId="1DF121FB" w14:textId="77777777" w:rsidR="00CD0060" w:rsidRDefault="009053E1">
      <w:pPr>
        <w:ind w:right="525"/>
      </w:pPr>
      <w:r>
        <w:t>[11] Gene signatures of drug resistance predict patient survival in</w:t>
      </w:r>
      <w:r>
        <w:rPr>
          <w:rFonts w:hint="eastAsia"/>
        </w:rPr>
        <w:t xml:space="preserve"> </w:t>
      </w:r>
      <w:r>
        <w:t>colorectal cancer</w:t>
      </w:r>
    </w:p>
    <w:p w14:paraId="46B15527" w14:textId="77777777" w:rsidR="00CD0060" w:rsidRDefault="009053E1">
      <w:pPr>
        <w:ind w:right="525"/>
      </w:pPr>
      <w:r>
        <w:t>[12] Lessons from the Cancer Genome</w:t>
      </w:r>
    </w:p>
    <w:p w14:paraId="1C1C9123" w14:textId="77777777" w:rsidR="00CD0060" w:rsidRDefault="009053E1">
      <w:pPr>
        <w:ind w:right="525"/>
      </w:pPr>
      <w:r>
        <w:t>[13] SRSF7 serine and arginine rich splicing factor 7</w:t>
      </w:r>
      <w:r>
        <w:rPr>
          <w:rFonts w:hint="eastAsia"/>
        </w:rPr>
        <w:t xml:space="preserve"> </w:t>
      </w:r>
    </w:p>
    <w:p w14:paraId="0EF8A8A3" w14:textId="77777777" w:rsidR="00CD0060" w:rsidRDefault="009053E1">
      <w:pPr>
        <w:ind w:right="525"/>
      </w:pPr>
      <w:r>
        <w:rPr>
          <w:rFonts w:hint="eastAsia"/>
        </w:rPr>
        <w:t>[14]</w:t>
      </w:r>
      <w:r>
        <w:t xml:space="preserve"> A common alternative splicing signature is associated with</w:t>
      </w:r>
      <w:r>
        <w:rPr>
          <w:rFonts w:hint="eastAsia"/>
        </w:rPr>
        <w:t xml:space="preserve"> </w:t>
      </w:r>
      <w:r>
        <w:t>SF3B1 mutations in malignancies from different cell lineages</w:t>
      </w:r>
    </w:p>
    <w:p w14:paraId="746A1C2D" w14:textId="77777777" w:rsidR="00CD0060" w:rsidRDefault="009053E1">
      <w:pPr>
        <w:ind w:right="525"/>
      </w:pPr>
      <w:r>
        <w:t>[15] SF3A1 and pancreatic cancer: new evidence for the association</w:t>
      </w:r>
      <w:r>
        <w:rPr>
          <w:rFonts w:hint="eastAsia"/>
        </w:rPr>
        <w:t xml:space="preserve"> </w:t>
      </w:r>
      <w:r>
        <w:t xml:space="preserve">of the </w:t>
      </w:r>
      <w:proofErr w:type="spellStart"/>
      <w:r>
        <w:t>spliceosome</w:t>
      </w:r>
      <w:proofErr w:type="spellEnd"/>
      <w:r>
        <w:t xml:space="preserve"> and cancer</w:t>
      </w:r>
    </w:p>
    <w:p w14:paraId="25C7D592" w14:textId="77777777" w:rsidR="00CD0060" w:rsidRDefault="009053E1">
      <w:pPr>
        <w:ind w:right="525"/>
      </w:pPr>
      <w:r>
        <w:t>[16] RBM6-RBM5 transcription-induced chimeras are differentially</w:t>
      </w:r>
      <w:r>
        <w:rPr>
          <w:rFonts w:hint="eastAsia"/>
        </w:rPr>
        <w:t xml:space="preserve"> </w:t>
      </w:r>
      <w:r>
        <w:t xml:space="preserve">expressed in </w:t>
      </w:r>
      <w:proofErr w:type="spellStart"/>
      <w:r>
        <w:t>tumours</w:t>
      </w:r>
      <w:proofErr w:type="spellEnd"/>
    </w:p>
    <w:sectPr w:rsidR="00CD00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junya" w:date="2017-03-29T21:27:00Z" w:initials="ljy">
    <w:p w14:paraId="09D03B11" w14:textId="77777777" w:rsidR="00CD0060" w:rsidRDefault="009053E1">
      <w:r>
        <w:rPr>
          <w:rFonts w:hint="eastAsia"/>
        </w:rPr>
        <w:t>SFRS7</w:t>
      </w:r>
    </w:p>
    <w:p w14:paraId="1476AB0F" w14:textId="77777777" w:rsidR="00CD0060" w:rsidRDefault="009053E1">
      <w:pPr>
        <w:rPr>
          <w:u w:val="single"/>
        </w:rPr>
      </w:pPr>
      <w:r>
        <w:rPr>
          <w:u w:val="single"/>
        </w:rPr>
        <w:t>S</w:t>
      </w:r>
      <w:r>
        <w:rPr>
          <w:rFonts w:hint="eastAsia"/>
          <w:u w:val="single"/>
        </w:rPr>
        <w:t>FRS7</w:t>
      </w:r>
      <w:r>
        <w:rPr>
          <w:rFonts w:hint="eastAsia"/>
          <w:u w:val="single"/>
        </w:rPr>
        <w:t>是前</w:t>
      </w:r>
      <w:r>
        <w:rPr>
          <w:rFonts w:hint="eastAsia"/>
          <w:u w:val="single"/>
        </w:rPr>
        <w:t>mRNA</w:t>
      </w:r>
      <w:r>
        <w:rPr>
          <w:rFonts w:hint="eastAsia"/>
          <w:u w:val="single"/>
        </w:rPr>
        <w:t>剪接因子的丝氨酸</w:t>
      </w:r>
      <w:r>
        <w:rPr>
          <w:rFonts w:hint="eastAsia"/>
          <w:u w:val="single"/>
        </w:rPr>
        <w:t>/</w:t>
      </w:r>
      <w:r>
        <w:rPr>
          <w:rFonts w:hint="eastAsia"/>
          <w:u w:val="single"/>
        </w:rPr>
        <w:t>精氨酸富集家族的成员，构成部分剪接体</w:t>
      </w:r>
    </w:p>
    <w:p w14:paraId="278D148D" w14:textId="77777777" w:rsidR="00CD0060" w:rsidRDefault="009053E1">
      <w:r>
        <w:rPr>
          <w:rFonts w:hint="eastAsia"/>
        </w:rPr>
        <w:t>慢性粒细胞性白血病（</w:t>
      </w:r>
      <w:r>
        <w:rPr>
          <w:rFonts w:hint="eastAsia"/>
        </w:rPr>
        <w:t>CLL</w:t>
      </w:r>
      <w:r>
        <w:rPr>
          <w:rFonts w:hint="eastAsia"/>
        </w:rPr>
        <w:t>）和骨髓增生异常综合征（</w:t>
      </w:r>
      <w:r>
        <w:rPr>
          <w:rFonts w:hint="eastAsia"/>
        </w:rPr>
        <w:t>MDS</w:t>
      </w:r>
      <w:r>
        <w:rPr>
          <w:rFonts w:hint="eastAsia"/>
        </w:rPr>
        <w:t>）的外源性测序研究的答案变得清楚。</w:t>
      </w:r>
      <w:r>
        <w:rPr>
          <w:rFonts w:hint="eastAsia"/>
        </w:rPr>
        <w:t xml:space="preserve"> </w:t>
      </w:r>
      <w:r>
        <w:rPr>
          <w:rFonts w:hint="eastAsia"/>
        </w:rPr>
        <w:t>在</w:t>
      </w:r>
      <w:r>
        <w:rPr>
          <w:rFonts w:hint="eastAsia"/>
        </w:rPr>
        <w:t>CLL</w:t>
      </w:r>
      <w:r>
        <w:rPr>
          <w:rFonts w:hint="eastAsia"/>
        </w:rPr>
        <w:t>中，剪接体基因</w:t>
      </w:r>
      <w:r>
        <w:rPr>
          <w:rFonts w:hint="eastAsia"/>
        </w:rPr>
        <w:t>SF3B1</w:t>
      </w:r>
      <w:r>
        <w:rPr>
          <w:rFonts w:hint="eastAsia"/>
        </w:rPr>
        <w:t>在</w:t>
      </w:r>
      <w:r>
        <w:rPr>
          <w:rFonts w:hint="eastAsia"/>
        </w:rPr>
        <w:t>10</w:t>
      </w:r>
      <w:r>
        <w:rPr>
          <w:rFonts w:hint="eastAsia"/>
        </w:rPr>
        <w:t>％</w:t>
      </w:r>
      <w:r>
        <w:rPr>
          <w:rFonts w:hint="eastAsia"/>
        </w:rPr>
        <w:t>-15</w:t>
      </w:r>
      <w:r>
        <w:rPr>
          <w:rFonts w:hint="eastAsia"/>
        </w:rPr>
        <w:t>％的病例中突变，其他剪接体基因，如</w:t>
      </w:r>
      <w:r>
        <w:rPr>
          <w:rFonts w:hint="eastAsia"/>
        </w:rPr>
        <w:t>SFRS1</w:t>
      </w:r>
      <w:r>
        <w:rPr>
          <w:rFonts w:hint="eastAsia"/>
        </w:rPr>
        <w:t>，</w:t>
      </w:r>
      <w:r>
        <w:rPr>
          <w:rFonts w:hint="eastAsia"/>
        </w:rPr>
        <w:t>SFRS7</w:t>
      </w:r>
      <w:r>
        <w:rPr>
          <w:rFonts w:hint="eastAsia"/>
        </w:rPr>
        <w:t>和</w:t>
      </w:r>
      <w:r>
        <w:rPr>
          <w:rFonts w:hint="eastAsia"/>
        </w:rPr>
        <w:t>U2AF2</w:t>
      </w:r>
      <w:r>
        <w:rPr>
          <w:rFonts w:hint="eastAsia"/>
        </w:rPr>
        <w:t>也在较低频率下突变（</w:t>
      </w:r>
      <w:r>
        <w:rPr>
          <w:rFonts w:hint="eastAsia"/>
        </w:rPr>
        <w:t>Puente</w:t>
      </w:r>
      <w:r>
        <w:rPr>
          <w:rFonts w:hint="eastAsia"/>
        </w:rPr>
        <w:t>等，</w:t>
      </w:r>
      <w:r>
        <w:rPr>
          <w:rFonts w:hint="eastAsia"/>
        </w:rPr>
        <w:t>2011; Quesada et al</w:t>
      </w:r>
      <w:r>
        <w:rPr>
          <w:rFonts w:hint="eastAsia"/>
        </w:rPr>
        <w:t>。</w:t>
      </w:r>
      <w:r>
        <w:rPr>
          <w:rFonts w:hint="eastAsia"/>
        </w:rPr>
        <w:t xml:space="preserve"> </w:t>
      </w:r>
      <w:r>
        <w:rPr>
          <w:rFonts w:hint="eastAsia"/>
        </w:rPr>
        <w:t>，</w:t>
      </w:r>
      <w:r>
        <w:rPr>
          <w:rFonts w:hint="eastAsia"/>
        </w:rPr>
        <w:t xml:space="preserve">2012; </w:t>
      </w:r>
      <w:proofErr w:type="spellStart"/>
      <w:r>
        <w:rPr>
          <w:rFonts w:hint="eastAsia"/>
        </w:rPr>
        <w:t>Wanget</w:t>
      </w:r>
      <w:proofErr w:type="spellEnd"/>
      <w:r>
        <w:rPr>
          <w:rFonts w:hint="eastAsia"/>
        </w:rPr>
        <w:t xml:space="preserve"> al</w:t>
      </w:r>
      <w:r>
        <w:rPr>
          <w:rFonts w:hint="eastAsia"/>
        </w:rPr>
        <w:t>。，</w:t>
      </w:r>
      <w:r>
        <w:rPr>
          <w:rFonts w:hint="eastAsia"/>
        </w:rPr>
        <w:t>2011a</w:t>
      </w:r>
      <w:r>
        <w:rPr>
          <w:rFonts w:hint="eastAsia"/>
        </w:rPr>
        <w:t>）。</w:t>
      </w:r>
    </w:p>
    <w:p w14:paraId="6A5A1E3E" w14:textId="77777777" w:rsidR="00CD0060" w:rsidRDefault="009053E1">
      <w:r>
        <w:rPr>
          <w:rFonts w:hint="eastAsia"/>
        </w:rPr>
        <w:t>由该基因编码的蛋白质是构成剪接体的一部分的前</w:t>
      </w:r>
      <w:r>
        <w:rPr>
          <w:rFonts w:hint="eastAsia"/>
        </w:rPr>
        <w:t>mRNA</w:t>
      </w:r>
      <w:r>
        <w:rPr>
          <w:rFonts w:hint="eastAsia"/>
        </w:rPr>
        <w:t>剪接因子的丝氨酸</w:t>
      </w:r>
      <w:r>
        <w:rPr>
          <w:rFonts w:hint="eastAsia"/>
        </w:rPr>
        <w:t>/</w:t>
      </w:r>
      <w:r>
        <w:rPr>
          <w:rFonts w:hint="eastAsia"/>
        </w:rPr>
        <w:t>精氨酸（</w:t>
      </w:r>
      <w:r>
        <w:rPr>
          <w:rFonts w:hint="eastAsia"/>
        </w:rPr>
        <w:t>SR</w:t>
      </w:r>
      <w:r>
        <w:rPr>
          <w:rFonts w:hint="eastAsia"/>
        </w:rPr>
        <w:t>）富集家族的成员。</w:t>
      </w:r>
      <w:r>
        <w:rPr>
          <w:rFonts w:hint="eastAsia"/>
        </w:rPr>
        <w:t xml:space="preserve"> </w:t>
      </w:r>
      <w:r>
        <w:rPr>
          <w:rFonts w:hint="eastAsia"/>
        </w:rPr>
        <w:t>这些因素中的每一个包含用于结合</w:t>
      </w:r>
      <w:r>
        <w:rPr>
          <w:rFonts w:hint="eastAsia"/>
        </w:rPr>
        <w:t>RNA</w:t>
      </w:r>
      <w:r>
        <w:rPr>
          <w:rFonts w:hint="eastAsia"/>
        </w:rPr>
        <w:t>的</w:t>
      </w:r>
      <w:r>
        <w:rPr>
          <w:rFonts w:hint="eastAsia"/>
        </w:rPr>
        <w:t>RNA</w:t>
      </w:r>
      <w:r>
        <w:rPr>
          <w:rFonts w:hint="eastAsia"/>
        </w:rPr>
        <w:t>识别基序（</w:t>
      </w:r>
      <w:r>
        <w:rPr>
          <w:rFonts w:hint="eastAsia"/>
        </w:rPr>
        <w:t>RRM</w:t>
      </w:r>
      <w:r>
        <w:rPr>
          <w:rFonts w:hint="eastAsia"/>
        </w:rPr>
        <w:t>）和用于结合其他蛋白质的</w:t>
      </w:r>
      <w:r>
        <w:rPr>
          <w:rFonts w:hint="eastAsia"/>
        </w:rPr>
        <w:t>RS</w:t>
      </w:r>
      <w:r>
        <w:rPr>
          <w:rFonts w:hint="eastAsia"/>
        </w:rPr>
        <w:t>结构域。</w:t>
      </w:r>
      <w:r>
        <w:rPr>
          <w:rFonts w:hint="eastAsia"/>
        </w:rPr>
        <w:t xml:space="preserve"> RS</w:t>
      </w:r>
      <w:r>
        <w:rPr>
          <w:rFonts w:hint="eastAsia"/>
        </w:rPr>
        <w:t>结构域富含丝氨酸和精氨酸残基，促进不同</w:t>
      </w:r>
      <w:r>
        <w:rPr>
          <w:rFonts w:hint="eastAsia"/>
        </w:rPr>
        <w:t>SR</w:t>
      </w:r>
      <w:r>
        <w:rPr>
          <w:rFonts w:hint="eastAsia"/>
        </w:rPr>
        <w:t>剪接因子之间的相互作用。</w:t>
      </w:r>
      <w:r>
        <w:rPr>
          <w:rFonts w:hint="eastAsia"/>
        </w:rPr>
        <w:t xml:space="preserve"> </w:t>
      </w:r>
      <w:r>
        <w:rPr>
          <w:rFonts w:hint="eastAsia"/>
        </w:rPr>
        <w:t>除了对</w:t>
      </w:r>
      <w:r>
        <w:rPr>
          <w:rFonts w:hint="eastAsia"/>
        </w:rPr>
        <w:t>mRNA</w:t>
      </w:r>
      <w:r>
        <w:rPr>
          <w:rFonts w:hint="eastAsia"/>
        </w:rPr>
        <w:t>剪接至关重要之外，</w:t>
      </w:r>
      <w:r>
        <w:rPr>
          <w:rFonts w:hint="eastAsia"/>
        </w:rPr>
        <w:t>SR</w:t>
      </w:r>
      <w:r>
        <w:rPr>
          <w:rFonts w:hint="eastAsia"/>
        </w:rPr>
        <w:t>蛋白也被证明参与从核和</w:t>
      </w:r>
      <w:r>
        <w:rPr>
          <w:rFonts w:hint="eastAsia"/>
        </w:rPr>
        <w:t>mRNA</w:t>
      </w:r>
      <w:r>
        <w:rPr>
          <w:rFonts w:hint="eastAsia"/>
        </w:rPr>
        <w:t>翻译出来的</w:t>
      </w:r>
      <w:r>
        <w:rPr>
          <w:rFonts w:hint="eastAsia"/>
        </w:rPr>
        <w:t>mRNA</w:t>
      </w:r>
      <w:r>
        <w:rPr>
          <w:rFonts w:hint="eastAsia"/>
        </w:rPr>
        <w:t>。</w:t>
      </w:r>
      <w:r>
        <w:rPr>
          <w:rFonts w:hint="eastAsia"/>
        </w:rPr>
        <w:t xml:space="preserve"> </w:t>
      </w:r>
      <w:r>
        <w:rPr>
          <w:rFonts w:hint="eastAsia"/>
        </w:rPr>
        <w:t>已经发现编码不同同种型的两个转录本变体为该基因。</w:t>
      </w:r>
      <w:r>
        <w:rPr>
          <w:rFonts w:hint="eastAsia"/>
        </w:rPr>
        <w:t xml:space="preserve"> </w:t>
      </w:r>
    </w:p>
    <w:p w14:paraId="1E471322" w14:textId="77777777" w:rsidR="00CD0060" w:rsidRDefault="00CD0060">
      <w:pPr>
        <w:pStyle w:val="a4"/>
      </w:pPr>
    </w:p>
  </w:comment>
  <w:comment w:id="2" w:author="lujunya" w:date="2017-03-29T21:41:00Z" w:initials="ljy">
    <w:p w14:paraId="27B5B454" w14:textId="77777777" w:rsidR="00CD0060" w:rsidRDefault="009053E1">
      <w:pPr>
        <w:pStyle w:val="a4"/>
      </w:pPr>
      <w:r>
        <w:rPr>
          <w:rFonts w:hint="eastAsia"/>
        </w:rPr>
        <w:t>SF3</w:t>
      </w:r>
      <w:r>
        <w:t>A1</w:t>
      </w:r>
    </w:p>
    <w:p w14:paraId="00D3BE1B" w14:textId="77777777" w:rsidR="00CD0060" w:rsidRDefault="009053E1">
      <w:pPr>
        <w:pStyle w:val="a4"/>
      </w:pPr>
      <w:r>
        <w:rPr>
          <w:rFonts w:hint="eastAsia"/>
        </w:rPr>
        <w:t>RNA</w:t>
      </w:r>
      <w:r>
        <w:rPr>
          <w:rFonts w:hint="eastAsia"/>
        </w:rPr>
        <w:t>成熟是一个重要且复杂的生物过程。它需要几种包含两种形式的剪接体的小核糖核蛋白（</w:t>
      </w:r>
      <w:proofErr w:type="spellStart"/>
      <w:r>
        <w:rPr>
          <w:rFonts w:hint="eastAsia"/>
        </w:rPr>
        <w:t>snRNP</w:t>
      </w:r>
      <w:proofErr w:type="spellEnd"/>
      <w:r>
        <w:rPr>
          <w:rFonts w:hint="eastAsia"/>
        </w:rPr>
        <w:t>）。剪接体（</w:t>
      </w:r>
      <w:r>
        <w:rPr>
          <w:rFonts w:hint="eastAsia"/>
        </w:rPr>
        <w:t>U2</w:t>
      </w:r>
      <w:r>
        <w:rPr>
          <w:rFonts w:hint="eastAsia"/>
        </w:rPr>
        <w:t>型）的主要形式由</w:t>
      </w:r>
      <w:r>
        <w:rPr>
          <w:rFonts w:hint="eastAsia"/>
        </w:rPr>
        <w:t>U1</w:t>
      </w:r>
      <w:r>
        <w:rPr>
          <w:rFonts w:hint="eastAsia"/>
        </w:rPr>
        <w:t>，</w:t>
      </w:r>
      <w:r>
        <w:rPr>
          <w:rFonts w:hint="eastAsia"/>
        </w:rPr>
        <w:t>U2</w:t>
      </w:r>
      <w:r>
        <w:rPr>
          <w:rFonts w:hint="eastAsia"/>
        </w:rPr>
        <w:t>，</w:t>
      </w:r>
      <w:r>
        <w:rPr>
          <w:rFonts w:hint="eastAsia"/>
        </w:rPr>
        <w:t>U4 / 6</w:t>
      </w:r>
      <w:r>
        <w:rPr>
          <w:rFonts w:hint="eastAsia"/>
        </w:rPr>
        <w:t>和</w:t>
      </w:r>
      <w:r>
        <w:rPr>
          <w:rFonts w:hint="eastAsia"/>
        </w:rPr>
        <w:t xml:space="preserve">U5 </w:t>
      </w:r>
      <w:proofErr w:type="spellStart"/>
      <w:r>
        <w:rPr>
          <w:rFonts w:hint="eastAsia"/>
        </w:rPr>
        <w:t>snRNP</w:t>
      </w:r>
      <w:proofErr w:type="spellEnd"/>
      <w:r>
        <w:rPr>
          <w:rFonts w:hint="eastAsia"/>
        </w:rPr>
        <w:t>组成，并催化后代中的大多数剪接事件。基因如</w:t>
      </w:r>
      <w:r>
        <w:rPr>
          <w:rFonts w:hint="eastAsia"/>
        </w:rPr>
        <w:t>SF3B1</w:t>
      </w:r>
      <w:r>
        <w:rPr>
          <w:rFonts w:hint="eastAsia"/>
        </w:rPr>
        <w:t>，</w:t>
      </w:r>
      <w:r>
        <w:rPr>
          <w:rFonts w:hint="eastAsia"/>
        </w:rPr>
        <w:t>SRSF2</w:t>
      </w:r>
      <w:r>
        <w:rPr>
          <w:rFonts w:hint="eastAsia"/>
        </w:rPr>
        <w:t>，</w:t>
      </w:r>
      <w:r>
        <w:rPr>
          <w:rFonts w:hint="eastAsia"/>
        </w:rPr>
        <w:t>U2AF1</w:t>
      </w:r>
      <w:r>
        <w:rPr>
          <w:rFonts w:hint="eastAsia"/>
        </w:rPr>
        <w:t>，</w:t>
      </w:r>
      <w:r>
        <w:rPr>
          <w:rFonts w:hint="eastAsia"/>
        </w:rPr>
        <w:t>ZRSR2</w:t>
      </w:r>
      <w:r>
        <w:rPr>
          <w:rFonts w:hint="eastAsia"/>
        </w:rPr>
        <w:t>的基因和较小的已经发现编码剪接体化合物的程度</w:t>
      </w:r>
      <w:r>
        <w:rPr>
          <w:rFonts w:hint="eastAsia"/>
        </w:rPr>
        <w:t>SF1</w:t>
      </w:r>
      <w:r>
        <w:rPr>
          <w:rFonts w:hint="eastAsia"/>
        </w:rPr>
        <w:t>，</w:t>
      </w:r>
      <w:r>
        <w:rPr>
          <w:rFonts w:hint="eastAsia"/>
        </w:rPr>
        <w:t>SF3A1</w:t>
      </w:r>
      <w:r>
        <w:rPr>
          <w:rFonts w:hint="eastAsia"/>
        </w:rPr>
        <w:t>，</w:t>
      </w:r>
      <w:r>
        <w:rPr>
          <w:rFonts w:hint="eastAsia"/>
        </w:rPr>
        <w:t>U2AF2</w:t>
      </w:r>
      <w:r>
        <w:rPr>
          <w:rFonts w:hint="eastAsia"/>
        </w:rPr>
        <w:t>或</w:t>
      </w:r>
      <w:r>
        <w:rPr>
          <w:rFonts w:hint="eastAsia"/>
        </w:rPr>
        <w:t>PRPF40B</w:t>
      </w:r>
      <w:r>
        <w:rPr>
          <w:rFonts w:hint="eastAsia"/>
        </w:rPr>
        <w:t>在骨髓增生异常综合征（</w:t>
      </w:r>
      <w:r>
        <w:rPr>
          <w:rFonts w:hint="eastAsia"/>
        </w:rPr>
        <w:t>MDS</w:t>
      </w:r>
      <w:r>
        <w:rPr>
          <w:rFonts w:hint="eastAsia"/>
        </w:rPr>
        <w:t>）和慢性淋巴细胞白血病（</w:t>
      </w:r>
      <w:r>
        <w:rPr>
          <w:rFonts w:hint="eastAsia"/>
        </w:rPr>
        <w:t>CLL</w:t>
      </w:r>
      <w:r>
        <w:rPr>
          <w:rFonts w:hint="eastAsia"/>
        </w:rPr>
        <w:t>）中高频发生。</w:t>
      </w:r>
    </w:p>
  </w:comment>
  <w:comment w:id="3" w:author="lujunya" w:date="2017-03-29T21:54:00Z" w:initials="ljy">
    <w:p w14:paraId="5630BF24" w14:textId="77777777" w:rsidR="00CD0060" w:rsidRDefault="009053E1">
      <w:pPr>
        <w:pStyle w:val="a4"/>
      </w:pPr>
      <w:r>
        <w:rPr>
          <w:rFonts w:hint="eastAsia"/>
        </w:rPr>
        <w:t>这些发现表明</w:t>
      </w:r>
      <w:r>
        <w:rPr>
          <w:rFonts w:hint="eastAsia"/>
        </w:rPr>
        <w:t>RNA</w:t>
      </w:r>
      <w:r>
        <w:rPr>
          <w:rFonts w:hint="eastAsia"/>
        </w:rPr>
        <w:t>剪接相关基因似乎与之相关</w:t>
      </w:r>
    </w:p>
  </w:comment>
  <w:comment w:id="4" w:author="lujunya" w:date="2017-03-29T22:25:00Z" w:initials="ljy">
    <w:p w14:paraId="27219DCD" w14:textId="77777777" w:rsidR="00CD0060" w:rsidRDefault="009053E1">
      <w:pPr>
        <w:pStyle w:val="a4"/>
      </w:pPr>
      <w:r>
        <w:rPr>
          <w:rFonts w:hint="eastAsia"/>
        </w:rPr>
        <w:t>RBM5</w:t>
      </w:r>
    </w:p>
    <w:p w14:paraId="4FAF789F" w14:textId="77777777" w:rsidR="00CD0060" w:rsidRDefault="009053E1">
      <w:pPr>
        <w:pStyle w:val="a4"/>
      </w:pPr>
      <w:r>
        <w:rPr>
          <w:rFonts w:hint="eastAsia"/>
        </w:rPr>
        <w:t>RBM6-RBM5</w:t>
      </w:r>
      <w:r>
        <w:rPr>
          <w:rFonts w:hint="eastAsia"/>
        </w:rPr>
        <w:t>转录诱导嵌合体可能是与</w:t>
      </w:r>
      <w:r>
        <w:rPr>
          <w:rFonts w:hint="eastAsia"/>
        </w:rPr>
        <w:t>RBM6</w:t>
      </w:r>
      <w:r>
        <w:rPr>
          <w:rFonts w:hint="eastAsia"/>
        </w:rPr>
        <w:t>基因的肿瘤相关增加的转录活性相关的过程。似乎没有转录诱导的嵌合体产生蛋白质产物</w:t>
      </w:r>
      <w:r>
        <w:rPr>
          <w:rFonts w:hint="eastAsia"/>
        </w:rPr>
        <w:t>;</w:t>
      </w:r>
      <w:r>
        <w:rPr>
          <w:rFonts w:hint="eastAsia"/>
        </w:rPr>
        <w:t>然而，影响</w:t>
      </w:r>
      <w:r>
        <w:rPr>
          <w:rFonts w:hint="eastAsia"/>
        </w:rPr>
        <w:t>RBM6</w:t>
      </w:r>
      <w:r>
        <w:rPr>
          <w:rFonts w:hint="eastAsia"/>
        </w:rPr>
        <w:t>外显子</w:t>
      </w:r>
      <w:r>
        <w:rPr>
          <w:rFonts w:hint="eastAsia"/>
        </w:rPr>
        <w:t>3,6</w:t>
      </w:r>
      <w:r>
        <w:rPr>
          <w:rFonts w:hint="eastAsia"/>
        </w:rPr>
        <w:t>和</w:t>
      </w:r>
      <w:r>
        <w:rPr>
          <w:rFonts w:hint="eastAsia"/>
        </w:rPr>
        <w:t>11</w:t>
      </w:r>
      <w:r>
        <w:rPr>
          <w:rFonts w:hint="eastAsia"/>
        </w:rPr>
        <w:t>中推定功能结构域的新型选择性剪接确实表明这些嵌合转录本的产生具有功能相关性。最后，嵌合表达与乳腺肿瘤大小（疾病）的关联表明</w:t>
      </w:r>
      <w:r>
        <w:rPr>
          <w:rFonts w:hint="eastAsia"/>
        </w:rPr>
        <w:t>RBM6-RBM5</w:t>
      </w:r>
      <w:r>
        <w:rPr>
          <w:rFonts w:hint="eastAsia"/>
        </w:rPr>
        <w:t>嵌合表达可能是潜在的肿瘤分化标记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71322" w15:done="0"/>
  <w15:commentEx w15:paraId="00D3BE1B" w15:done="0"/>
  <w15:commentEx w15:paraId="5630BF24" w15:done="0"/>
  <w15:commentEx w15:paraId="4FAF78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52"/>
    <w:rsid w:val="000067E0"/>
    <w:rsid w:val="00010B0D"/>
    <w:rsid w:val="00011AF6"/>
    <w:rsid w:val="0001237C"/>
    <w:rsid w:val="00012EB4"/>
    <w:rsid w:val="000164E8"/>
    <w:rsid w:val="000176D2"/>
    <w:rsid w:val="000252C9"/>
    <w:rsid w:val="00030ECB"/>
    <w:rsid w:val="00043AA6"/>
    <w:rsid w:val="000470B7"/>
    <w:rsid w:val="0005351E"/>
    <w:rsid w:val="000678E5"/>
    <w:rsid w:val="000879E8"/>
    <w:rsid w:val="000A030C"/>
    <w:rsid w:val="000A15E5"/>
    <w:rsid w:val="000C4301"/>
    <w:rsid w:val="000C6022"/>
    <w:rsid w:val="000D0C2F"/>
    <w:rsid w:val="000D3421"/>
    <w:rsid w:val="000D3503"/>
    <w:rsid w:val="000D5ED9"/>
    <w:rsid w:val="000F03FD"/>
    <w:rsid w:val="000F1E30"/>
    <w:rsid w:val="000F4B85"/>
    <w:rsid w:val="000F583F"/>
    <w:rsid w:val="00103B37"/>
    <w:rsid w:val="001106BB"/>
    <w:rsid w:val="00113EA6"/>
    <w:rsid w:val="001277E2"/>
    <w:rsid w:val="00147977"/>
    <w:rsid w:val="00154AAA"/>
    <w:rsid w:val="0016090C"/>
    <w:rsid w:val="00163DDC"/>
    <w:rsid w:val="00164912"/>
    <w:rsid w:val="00176DC2"/>
    <w:rsid w:val="001824EC"/>
    <w:rsid w:val="00192364"/>
    <w:rsid w:val="0019240B"/>
    <w:rsid w:val="001932EA"/>
    <w:rsid w:val="0019355C"/>
    <w:rsid w:val="001970C4"/>
    <w:rsid w:val="001A1B6A"/>
    <w:rsid w:val="001B4180"/>
    <w:rsid w:val="001B5238"/>
    <w:rsid w:val="001B5DC4"/>
    <w:rsid w:val="001B62AE"/>
    <w:rsid w:val="001C7C4E"/>
    <w:rsid w:val="001E2A26"/>
    <w:rsid w:val="001F3E48"/>
    <w:rsid w:val="00204D47"/>
    <w:rsid w:val="00207938"/>
    <w:rsid w:val="002213A0"/>
    <w:rsid w:val="00222C50"/>
    <w:rsid w:val="00227AE0"/>
    <w:rsid w:val="00232F94"/>
    <w:rsid w:val="0023598C"/>
    <w:rsid w:val="0023653F"/>
    <w:rsid w:val="002417FE"/>
    <w:rsid w:val="00257D4A"/>
    <w:rsid w:val="00270263"/>
    <w:rsid w:val="00273C38"/>
    <w:rsid w:val="0027446C"/>
    <w:rsid w:val="002830FC"/>
    <w:rsid w:val="0028325D"/>
    <w:rsid w:val="0029116A"/>
    <w:rsid w:val="002A1CC5"/>
    <w:rsid w:val="002A3302"/>
    <w:rsid w:val="002A6B2D"/>
    <w:rsid w:val="002C476A"/>
    <w:rsid w:val="002C7933"/>
    <w:rsid w:val="002D0793"/>
    <w:rsid w:val="002D76C4"/>
    <w:rsid w:val="002F5FAD"/>
    <w:rsid w:val="0031301E"/>
    <w:rsid w:val="00320B25"/>
    <w:rsid w:val="003242D4"/>
    <w:rsid w:val="00335F90"/>
    <w:rsid w:val="003503BD"/>
    <w:rsid w:val="00350A60"/>
    <w:rsid w:val="0035366B"/>
    <w:rsid w:val="00356633"/>
    <w:rsid w:val="00365F3F"/>
    <w:rsid w:val="00367AB6"/>
    <w:rsid w:val="003766C1"/>
    <w:rsid w:val="00377C29"/>
    <w:rsid w:val="003804EB"/>
    <w:rsid w:val="003A0C27"/>
    <w:rsid w:val="003B6723"/>
    <w:rsid w:val="003C064A"/>
    <w:rsid w:val="003C3E17"/>
    <w:rsid w:val="003E135B"/>
    <w:rsid w:val="003E3A0E"/>
    <w:rsid w:val="0040158D"/>
    <w:rsid w:val="004044EA"/>
    <w:rsid w:val="00406429"/>
    <w:rsid w:val="004132B7"/>
    <w:rsid w:val="0042051C"/>
    <w:rsid w:val="004207BA"/>
    <w:rsid w:val="00430746"/>
    <w:rsid w:val="00432479"/>
    <w:rsid w:val="00440D7B"/>
    <w:rsid w:val="00443A9F"/>
    <w:rsid w:val="00443AB4"/>
    <w:rsid w:val="00444E0D"/>
    <w:rsid w:val="004514ED"/>
    <w:rsid w:val="00457C08"/>
    <w:rsid w:val="004647AA"/>
    <w:rsid w:val="004733D2"/>
    <w:rsid w:val="00473D71"/>
    <w:rsid w:val="00475A58"/>
    <w:rsid w:val="00475B40"/>
    <w:rsid w:val="00477CEA"/>
    <w:rsid w:val="00477DA6"/>
    <w:rsid w:val="00484FD3"/>
    <w:rsid w:val="00494AE2"/>
    <w:rsid w:val="004A456E"/>
    <w:rsid w:val="004B2148"/>
    <w:rsid w:val="004B2CD7"/>
    <w:rsid w:val="004B5997"/>
    <w:rsid w:val="004C1E46"/>
    <w:rsid w:val="004C648D"/>
    <w:rsid w:val="004D7F55"/>
    <w:rsid w:val="004F1CF3"/>
    <w:rsid w:val="004F7040"/>
    <w:rsid w:val="0050310F"/>
    <w:rsid w:val="00511DDE"/>
    <w:rsid w:val="00532873"/>
    <w:rsid w:val="00536F2E"/>
    <w:rsid w:val="00540FD4"/>
    <w:rsid w:val="005525DD"/>
    <w:rsid w:val="00553312"/>
    <w:rsid w:val="00554066"/>
    <w:rsid w:val="0058582F"/>
    <w:rsid w:val="005859E5"/>
    <w:rsid w:val="00586E3A"/>
    <w:rsid w:val="005938AD"/>
    <w:rsid w:val="005A6FBC"/>
    <w:rsid w:val="005B0343"/>
    <w:rsid w:val="005D178C"/>
    <w:rsid w:val="005D52ED"/>
    <w:rsid w:val="005E3C63"/>
    <w:rsid w:val="005E3DEC"/>
    <w:rsid w:val="005F1D37"/>
    <w:rsid w:val="00621B96"/>
    <w:rsid w:val="00626EBB"/>
    <w:rsid w:val="0062747C"/>
    <w:rsid w:val="00653889"/>
    <w:rsid w:val="006574D9"/>
    <w:rsid w:val="00666DAB"/>
    <w:rsid w:val="00667C09"/>
    <w:rsid w:val="00670649"/>
    <w:rsid w:val="00697B2A"/>
    <w:rsid w:val="006B1802"/>
    <w:rsid w:val="006B1F92"/>
    <w:rsid w:val="006D6133"/>
    <w:rsid w:val="006E43C5"/>
    <w:rsid w:val="006E59CF"/>
    <w:rsid w:val="006F6AA9"/>
    <w:rsid w:val="00702B50"/>
    <w:rsid w:val="007067AB"/>
    <w:rsid w:val="00706A04"/>
    <w:rsid w:val="00712A18"/>
    <w:rsid w:val="00712D39"/>
    <w:rsid w:val="00717218"/>
    <w:rsid w:val="007232F6"/>
    <w:rsid w:val="007258C7"/>
    <w:rsid w:val="0073000F"/>
    <w:rsid w:val="0073035F"/>
    <w:rsid w:val="0073096E"/>
    <w:rsid w:val="007379B4"/>
    <w:rsid w:val="007518D7"/>
    <w:rsid w:val="00751D6F"/>
    <w:rsid w:val="00760F28"/>
    <w:rsid w:val="00761CA4"/>
    <w:rsid w:val="00775D6D"/>
    <w:rsid w:val="00785EE0"/>
    <w:rsid w:val="00787300"/>
    <w:rsid w:val="007929E9"/>
    <w:rsid w:val="00793ED3"/>
    <w:rsid w:val="007A42B4"/>
    <w:rsid w:val="007B2B9A"/>
    <w:rsid w:val="007B48AE"/>
    <w:rsid w:val="007C0912"/>
    <w:rsid w:val="007C5AFF"/>
    <w:rsid w:val="007D2FFB"/>
    <w:rsid w:val="007E0102"/>
    <w:rsid w:val="007F117B"/>
    <w:rsid w:val="007F3441"/>
    <w:rsid w:val="007F6ED1"/>
    <w:rsid w:val="00800244"/>
    <w:rsid w:val="008023E0"/>
    <w:rsid w:val="00806011"/>
    <w:rsid w:val="00807E12"/>
    <w:rsid w:val="008267D0"/>
    <w:rsid w:val="008308B8"/>
    <w:rsid w:val="00846329"/>
    <w:rsid w:val="00856B54"/>
    <w:rsid w:val="00864139"/>
    <w:rsid w:val="00864F8A"/>
    <w:rsid w:val="00871DF7"/>
    <w:rsid w:val="00874B6B"/>
    <w:rsid w:val="008834E0"/>
    <w:rsid w:val="008840B3"/>
    <w:rsid w:val="008933CB"/>
    <w:rsid w:val="00895CFA"/>
    <w:rsid w:val="008A2011"/>
    <w:rsid w:val="008A3889"/>
    <w:rsid w:val="008A53D1"/>
    <w:rsid w:val="008A73B4"/>
    <w:rsid w:val="008B3E9F"/>
    <w:rsid w:val="008B5472"/>
    <w:rsid w:val="008C245D"/>
    <w:rsid w:val="008C4EE3"/>
    <w:rsid w:val="008E22A1"/>
    <w:rsid w:val="008E3D0B"/>
    <w:rsid w:val="008F27A7"/>
    <w:rsid w:val="009000F1"/>
    <w:rsid w:val="009013AC"/>
    <w:rsid w:val="00901CB9"/>
    <w:rsid w:val="009053E1"/>
    <w:rsid w:val="009105FB"/>
    <w:rsid w:val="0091256D"/>
    <w:rsid w:val="009126CC"/>
    <w:rsid w:val="00913063"/>
    <w:rsid w:val="00922F50"/>
    <w:rsid w:val="00924CB8"/>
    <w:rsid w:val="009417E4"/>
    <w:rsid w:val="00946411"/>
    <w:rsid w:val="0095767F"/>
    <w:rsid w:val="00965217"/>
    <w:rsid w:val="00985BDA"/>
    <w:rsid w:val="0098723B"/>
    <w:rsid w:val="00990ADF"/>
    <w:rsid w:val="0099533B"/>
    <w:rsid w:val="009A00FD"/>
    <w:rsid w:val="009A718E"/>
    <w:rsid w:val="009C0D3A"/>
    <w:rsid w:val="009C79C9"/>
    <w:rsid w:val="009D6445"/>
    <w:rsid w:val="009D7FE9"/>
    <w:rsid w:val="009E7682"/>
    <w:rsid w:val="00A02955"/>
    <w:rsid w:val="00A03F81"/>
    <w:rsid w:val="00A0449B"/>
    <w:rsid w:val="00A0474D"/>
    <w:rsid w:val="00A07BE9"/>
    <w:rsid w:val="00A1151C"/>
    <w:rsid w:val="00A133EA"/>
    <w:rsid w:val="00A14568"/>
    <w:rsid w:val="00A23EFE"/>
    <w:rsid w:val="00A24C91"/>
    <w:rsid w:val="00A24D05"/>
    <w:rsid w:val="00A4329E"/>
    <w:rsid w:val="00A51062"/>
    <w:rsid w:val="00A51CC8"/>
    <w:rsid w:val="00A53F59"/>
    <w:rsid w:val="00A72B95"/>
    <w:rsid w:val="00A7546E"/>
    <w:rsid w:val="00A85465"/>
    <w:rsid w:val="00A93394"/>
    <w:rsid w:val="00AA469C"/>
    <w:rsid w:val="00AB0D0B"/>
    <w:rsid w:val="00AB24E4"/>
    <w:rsid w:val="00AB3272"/>
    <w:rsid w:val="00AC7293"/>
    <w:rsid w:val="00AD4261"/>
    <w:rsid w:val="00AE419A"/>
    <w:rsid w:val="00AF4C96"/>
    <w:rsid w:val="00AF6E92"/>
    <w:rsid w:val="00B02CFA"/>
    <w:rsid w:val="00B05873"/>
    <w:rsid w:val="00B26C51"/>
    <w:rsid w:val="00B32127"/>
    <w:rsid w:val="00B432BE"/>
    <w:rsid w:val="00B50396"/>
    <w:rsid w:val="00B57253"/>
    <w:rsid w:val="00B75C7A"/>
    <w:rsid w:val="00B807F1"/>
    <w:rsid w:val="00B80CB3"/>
    <w:rsid w:val="00B93492"/>
    <w:rsid w:val="00B9384E"/>
    <w:rsid w:val="00B97AB9"/>
    <w:rsid w:val="00BB5376"/>
    <w:rsid w:val="00BB72FD"/>
    <w:rsid w:val="00BC68A1"/>
    <w:rsid w:val="00BC7DA2"/>
    <w:rsid w:val="00BD524B"/>
    <w:rsid w:val="00BE0596"/>
    <w:rsid w:val="00BE0D4E"/>
    <w:rsid w:val="00BF2231"/>
    <w:rsid w:val="00BF2AA2"/>
    <w:rsid w:val="00BF612D"/>
    <w:rsid w:val="00C00E71"/>
    <w:rsid w:val="00C034F8"/>
    <w:rsid w:val="00C05E06"/>
    <w:rsid w:val="00C1090B"/>
    <w:rsid w:val="00C364A1"/>
    <w:rsid w:val="00C41678"/>
    <w:rsid w:val="00C45398"/>
    <w:rsid w:val="00C457DD"/>
    <w:rsid w:val="00C52703"/>
    <w:rsid w:val="00C52750"/>
    <w:rsid w:val="00C56799"/>
    <w:rsid w:val="00C71582"/>
    <w:rsid w:val="00C87A09"/>
    <w:rsid w:val="00C97FED"/>
    <w:rsid w:val="00CA2309"/>
    <w:rsid w:val="00CA7C92"/>
    <w:rsid w:val="00CB6A10"/>
    <w:rsid w:val="00CD0060"/>
    <w:rsid w:val="00CD4331"/>
    <w:rsid w:val="00CD75A8"/>
    <w:rsid w:val="00CD785B"/>
    <w:rsid w:val="00CE51A4"/>
    <w:rsid w:val="00CF72F6"/>
    <w:rsid w:val="00D0742D"/>
    <w:rsid w:val="00D22253"/>
    <w:rsid w:val="00D40AD7"/>
    <w:rsid w:val="00D4248F"/>
    <w:rsid w:val="00D43563"/>
    <w:rsid w:val="00D46EB2"/>
    <w:rsid w:val="00D473C4"/>
    <w:rsid w:val="00D56A93"/>
    <w:rsid w:val="00D63830"/>
    <w:rsid w:val="00D65C80"/>
    <w:rsid w:val="00D74EB5"/>
    <w:rsid w:val="00D7681A"/>
    <w:rsid w:val="00D8080C"/>
    <w:rsid w:val="00D83280"/>
    <w:rsid w:val="00D835B2"/>
    <w:rsid w:val="00D85310"/>
    <w:rsid w:val="00D8662A"/>
    <w:rsid w:val="00D86CE1"/>
    <w:rsid w:val="00D90CDF"/>
    <w:rsid w:val="00D93E50"/>
    <w:rsid w:val="00DA2008"/>
    <w:rsid w:val="00DB0597"/>
    <w:rsid w:val="00DB23C4"/>
    <w:rsid w:val="00DB6ADD"/>
    <w:rsid w:val="00DC3163"/>
    <w:rsid w:val="00DC5DFD"/>
    <w:rsid w:val="00DC5F7B"/>
    <w:rsid w:val="00DC6221"/>
    <w:rsid w:val="00DD1D3E"/>
    <w:rsid w:val="00DD720D"/>
    <w:rsid w:val="00DE531B"/>
    <w:rsid w:val="00DE6BCF"/>
    <w:rsid w:val="00DE6EDA"/>
    <w:rsid w:val="00DF08E1"/>
    <w:rsid w:val="00DF698C"/>
    <w:rsid w:val="00DF7432"/>
    <w:rsid w:val="00E01474"/>
    <w:rsid w:val="00E01EA7"/>
    <w:rsid w:val="00E0400A"/>
    <w:rsid w:val="00E15443"/>
    <w:rsid w:val="00E262F0"/>
    <w:rsid w:val="00E34B94"/>
    <w:rsid w:val="00E41206"/>
    <w:rsid w:val="00E44FAC"/>
    <w:rsid w:val="00E535FF"/>
    <w:rsid w:val="00E53C1A"/>
    <w:rsid w:val="00E53F7C"/>
    <w:rsid w:val="00E54D0C"/>
    <w:rsid w:val="00E605B6"/>
    <w:rsid w:val="00E62D71"/>
    <w:rsid w:val="00E6702C"/>
    <w:rsid w:val="00E7619E"/>
    <w:rsid w:val="00E813A8"/>
    <w:rsid w:val="00E81C4B"/>
    <w:rsid w:val="00E83DDD"/>
    <w:rsid w:val="00E83F24"/>
    <w:rsid w:val="00E9352A"/>
    <w:rsid w:val="00EA2CDD"/>
    <w:rsid w:val="00EB6A19"/>
    <w:rsid w:val="00EB6D2F"/>
    <w:rsid w:val="00EC34DE"/>
    <w:rsid w:val="00EE4399"/>
    <w:rsid w:val="00EE4E21"/>
    <w:rsid w:val="00EE5124"/>
    <w:rsid w:val="00EE523A"/>
    <w:rsid w:val="00EF3A80"/>
    <w:rsid w:val="00F20652"/>
    <w:rsid w:val="00F25BC7"/>
    <w:rsid w:val="00F336B3"/>
    <w:rsid w:val="00F35772"/>
    <w:rsid w:val="00F520E7"/>
    <w:rsid w:val="00F552F6"/>
    <w:rsid w:val="00F768C0"/>
    <w:rsid w:val="00F77633"/>
    <w:rsid w:val="00F800D2"/>
    <w:rsid w:val="00F82474"/>
    <w:rsid w:val="00F8373E"/>
    <w:rsid w:val="00F84015"/>
    <w:rsid w:val="00F911F8"/>
    <w:rsid w:val="00F9159E"/>
    <w:rsid w:val="00F941DF"/>
    <w:rsid w:val="00F967FB"/>
    <w:rsid w:val="00FA1735"/>
    <w:rsid w:val="00FA4B3C"/>
    <w:rsid w:val="00FA74F8"/>
    <w:rsid w:val="00FB0608"/>
    <w:rsid w:val="00FB0ADE"/>
    <w:rsid w:val="00FB5F17"/>
    <w:rsid w:val="00FC3635"/>
    <w:rsid w:val="00FC4BAB"/>
    <w:rsid w:val="00FD1AC9"/>
    <w:rsid w:val="00FD3F99"/>
    <w:rsid w:val="00FD4D23"/>
    <w:rsid w:val="00FE2E6F"/>
    <w:rsid w:val="00FF309B"/>
    <w:rsid w:val="00FF7A0B"/>
    <w:rsid w:val="017057F6"/>
    <w:rsid w:val="03032307"/>
    <w:rsid w:val="048A4C6A"/>
    <w:rsid w:val="05012E93"/>
    <w:rsid w:val="07E978F0"/>
    <w:rsid w:val="13CE0E50"/>
    <w:rsid w:val="15160556"/>
    <w:rsid w:val="1FA430E8"/>
    <w:rsid w:val="20DE2D59"/>
    <w:rsid w:val="248E15D4"/>
    <w:rsid w:val="27FC795A"/>
    <w:rsid w:val="324333AC"/>
    <w:rsid w:val="36113A7B"/>
    <w:rsid w:val="3D8B2A9A"/>
    <w:rsid w:val="3F055388"/>
    <w:rsid w:val="41CF7677"/>
    <w:rsid w:val="42A73AA6"/>
    <w:rsid w:val="4366430C"/>
    <w:rsid w:val="45AB017E"/>
    <w:rsid w:val="46AB48F5"/>
    <w:rsid w:val="47506EC8"/>
    <w:rsid w:val="4E1C3F70"/>
    <w:rsid w:val="503C6655"/>
    <w:rsid w:val="548C55F5"/>
    <w:rsid w:val="5906729F"/>
    <w:rsid w:val="5DFA620A"/>
    <w:rsid w:val="615F53A4"/>
    <w:rsid w:val="6659431E"/>
    <w:rsid w:val="66853230"/>
    <w:rsid w:val="69322792"/>
    <w:rsid w:val="69DF7774"/>
    <w:rsid w:val="6A0E0911"/>
    <w:rsid w:val="6A594095"/>
    <w:rsid w:val="6E4F6FD7"/>
    <w:rsid w:val="6E662506"/>
    <w:rsid w:val="70AE73E8"/>
    <w:rsid w:val="71AA1054"/>
    <w:rsid w:val="73EF63AC"/>
    <w:rsid w:val="75067CAD"/>
    <w:rsid w:val="781C2AB2"/>
    <w:rsid w:val="7DD3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648"/>
  <w15:docId w15:val="{0B09451B-4C42-43CB-9642-03ACAA0D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Char4"/>
    <w:uiPriority w:val="99"/>
    <w:unhideWhenUsed/>
    <w:qFormat/>
    <w:pPr>
      <w:widowControl/>
      <w:jc w:val="left"/>
    </w:pPr>
    <w:rPr>
      <w:rFonts w:asciiTheme="minorHAnsi" w:eastAsiaTheme="minorEastAsia" w:hAnsiTheme="minorHAnsi"/>
      <w:kern w:val="0"/>
      <w:sz w:val="20"/>
      <w:szCs w:val="20"/>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qFormat/>
    <w:rPr>
      <w:rFonts w:asciiTheme="minorHAnsi" w:eastAsiaTheme="minorEastAsia" w:hAnsiTheme="minorHAnsi" w:cstheme="minorBidi"/>
      <w:color w:val="2E74B5" w:themeColor="accent1" w:themeShade="BF"/>
      <w:sz w:val="22"/>
      <w:szCs w:val="22"/>
    </w:rPr>
    <w:tblPr>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har3">
    <w:name w:val="页眉 Char"/>
    <w:basedOn w:val="a0"/>
    <w:link w:val="a7"/>
    <w:uiPriority w:val="99"/>
    <w:qFormat/>
    <w:rPr>
      <w:kern w:val="2"/>
      <w:sz w:val="18"/>
      <w:szCs w:val="18"/>
    </w:rPr>
  </w:style>
  <w:style w:type="character" w:customStyle="1" w:styleId="Char2">
    <w:name w:val="页脚 Char"/>
    <w:basedOn w:val="a0"/>
    <w:link w:val="a6"/>
    <w:uiPriority w:val="99"/>
    <w:qFormat/>
    <w:rPr>
      <w:kern w:val="2"/>
      <w:sz w:val="18"/>
      <w:szCs w:val="18"/>
    </w:rPr>
  </w:style>
  <w:style w:type="character" w:customStyle="1" w:styleId="10">
    <w:name w:val="占位符文本1"/>
    <w:basedOn w:val="a0"/>
    <w:uiPriority w:val="99"/>
    <w:semiHidden/>
    <w:qFormat/>
    <w:rPr>
      <w:color w:val="808080"/>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kern w:val="0"/>
      <w:sz w:val="22"/>
    </w:rPr>
  </w:style>
  <w:style w:type="character" w:customStyle="1" w:styleId="Char4">
    <w:name w:val="脚注文本 Char"/>
    <w:basedOn w:val="a0"/>
    <w:link w:val="a8"/>
    <w:uiPriority w:val="99"/>
    <w:qFormat/>
    <w:rPr>
      <w:rFonts w:asciiTheme="minorHAnsi" w:eastAsiaTheme="minorEastAsia" w:hAnsiTheme="minorHAnsi"/>
    </w:rPr>
  </w:style>
  <w:style w:type="character" w:customStyle="1" w:styleId="12">
    <w:name w:val="不明显强调1"/>
    <w:basedOn w:val="a0"/>
    <w:uiPriority w:val="19"/>
    <w:qFormat/>
    <w:rPr>
      <w:i/>
      <w:iCs/>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kern w:val="2"/>
      <w:sz w:val="18"/>
      <w:szCs w:val="18"/>
    </w:rPr>
  </w:style>
  <w:style w:type="paragraph" w:styleId="ab">
    <w:name w:val="List Paragraph"/>
    <w:basedOn w:val="a"/>
    <w:uiPriority w:val="34"/>
    <w:qFormat/>
    <w:rsid w:val="00D808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microsoft.com/office/2011/relationships/commentsExtended" Target="commentsExtended.xml"/><Relationship Id="rId10" Type="http://schemas.openxmlformats.org/officeDocument/2006/relationships/image" Target="media/image5.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828FD-8CA7-4DE1-9F83-9084241E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2923</Words>
  <Characters>16665</Characters>
  <Application>Microsoft Office Word</Application>
  <DocSecurity>0</DocSecurity>
  <Lines>138</Lines>
  <Paragraphs>39</Paragraphs>
  <ScaleCrop>false</ScaleCrop>
  <Company>332</Company>
  <LinksUpToDate>false</LinksUpToDate>
  <CharactersWithSpaces>19549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lujunya</dc:creator>
  <cp:lastModifiedBy>lujunya</cp:lastModifiedBy>
  <cp:revision>293</cp:revision>
  <cp:lastPrinted>2017-04-01T09:11:00Z</cp:lastPrinted>
  <dcterms:created xsi:type="dcterms:W3CDTF">2017-03-20T09:36:00Z</dcterms:created>
  <dcterms:modified xsi:type="dcterms:W3CDTF">2017-04-04T10:28:00Z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