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  <w:jc w:val="center"/>
      </w:pPr>
      <w:r>
        <w:rPr>
          <w:b/>
          <w:bCs/>
          <w:color w:val="26215C"/>
          <w:sz w:val="84"/>
          <w:szCs w:val="84"/>
        </w:rPr>
        <w:t xml:space="preserve">finMate AI</w:t>
      </w:r>
    </w:p>
    <w:p>
      <w:pPr>
        <w:spacing w:after="200"/>
        <w:jc w:val="center"/>
      </w:pPr>
      <w:r>
        <w:rPr>
          <w:color w:val="534AB7"/>
          <w:sz w:val="40"/>
          <w:szCs w:val="40"/>
        </w:rPr>
        <w:t xml:space="preserve">Build Brief &amp; System Design</w:t>
      </w:r>
    </w:p>
    <w:p>
      <w:pPr>
        <w:spacing w:after="120"/>
        <w:jc w:val="center"/>
      </w:pPr>
      <w:r>
        <w:rPr>
          <w:i/>
          <w:iCs/>
          <w:color w:val="5F5E5A"/>
          <w:sz w:val="24"/>
          <w:szCs w:val="24"/>
        </w:rPr>
        <w:t xml:space="preserve">WhatsApp-first AI bookkeeping agent for Pakistani SMEs</w:t>
      </w:r>
    </w:p>
    <w:p>
      <w:pPr>
        <w:spacing w:before="2400"/>
        <w:jc w:val="center"/>
      </w:pPr>
      <w:r>
        <w:rPr>
          <w:color w:val="2C2C2A"/>
          <w:sz w:val="22"/>
          <w:szCs w:val="22"/>
        </w:rPr>
        <w:t xml:space="preserve">Engineering specification for implementation</w:t>
      </w:r>
    </w:p>
    <w:p>
      <w:pPr>
        <w:spacing w:after="80"/>
        <w:jc w:val="center"/>
      </w:pPr>
      <w:r>
        <w:rPr>
          <w:color w:val="5F5E5A"/>
          <w:sz w:val="20"/>
          <w:szCs w:val="20"/>
        </w:rPr>
        <w:t xml:space="preserve">Version 1.0  •  Prepared for Claude Code</w:t>
      </w:r>
    </w:p>
    <w:p>
      <w:r>
        <w:br w:type="page"/>
      </w:r>
    </w:p>
    <w:p>
      <w:pPr>
        <w:pStyle w:val="Heading1"/>
        <w:spacing w:after="120" w:before="280"/>
      </w:pPr>
      <w:r>
        <w:rPr>
          <w:b/>
          <w:bCs/>
          <w:color w:val="26215C"/>
          <w:sz w:val="32"/>
          <w:szCs w:val="32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80"/>
      </w:pPr>
      <w:r>
        <w:rPr>
          <w:b/>
          <w:bCs/>
          <w:color w:val="26215C"/>
          <w:sz w:val="32"/>
          <w:szCs w:val="32"/>
        </w:rPr>
        <w:t xml:space="preserve">1. What we are building</w:t>
      </w:r>
    </w:p>
    <w:p>
      <w:pPr>
        <w:spacing w:after="100" w:line="276"/>
      </w:pPr>
      <w:r>
        <w:rPr>
          <w:i w:val="false"/>
          <w:iCs w:val="false"/>
          <w:color w:val="2C2C2A"/>
          <w:sz w:val="21"/>
          <w:szCs w:val="21"/>
        </w:rPr>
        <w:t xml:space="preserve">finMate AI is a WhatsApp-first AI bookkeeping agent for small Pakistani businesses. A business owner forwards a photo of a receipt, invoice, or payment screenshot to a WhatsApp number. The system reads it with AI vision, extracts the financial details, maintains a running customer/supplier ledger, and answers the one question the owner actually cares about: “who owes me money and how much?” It also drafts payment reminders (owner-approved before sending) and produces a monthly, tax-ready summary.</w:t>
      </w:r>
    </w:p>
    <w:p>
      <w:pPr>
        <w:spacing w:after="100" w:line="276"/>
      </w:pPr>
      <w:r>
        <w:rPr>
          <w:i w:val="false"/>
          <w:iCs w:val="false"/>
          <w:color w:val="2C2C2A"/>
          <w:sz w:val="21"/>
          <w:szCs w:val="21"/>
        </w:rPr>
        <w:t xml:space="preserve">The MVP wedge is deliberately narrow: receivables tracking for small B2B traders who sell on credit over WhatsApp. This is not a full accounting app — resist scope creep. The magic is zero-typing intake: the owner forwards the same photo they already send, and gets a clean udhar list back.</w:t>
      </w:r>
    </w:p>
    <w:p>
      <w:pPr>
        <w:pStyle w:val="Heading2"/>
        <w:spacing w:after="100" w:before="220"/>
      </w:pPr>
      <w:r>
        <w:rPr>
          <w:b/>
          <w:bCs/>
          <w:color w:val="534AB7"/>
          <w:sz w:val="26"/>
          <w:szCs w:val="26"/>
        </w:rPr>
        <w:t xml:space="preserve">Core design principle — the confidence-routed trust pipeline</w:t>
      </w:r>
    </w:p>
    <w:p>
      <w:pPr>
        <w:spacing w:after="100" w:line="276"/>
      </w:pPr>
      <w:r>
        <w:rPr>
          <w:i w:val="false"/>
          <w:iCs w:val="false"/>
          <w:color w:val="2C2C2A"/>
          <w:sz w:val="21"/>
          <w:szCs w:val="21"/>
        </w:rPr>
        <w:t xml:space="preserve">Money mistakes break trust instantly, so extraction never posts blindly. Every extracted entry carries a confidence score that routes it down one of three paths. This routing logic is the heart of the product and must be implemented exactly:</w:t>
      </w:r>
    </w:p>
    <w:tbl>
      <w:tblPr>
        <w:tblW w:type="dxa" w:w="9360"/>
        <w:tblBorders>
          <w:top w:val="single" w:color="D3D1C7" w:sz="2"/>
          <w:left w:val="single" w:color="D3D1C7" w:sz="2"/>
          <w:bottom w:val="single" w:color="D3D1C7" w:sz="2"/>
          <w:right w:val="single" w:color="D3D1C7" w:sz="2"/>
          <w:insideH w:val="single" w:color="E3E1DA" w:sz="2"/>
          <w:insideV w:val="single" w:color="E3E1DA" w:sz="2"/>
        </w:tblBorders>
      </w:tblPr>
      <w:tblGrid>
        <w:gridCol w:w="2246"/>
        <w:gridCol w:w="1872"/>
        <w:gridCol w:w="5242"/>
      </w:tblGrid>
      <w:tr>
        <w:trPr>
          <w:tblHeader/>
        </w:trPr>
        <w:tc>
          <w:tcPr>
            <w:tcW w:type="dxa" w:w="2246"/>
            <w:shd w:fill="534AB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Confidence</w:t>
            </w:r>
          </w:p>
        </w:tc>
        <w:tc>
          <w:tcPr>
            <w:tcW w:type="dxa" w:w="1872"/>
            <w:shd w:fill="534AB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5242"/>
            <w:shd w:fill="534AB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Behaviour</w:t>
            </w:r>
          </w:p>
        </w:tc>
      </w:tr>
      <w:tr>
        <w:tc>
          <w:tcPr>
            <w:tcW w:type="dxa" w:w="2246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C2C2A"/>
                <w:sz w:val="18"/>
                <w:szCs w:val="18"/>
              </w:rPr>
              <w:t xml:space="preserve">≥ 0.90 (high)</w:t>
            </w:r>
          </w:p>
        </w:tc>
        <w:tc>
          <w:tcPr>
            <w:tcW w:type="dxa" w:w="1872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C2C2A"/>
                <w:sz w:val="18"/>
                <w:szCs w:val="18"/>
              </w:rPr>
              <w:t xml:space="preserve">Auto-post</w:t>
            </w:r>
          </w:p>
        </w:tc>
        <w:tc>
          <w:tcPr>
            <w:tcW w:type="dxa" w:w="5242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C2C2A"/>
                <w:sz w:val="18"/>
                <w:szCs w:val="18"/>
              </w:rPr>
              <w:t xml:space="preserve">Entry is posted to the ledger automatically; owner sees it in the summary.</w:t>
            </w:r>
          </w:p>
        </w:tc>
      </w:tr>
      <w:tr>
        <w:tc>
          <w:tcPr>
            <w:tcW w:type="dxa" w:w="2246"/>
            <w:shd w:fill="F7F6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C2C2A"/>
                <w:sz w:val="18"/>
                <w:szCs w:val="18"/>
              </w:rPr>
              <w:t xml:space="preserve">0.70 – 0.90 (medium)</w:t>
            </w:r>
          </w:p>
        </w:tc>
        <w:tc>
          <w:tcPr>
            <w:tcW w:type="dxa" w:w="1872"/>
            <w:shd w:fill="F7F6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C2C2A"/>
                <w:sz w:val="18"/>
                <w:szCs w:val="18"/>
              </w:rPr>
              <w:t xml:space="preserve">Owner confirm</w:t>
            </w:r>
          </w:p>
        </w:tc>
        <w:tc>
          <w:tcPr>
            <w:tcW w:type="dxa" w:w="5242"/>
            <w:shd w:fill="F7F6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C2C2A"/>
                <w:sz w:val="18"/>
                <w:szCs w:val="18"/>
              </w:rPr>
              <w:t xml:space="preserve">System asks the owner to confirm/correct via WhatsApp before posting.</w:t>
            </w:r>
          </w:p>
        </w:tc>
      </w:tr>
      <w:tr>
        <w:tc>
          <w:tcPr>
            <w:tcW w:type="dxa" w:w="2246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C2C2A"/>
                <w:sz w:val="18"/>
                <w:szCs w:val="18"/>
              </w:rPr>
              <w:t xml:space="preserve">&lt; 0.70 (low)</w:t>
            </w:r>
          </w:p>
        </w:tc>
        <w:tc>
          <w:tcPr>
            <w:tcW w:type="dxa" w:w="1872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C2C2A"/>
                <w:sz w:val="18"/>
                <w:szCs w:val="18"/>
              </w:rPr>
              <w:t xml:space="preserve">Human review</w:t>
            </w:r>
          </w:p>
        </w:tc>
        <w:tc>
          <w:tcPr>
            <w:tcW w:type="dxa" w:w="5242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C2C2A"/>
                <w:sz w:val="18"/>
                <w:szCs w:val="18"/>
              </w:rPr>
              <w:t xml:space="preserve">Entry goes to a human reviewer queue; reviewer fixes and posts.</w:t>
            </w:r>
          </w:p>
        </w:tc>
      </w:tr>
    </w:tbl>
    <w:p>
      <w:pPr>
        <w:spacing w:after="100" w:line="276"/>
      </w:pPr>
      <w:r>
        <w:rPr>
          <w:i/>
          <w:iCs/>
          <w:color w:val="2C2C2A"/>
          <w:sz w:val="21"/>
          <w:szCs w:val="21"/>
        </w:rPr>
        <w:t xml:space="preserve">Thresholds must be configuration values, not hardcoded constants. Every routing decision and every owner correction must be logged — this correction data is the long-term data moat and the signal used to improve extraction accuracy over time.</w:t>
      </w:r>
    </w:p>
    <w:p>
      <w:r>
        <w:br w:type="page"/>
      </w:r>
    </w:p>
    <w:p>
      <w:pPr>
        <w:pStyle w:val="Heading1"/>
        <w:spacing w:after="120" w:before="280"/>
      </w:pPr>
      <w:r>
        <w:rPr>
          <w:b/>
          <w:bCs/>
          <w:color w:val="26215C"/>
          <w:sz w:val="32"/>
          <w:szCs w:val="32"/>
        </w:rPr>
        <w:t xml:space="preserve">2. Use case diagram</w:t>
      </w:r>
    </w:p>
    <w:p>
      <w:pPr>
        <w:spacing w:after="100" w:line="276"/>
      </w:pPr>
      <w:r>
        <w:rPr>
          <w:i w:val="false"/>
          <w:iCs w:val="false"/>
          <w:color w:val="2C2C2A"/>
          <w:sz w:val="21"/>
          <w:szCs w:val="21"/>
        </w:rPr>
        <w:t xml:space="preserve">Actors and what each can do. The business owner drives intake, confirmation, reminder approval, and reporting. The human reviewer handles only the low-confidence queue and corrections. Claude API and WhatsApp API are external system actors.</w:t>
      </w:r>
    </w:p>
    <w:p>
      <w:pPr>
        <w:spacing w:after="120" w:before="120"/>
        <w:jc w:val="center"/>
      </w:pPr>
      <w:r>
        <w:drawing>
          <wp:inline distT="0" distB="0" distL="0" distR="0">
            <wp:extent cx="3810000" cy="5686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5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F5E5A"/>
          <w:sz w:val="18"/>
          <w:szCs w:val="18"/>
        </w:rPr>
        <w:t xml:space="preserve">Figure 1 — Use case diagram: actors and system use cases</w:t>
      </w:r>
    </w:p>
    <w:p>
      <w:r>
        <w:br w:type="page"/>
      </w:r>
    </w:p>
    <w:p>
      <w:pPr>
        <w:pStyle w:val="Heading1"/>
        <w:spacing w:after="120" w:before="280"/>
      </w:pPr>
      <w:r>
        <w:rPr>
          <w:b/>
          <w:bCs/>
          <w:color w:val="26215C"/>
          <w:sz w:val="32"/>
          <w:szCs w:val="32"/>
        </w:rPr>
        <w:t xml:space="preserve">3. Sequence diagram — document intake</w:t>
      </w:r>
    </w:p>
    <w:p>
      <w:pPr>
        <w:spacing w:after="100" w:line="276"/>
      </w:pPr>
      <w:r>
        <w:rPr>
          <w:i w:val="false"/>
          <w:iCs w:val="false"/>
          <w:color w:val="2C2C2A"/>
          <w:sz w:val="21"/>
          <w:szCs w:val="21"/>
        </w:rPr>
        <w:t xml:space="preserve">End-to-end flow of a single document from WhatsApp upload through extraction, validation, confidence routing, ledger posting, and reminders. The alt block shows the three confidence branches; note that reminders are always owner-approved before they are sent to a customer.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4867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F5E5A"/>
          <w:sz w:val="18"/>
          <w:szCs w:val="18"/>
        </w:rPr>
        <w:t xml:space="preserve">Figure 2 — Sequence diagram: intake, routing, ledger, and reminders</w:t>
      </w:r>
    </w:p>
    <w:p>
      <w:r>
        <w:br w:type="page"/>
      </w:r>
    </w:p>
    <w:p>
      <w:pPr>
        <w:pStyle w:val="Heading1"/>
        <w:spacing w:after="120" w:before="280"/>
      </w:pPr>
      <w:r>
        <w:rPr>
          <w:b/>
          <w:bCs/>
          <w:color w:val="26215C"/>
          <w:sz w:val="32"/>
          <w:szCs w:val="32"/>
        </w:rPr>
        <w:t xml:space="preserve">4. Activity diagram — processing pipeline</w:t>
      </w:r>
    </w:p>
    <w:p>
      <w:pPr>
        <w:spacing w:after="100" w:line="276"/>
      </w:pPr>
      <w:r>
        <w:rPr>
          <w:i w:val="false"/>
          <w:iCs w:val="false"/>
          <w:color w:val="2C2C2A"/>
          <w:sz w:val="21"/>
          <w:szCs w:val="21"/>
        </w:rPr>
        <w:t xml:space="preserve">The full processing pipeline as a decision flow, including duplicate detection at intake, the three-way confidence branch, correction/audit logging, and the overdue-reminder sub-flow.</w:t>
      </w:r>
    </w:p>
    <w:p>
      <w:pPr>
        <w:spacing w:after="120" w:before="120"/>
        <w:jc w:val="center"/>
      </w:pPr>
      <w:r>
        <w:drawing>
          <wp:inline distT="0" distB="0" distL="0" distR="0">
            <wp:extent cx="1724025" cy="590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F5E5A"/>
          <w:sz w:val="18"/>
          <w:szCs w:val="18"/>
        </w:rPr>
        <w:t xml:space="preserve">Figure 3 — Activity diagram: end-to-end processing logic</w:t>
      </w:r>
    </w:p>
    <w:p>
      <w:r>
        <w:br w:type="page"/>
      </w:r>
    </w:p>
    <w:p>
      <w:pPr>
        <w:pStyle w:val="Heading1"/>
        <w:spacing w:after="120" w:before="280"/>
      </w:pPr>
      <w:r>
        <w:rPr>
          <w:b/>
          <w:bCs/>
          <w:color w:val="26215C"/>
          <w:sz w:val="32"/>
          <w:szCs w:val="32"/>
        </w:rPr>
        <w:t xml:space="preserve">5. Class diagram — domain model</w:t>
      </w:r>
    </w:p>
    <w:p>
      <w:pPr>
        <w:spacing w:after="100" w:line="276"/>
      </w:pPr>
      <w:r>
        <w:rPr>
          <w:i w:val="false"/>
          <w:iCs w:val="false"/>
          <w:color w:val="2C2C2A"/>
          <w:sz w:val="21"/>
          <w:szCs w:val="21"/>
        </w:rPr>
        <w:t xml:space="preserve">The core domain objects. Document and Transaction are kept as a one-to-one pair so the original evidence (photo + file hash) stays linked to the posted entry — this is what makes the audit trail defensible and duplicate detection reliable. Party.balance is the running total derived from its transactions. AuditEntry records before/after/actor/timestamp for every change.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3924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F5E5A"/>
          <w:sz w:val="18"/>
          <w:szCs w:val="18"/>
        </w:rPr>
        <w:t xml:space="preserve">Figure 4 — Class diagram: domain model</w:t>
      </w:r>
    </w:p>
    <w:p>
      <w:r>
        <w:br w:type="page"/>
      </w:r>
    </w:p>
    <w:p>
      <w:pPr>
        <w:pStyle w:val="Heading1"/>
        <w:spacing w:after="120" w:before="280"/>
      </w:pPr>
      <w:r>
        <w:rPr>
          <w:b/>
          <w:bCs/>
          <w:color w:val="26215C"/>
          <w:sz w:val="32"/>
          <w:szCs w:val="32"/>
        </w:rPr>
        <w:t xml:space="preserve">6. Data flow diagram</w:t>
      </w:r>
    </w:p>
    <w:p>
      <w:pPr>
        <w:spacing w:after="100" w:line="276"/>
      </w:pPr>
      <w:r>
        <w:rPr>
          <w:i w:val="false"/>
          <w:iCs w:val="false"/>
          <w:color w:val="2C2C2A"/>
          <w:sz w:val="21"/>
          <w:szCs w:val="21"/>
        </w:rPr>
        <w:t xml:space="preserve">How data moves between the owner, external services (WhatsApp, Claude, object storage), the six backend services, and the data stores. Read this alongside the architecture diagram in section 7.</w:t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2390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F5E5A"/>
          <w:sz w:val="18"/>
          <w:szCs w:val="18"/>
        </w:rPr>
        <w:t xml:space="preserve">Figure 5 — Data flow diagram</w:t>
      </w:r>
    </w:p>
    <w:p>
      <w:r>
        <w:br w:type="page"/>
      </w:r>
    </w:p>
    <w:p>
      <w:pPr>
        <w:pStyle w:val="Heading1"/>
        <w:spacing w:after="120" w:before="280"/>
      </w:pPr>
      <w:r>
        <w:rPr>
          <w:b/>
          <w:bCs/>
          <w:color w:val="26215C"/>
          <w:sz w:val="32"/>
          <w:szCs w:val="32"/>
        </w:rPr>
        <w:t xml:space="preserve">7. Component / deployment architecture</w:t>
      </w:r>
    </w:p>
    <w:p>
      <w:pPr>
        <w:spacing w:after="100" w:line="276"/>
      </w:pPr>
      <w:r>
        <w:rPr>
          <w:i w:val="false"/>
          <w:iCs w:val="false"/>
          <w:color w:val="2C2C2A"/>
          <w:sz w:val="21"/>
          <w:szCs w:val="21"/>
        </w:rPr>
        <w:t xml:space="preserve">Layered architecture: client, API, background workers, data, and observability. The WhatsApp webhook enqueues jobs to Redis; workers process the pipeline stages; PostgreSQL holds all ledger state; files live in S3/R2.</w:t>
      </w:r>
    </w:p>
    <w:p>
      <w:pPr>
        <w:spacing w:after="120" w:before="120"/>
        <w:jc w:val="center"/>
      </w:pPr>
      <w:r>
        <w:drawing>
          <wp:inline distT="0" distB="0" distL="0" distR="0">
            <wp:extent cx="4000500" cy="4819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F5E5A"/>
          <w:sz w:val="18"/>
          <w:szCs w:val="18"/>
        </w:rPr>
        <w:t xml:space="preserve">Figure 6 — Component and deployment architecture</w:t>
      </w:r>
    </w:p>
    <w:p>
      <w:r>
        <w:br w:type="page"/>
      </w:r>
    </w:p>
    <w:p>
      <w:pPr>
        <w:pStyle w:val="Heading1"/>
        <w:spacing w:after="120" w:before="280"/>
      </w:pPr>
      <w:r>
        <w:rPr>
          <w:b/>
          <w:bCs/>
          <w:color w:val="26215C"/>
          <w:sz w:val="32"/>
          <w:szCs w:val="32"/>
        </w:rPr>
        <w:t xml:space="preserve">8. Entity relationship diagram</w:t>
      </w:r>
    </w:p>
    <w:p>
      <w:pPr>
        <w:spacing w:after="100" w:line="276"/>
      </w:pPr>
      <w:r>
        <w:rPr>
          <w:i w:val="false"/>
          <w:iCs w:val="false"/>
          <w:color w:val="2C2C2A"/>
          <w:sz w:val="21"/>
          <w:szCs w:val="21"/>
        </w:rPr>
        <w:t xml:space="preserve">The database schema. Use this as the basis for the initial migration. All primary keys are UUIDs; all money fields are DECIMAL (never float) to avoid rounding errors on balances.</w:t>
      </w:r>
    </w:p>
    <w:p>
      <w:pPr>
        <w:spacing w:after="120" w:before="120"/>
        <w:jc w:val="center"/>
      </w:pPr>
      <w:r>
        <w:drawing>
          <wp:inline distT="0" distB="0" distL="0" distR="0">
            <wp:extent cx="3829050" cy="590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F5E5A"/>
          <w:sz w:val="18"/>
          <w:szCs w:val="18"/>
        </w:rPr>
        <w:t xml:space="preserve">Figure 7 — Entity relationship diagram</w:t>
      </w:r>
    </w:p>
    <w:p>
      <w:r>
        <w:br w:type="page"/>
      </w:r>
    </w:p>
    <w:p>
      <w:pPr>
        <w:pStyle w:val="Heading1"/>
        <w:spacing w:after="120" w:before="280"/>
      </w:pPr>
      <w:r>
        <w:rPr>
          <w:b/>
          <w:bCs/>
          <w:color w:val="26215C"/>
          <w:sz w:val="32"/>
          <w:szCs w:val="32"/>
        </w:rPr>
        <w:t xml:space="preserve">9. AI extraction contract</w:t>
      </w:r>
    </w:p>
    <w:p>
      <w:pPr>
        <w:spacing w:after="100" w:line="276"/>
      </w:pPr>
      <w:r>
        <w:rPr>
          <w:i w:val="false"/>
          <w:iCs w:val="false"/>
          <w:color w:val="2C2C2A"/>
          <w:sz w:val="21"/>
          <w:szCs w:val="21"/>
        </w:rPr>
        <w:t xml:space="preserve">The Extraction Service calls the Claude API with the document image and must return this exact JSON structure via structured output / tool-use (a strict JSON schema), not free-text parsing. The confidence field drives the routing branch in sections 2–4.</w:t>
      </w:r>
    </w:p>
    <w:p>
      <w:pPr>
        <w:pBdr>
          <w:top w:val="single" w:color="D3D1C7" w:sz="4"/>
          <w:bottom w:val="single" w:color="D3D1C7" w:sz="4"/>
          <w:left w:val="single" w:color="D3D1C7" w:sz="4"/>
          <w:right w:val="single" w:color="D3D1C7" w:sz="4"/>
        </w:pBdr>
        <w:shd w:fill="F1EFE8" w:val="clear"/>
        <w:spacing w:after="160" w:before="80"/>
      </w:pPr>
      <w:r>
        <w:rPr>
          <w:rFonts w:ascii="Consolas" w:cs="Consolas" w:eastAsia="Consolas" w:hAnsi="Consolas"/>
          <w:color w:val="26215C"/>
          <w:sz w:val="17"/>
          <w:szCs w:val="17"/>
        </w:rPr>
        <w:t xml:space="preserve">{</w:t>
      </w:r>
      <w:r>
        <w:rPr>
          <w:rFonts w:ascii="Consolas" w:cs="Consolas" w:eastAsia="Consolas" w:hAnsi="Consolas"/>
          <w:color w:val="26215C"/>
          <w:sz w:val="17"/>
          <w:szCs w:val="17"/>
        </w:rPr>
        <w:br/>
        <w:t xml:space="preserve">  "document_type": "invoice",        // invoice | receipt | payment_proof | screenshot</w:t>
      </w:r>
      <w:r>
        <w:rPr>
          <w:rFonts w:ascii="Consolas" w:cs="Consolas" w:eastAsia="Consolas" w:hAnsi="Consolas"/>
          <w:color w:val="26215C"/>
          <w:sz w:val="17"/>
          <w:szCs w:val="17"/>
        </w:rPr>
        <w:br/>
        <w:t xml:space="preserve">  "transaction_type": "sale",        // sale | purchase | payment_in | payment_out</w:t>
      </w:r>
      <w:r>
        <w:rPr>
          <w:rFonts w:ascii="Consolas" w:cs="Consolas" w:eastAsia="Consolas" w:hAnsi="Consolas"/>
          <w:color w:val="26215C"/>
          <w:sz w:val="17"/>
          <w:szCs w:val="17"/>
        </w:rPr>
        <w:br/>
        <w:t xml:space="preserve">  "direction": "money_in",           // money_in | money_out</w:t>
      </w:r>
      <w:r>
        <w:rPr>
          <w:rFonts w:ascii="Consolas" w:cs="Consolas" w:eastAsia="Consolas" w:hAnsi="Consolas"/>
          <w:color w:val="26215C"/>
          <w:sz w:val="17"/>
          <w:szCs w:val="17"/>
        </w:rPr>
        <w:br/>
        <w:t xml:space="preserve">  "party": {</w:t>
      </w:r>
      <w:r>
        <w:rPr>
          <w:rFonts w:ascii="Consolas" w:cs="Consolas" w:eastAsia="Consolas" w:hAnsi="Consolas"/>
          <w:color w:val="26215C"/>
          <w:sz w:val="17"/>
          <w:szCs w:val="17"/>
        </w:rPr>
        <w:br/>
        <w:t xml:space="preserve">    "name": "Ali Traders",</w:t>
      </w:r>
      <w:r>
        <w:rPr>
          <w:rFonts w:ascii="Consolas" w:cs="Consolas" w:eastAsia="Consolas" w:hAnsi="Consolas"/>
          <w:color w:val="26215C"/>
          <w:sz w:val="17"/>
          <w:szCs w:val="17"/>
        </w:rPr>
        <w:br/>
        <w:t xml:space="preserve">    "phone": "03001234567",</w:t>
      </w:r>
      <w:r>
        <w:rPr>
          <w:rFonts w:ascii="Consolas" w:cs="Consolas" w:eastAsia="Consolas" w:hAnsi="Consolas"/>
          <w:color w:val="26215C"/>
          <w:sz w:val="17"/>
          <w:szCs w:val="17"/>
        </w:rPr>
        <w:br/>
        <w:t xml:space="preserve">    "role": "customer"               // customer | supplier</w:t>
      </w:r>
      <w:r>
        <w:rPr>
          <w:rFonts w:ascii="Consolas" w:cs="Consolas" w:eastAsia="Consolas" w:hAnsi="Consolas"/>
          <w:color w:val="26215C"/>
          <w:sz w:val="17"/>
          <w:szCs w:val="17"/>
        </w:rPr>
        <w:br/>
        <w:t xml:space="preserve">  },</w:t>
      </w:r>
      <w:r>
        <w:rPr>
          <w:rFonts w:ascii="Consolas" w:cs="Consolas" w:eastAsia="Consolas" w:hAnsi="Consolas"/>
          <w:color w:val="26215C"/>
          <w:sz w:val="17"/>
          <w:szCs w:val="17"/>
        </w:rPr>
        <w:br/>
        <w:t xml:space="preserve">  "invoice_number": "INV-1042",</w:t>
      </w:r>
      <w:r>
        <w:rPr>
          <w:rFonts w:ascii="Consolas" w:cs="Consolas" w:eastAsia="Consolas" w:hAnsi="Consolas"/>
          <w:color w:val="26215C"/>
          <w:sz w:val="17"/>
          <w:szCs w:val="17"/>
        </w:rPr>
        <w:br/>
        <w:t xml:space="preserve">  "date": "2026-06-27",</w:t>
      </w:r>
      <w:r>
        <w:rPr>
          <w:rFonts w:ascii="Consolas" w:cs="Consolas" w:eastAsia="Consolas" w:hAnsi="Consolas"/>
          <w:color w:val="26215C"/>
          <w:sz w:val="17"/>
          <w:szCs w:val="17"/>
        </w:rPr>
        <w:br/>
        <w:t xml:space="preserve">  "due_date": "2026-07-05",</w:t>
      </w:r>
      <w:r>
        <w:rPr>
          <w:rFonts w:ascii="Consolas" w:cs="Consolas" w:eastAsia="Consolas" w:hAnsi="Consolas"/>
          <w:color w:val="26215C"/>
          <w:sz w:val="17"/>
          <w:szCs w:val="17"/>
        </w:rPr>
        <w:br/>
        <w:t xml:space="preserve">  "currency": "PKR",</w:t>
      </w:r>
      <w:r>
        <w:rPr>
          <w:rFonts w:ascii="Consolas" w:cs="Consolas" w:eastAsia="Consolas" w:hAnsi="Consolas"/>
          <w:color w:val="26215C"/>
          <w:sz w:val="17"/>
          <w:szCs w:val="17"/>
        </w:rPr>
        <w:br/>
        <w:t xml:space="preserve">  "subtotal": 12000,</w:t>
      </w:r>
      <w:r>
        <w:rPr>
          <w:rFonts w:ascii="Consolas" w:cs="Consolas" w:eastAsia="Consolas" w:hAnsi="Consolas"/>
          <w:color w:val="26215C"/>
          <w:sz w:val="17"/>
          <w:szCs w:val="17"/>
        </w:rPr>
        <w:br/>
        <w:t xml:space="preserve">  "tax_amount": 0,</w:t>
      </w:r>
      <w:r>
        <w:rPr>
          <w:rFonts w:ascii="Consolas" w:cs="Consolas" w:eastAsia="Consolas" w:hAnsi="Consolas"/>
          <w:color w:val="26215C"/>
          <w:sz w:val="17"/>
          <w:szCs w:val="17"/>
        </w:rPr>
        <w:br/>
        <w:t xml:space="preserve">  "discount": 0,</w:t>
      </w:r>
      <w:r>
        <w:rPr>
          <w:rFonts w:ascii="Consolas" w:cs="Consolas" w:eastAsia="Consolas" w:hAnsi="Consolas"/>
          <w:color w:val="26215C"/>
          <w:sz w:val="17"/>
          <w:szCs w:val="17"/>
        </w:rPr>
        <w:br/>
        <w:t xml:space="preserve">  "total_amount": 12000,</w:t>
      </w:r>
      <w:r>
        <w:rPr>
          <w:rFonts w:ascii="Consolas" w:cs="Consolas" w:eastAsia="Consolas" w:hAnsi="Consolas"/>
          <w:color w:val="26215C"/>
          <w:sz w:val="17"/>
          <w:szCs w:val="17"/>
        </w:rPr>
        <w:br/>
        <w:t xml:space="preserve">  "paid_amount": 5000,</w:t>
      </w:r>
      <w:r>
        <w:rPr>
          <w:rFonts w:ascii="Consolas" w:cs="Consolas" w:eastAsia="Consolas" w:hAnsi="Consolas"/>
          <w:color w:val="26215C"/>
          <w:sz w:val="17"/>
          <w:szCs w:val="17"/>
        </w:rPr>
        <w:br/>
        <w:t xml:space="preserve">  "outstanding_amount": 7000,</w:t>
      </w:r>
      <w:r>
        <w:rPr>
          <w:rFonts w:ascii="Consolas" w:cs="Consolas" w:eastAsia="Consolas" w:hAnsi="Consolas"/>
          <w:color w:val="26215C"/>
          <w:sz w:val="17"/>
          <w:szCs w:val="17"/>
        </w:rPr>
        <w:br/>
        <w:t xml:space="preserve">  "line_items": [</w:t>
      </w:r>
      <w:r>
        <w:rPr>
          <w:rFonts w:ascii="Consolas" w:cs="Consolas" w:eastAsia="Consolas" w:hAnsi="Consolas"/>
          <w:color w:val="26215C"/>
          <w:sz w:val="17"/>
          <w:szCs w:val="17"/>
        </w:rPr>
        <w:br/>
        <w:t xml:space="preserve">    { "description": "Mobile covers", "quantity": 100, "unit_price": 120, "amount": 12000 }</w:t>
      </w:r>
      <w:r>
        <w:rPr>
          <w:rFonts w:ascii="Consolas" w:cs="Consolas" w:eastAsia="Consolas" w:hAnsi="Consolas"/>
          <w:color w:val="26215C"/>
          <w:sz w:val="17"/>
          <w:szCs w:val="17"/>
        </w:rPr>
        <w:br/>
        <w:t xml:space="preserve">  ],</w:t>
      </w:r>
      <w:r>
        <w:rPr>
          <w:rFonts w:ascii="Consolas" w:cs="Consolas" w:eastAsia="Consolas" w:hAnsi="Consolas"/>
          <w:color w:val="26215C"/>
          <w:sz w:val="17"/>
          <w:szCs w:val="17"/>
        </w:rPr>
        <w:br/>
        <w:t xml:space="preserve">  "confidence": 0.87,                 // 0.0 - 1.0, drives routing</w:t>
      </w:r>
      <w:r>
        <w:rPr>
          <w:rFonts w:ascii="Consolas" w:cs="Consolas" w:eastAsia="Consolas" w:hAnsi="Consolas"/>
          <w:color w:val="26215C"/>
          <w:sz w:val="17"/>
          <w:szCs w:val="17"/>
        </w:rPr>
        <w:br/>
        <w:t xml:space="preserve">  "needs_review": false,</w:t>
      </w:r>
      <w:r>
        <w:rPr>
          <w:rFonts w:ascii="Consolas" w:cs="Consolas" w:eastAsia="Consolas" w:hAnsi="Consolas"/>
          <w:color w:val="26215C"/>
          <w:sz w:val="17"/>
          <w:szCs w:val="17"/>
        </w:rPr>
        <w:br/>
        <w:t xml:space="preserve">  "notes": "Partial payment detected from handwritten note."</w:t>
      </w:r>
      <w:r>
        <w:rPr>
          <w:rFonts w:ascii="Consolas" w:cs="Consolas" w:eastAsia="Consolas" w:hAnsi="Consolas"/>
          <w:color w:val="26215C"/>
          <w:sz w:val="17"/>
          <w:szCs w:val="17"/>
        </w:rPr>
        <w:br/>
        <w:t xml:space="preserve">}</w:t>
      </w:r>
    </w:p>
    <w:p>
      <w:pPr>
        <w:spacing w:after="100" w:line="276"/>
      </w:pPr>
      <w:r>
        <w:rPr>
          <w:i w:val="false"/>
          <w:iCs w:val="false"/>
          <w:color w:val="2C2C2A"/>
          <w:sz w:val="21"/>
          <w:szCs w:val="21"/>
        </w:rPr>
        <w:t xml:space="preserve">Implementation notes for Claude Code: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C2C2A"/>
          <w:sz w:val="21"/>
          <w:szCs w:val="21"/>
        </w:rPr>
        <w:t xml:space="preserve">Use Anthropic's API with a tool/structured-output schema matching the above; validate the response against a JSON schema before trusting it.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C2C2A"/>
          <w:sz w:val="21"/>
          <w:szCs w:val="21"/>
        </w:rPr>
        <w:t xml:space="preserve">Extraction should handle Urdu/Roman-Urdu text, handwritten notes, and messy screenshots. Prompt the model to set a lower confidence when the image is unclear rather than guessing.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C2C2A"/>
          <w:sz w:val="21"/>
          <w:szCs w:val="21"/>
        </w:rPr>
        <w:t xml:space="preserve">Validation Engine independently re-checks math (subtotal, tax, discount, total; paid + outstanding = total) and lowers confidence / flags needs_review on any mismatch.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C2C2A"/>
          <w:sz w:val="21"/>
          <w:szCs w:val="21"/>
        </w:rPr>
        <w:t xml:space="preserve">Duplicate detection: file hash first, then fuzzy match on party + date + amount.</w:t>
      </w:r>
    </w:p>
    <w:p>
      <w:r>
        <w:br w:type="page"/>
      </w:r>
    </w:p>
    <w:p>
      <w:pPr>
        <w:pStyle w:val="Heading1"/>
        <w:spacing w:after="120" w:before="280"/>
      </w:pPr>
      <w:r>
        <w:rPr>
          <w:b/>
          <w:bCs/>
          <w:color w:val="26215C"/>
          <w:sz w:val="32"/>
          <w:szCs w:val="32"/>
        </w:rPr>
        <w:t xml:space="preserve">10. Service responsibilities</w:t>
      </w:r>
    </w:p>
    <w:tbl>
      <w:tblPr>
        <w:tblW w:type="dxa" w:w="9360"/>
        <w:tblBorders>
          <w:top w:val="single" w:color="D3D1C7" w:sz="2"/>
          <w:left w:val="single" w:color="D3D1C7" w:sz="2"/>
          <w:bottom w:val="single" w:color="D3D1C7" w:sz="2"/>
          <w:right w:val="single" w:color="D3D1C7" w:sz="2"/>
          <w:insideH w:val="single" w:color="E3E1DA" w:sz="2"/>
          <w:insideV w:val="single" w:color="E3E1DA" w:sz="2"/>
        </w:tblBorders>
      </w:tblPr>
      <w:tblGrid>
        <w:gridCol w:w="2059"/>
        <w:gridCol w:w="7301"/>
      </w:tblGrid>
      <w:tr>
        <w:trPr>
          <w:tblHeader/>
        </w:trPr>
        <w:tc>
          <w:tcPr>
            <w:tcW w:type="dxa" w:w="2059"/>
            <w:shd w:fill="534AB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7301"/>
            <w:shd w:fill="534AB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Responsibilities</w:t>
            </w:r>
          </w:p>
        </w:tc>
      </w:tr>
      <w:tr>
        <w:tc>
          <w:tcPr>
            <w:tcW w:type="dxa" w:w="2059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C2C2A"/>
                <w:sz w:val="18"/>
                <w:szCs w:val="18"/>
              </w:rPr>
              <w:t xml:space="preserve">Ingestion</w:t>
            </w:r>
          </w:p>
        </w:tc>
        <w:tc>
          <w:tcPr>
            <w:tcW w:type="dxa" w:w="7301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C2C2A"/>
                <w:sz w:val="18"/>
                <w:szCs w:val="18"/>
              </w:rPr>
              <w:t xml:space="preserve">Receive WhatsApp webhooks, download media, store to object storage, create Document record, detect duplicates, push job to queue.</w:t>
            </w:r>
          </w:p>
        </w:tc>
      </w:tr>
      <w:tr>
        <w:tc>
          <w:tcPr>
            <w:tcW w:type="dxa" w:w="2059"/>
            <w:shd w:fill="F7F6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C2C2A"/>
                <w:sz w:val="18"/>
                <w:szCs w:val="18"/>
              </w:rPr>
              <w:t xml:space="preserve">Extraction</w:t>
            </w:r>
          </w:p>
        </w:tc>
        <w:tc>
          <w:tcPr>
            <w:tcW w:type="dxa" w:w="7301"/>
            <w:shd w:fill="F7F6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C2C2A"/>
                <w:sz w:val="18"/>
                <w:szCs w:val="18"/>
              </w:rPr>
              <w:t xml:space="preserve">Call Claude vision, return structured JSON, classify document, detect language, score confidence.</w:t>
            </w:r>
          </w:p>
        </w:tc>
      </w:tr>
      <w:tr>
        <w:tc>
          <w:tcPr>
            <w:tcW w:type="dxa" w:w="2059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C2C2A"/>
                <w:sz w:val="18"/>
                <w:szCs w:val="18"/>
              </w:rPr>
              <w:t xml:space="preserve">Validation</w:t>
            </w:r>
          </w:p>
        </w:tc>
        <w:tc>
          <w:tcPr>
            <w:tcW w:type="dxa" w:w="7301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C2C2A"/>
                <w:sz w:val="18"/>
                <w:szCs w:val="18"/>
              </w:rPr>
              <w:t xml:space="preserve">Check required fields, math, duplicates, date sanity, party matching, apply confidence thresholds and routing.</w:t>
            </w:r>
          </w:p>
        </w:tc>
      </w:tr>
      <w:tr>
        <w:tc>
          <w:tcPr>
            <w:tcW w:type="dxa" w:w="2059"/>
            <w:shd w:fill="F7F6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C2C2A"/>
                <w:sz w:val="18"/>
                <w:szCs w:val="18"/>
              </w:rPr>
              <w:t xml:space="preserve">Ledger</w:t>
            </w:r>
          </w:p>
        </w:tc>
        <w:tc>
          <w:tcPr>
            <w:tcW w:type="dxa" w:w="7301"/>
            <w:shd w:fill="F7F6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C2C2A"/>
                <w:sz w:val="18"/>
                <w:szCs w:val="18"/>
              </w:rPr>
              <w:t xml:space="preserve">Create transaction drafts, post approved entries, maintain party balances, support corrections with audit trail.</w:t>
            </w:r>
          </w:p>
        </w:tc>
      </w:tr>
      <w:tr>
        <w:tc>
          <w:tcPr>
            <w:tcW w:type="dxa" w:w="2059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C2C2A"/>
                <w:sz w:val="18"/>
                <w:szCs w:val="18"/>
              </w:rPr>
              <w:t xml:space="preserve">Reminder</w:t>
            </w:r>
          </w:p>
        </w:tc>
        <w:tc>
          <w:tcPr>
            <w:tcW w:type="dxa" w:w="7301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C2C2A"/>
                <w:sz w:val="18"/>
                <w:szCs w:val="18"/>
              </w:rPr>
              <w:t xml:space="preserve">Detect overdue invoices, draft reminders, request owner approval, send after approval, track status.</w:t>
            </w:r>
          </w:p>
        </w:tc>
      </w:tr>
      <w:tr>
        <w:tc>
          <w:tcPr>
            <w:tcW w:type="dxa" w:w="2059"/>
            <w:shd w:fill="F7F6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C2C2A"/>
                <w:sz w:val="18"/>
                <w:szCs w:val="18"/>
              </w:rPr>
              <w:t xml:space="preserve">Reporting</w:t>
            </w:r>
          </w:p>
        </w:tc>
        <w:tc>
          <w:tcPr>
            <w:tcW w:type="dxa" w:w="7301"/>
            <w:shd w:fill="F7F6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C2C2A"/>
                <w:sz w:val="18"/>
                <w:szCs w:val="18"/>
              </w:rPr>
              <w:t xml:space="preserve">Weekly debtor list, monthly Urdu summary, P/L view, accountant-ready CSV/PDF export.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534AB7"/>
          <w:sz w:val="26"/>
          <w:szCs w:val="26"/>
        </w:rPr>
        <w:t xml:space="preserve">Recommended tech stack</w:t>
      </w:r>
    </w:p>
    <w:tbl>
      <w:tblPr>
        <w:tblW w:type="dxa" w:w="9360"/>
        <w:tblBorders>
          <w:top w:val="single" w:color="D3D1C7" w:sz="2"/>
          <w:left w:val="single" w:color="D3D1C7" w:sz="2"/>
          <w:bottom w:val="single" w:color="D3D1C7" w:sz="2"/>
          <w:right w:val="single" w:color="D3D1C7" w:sz="2"/>
          <w:insideH w:val="single" w:color="E3E1DA" w:sz="2"/>
          <w:insideV w:val="single" w:color="E3E1DA" w:sz="2"/>
        </w:tblBorders>
      </w:tblPr>
      <w:tblGrid>
        <w:gridCol w:w="2621"/>
        <w:gridCol w:w="6739"/>
      </w:tblGrid>
      <w:tr>
        <w:trPr>
          <w:tblHeader/>
        </w:trPr>
        <w:tc>
          <w:tcPr>
            <w:tcW w:type="dxa" w:w="2621"/>
            <w:shd w:fill="534AB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6739"/>
            <w:shd w:fill="534AB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Choice</w:t>
            </w:r>
          </w:p>
        </w:tc>
      </w:tr>
      <w:tr>
        <w:tc>
          <w:tcPr>
            <w:tcW w:type="dxa" w:w="2621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C2C2A"/>
                <w:sz w:val="18"/>
                <w:szCs w:val="18"/>
              </w:rPr>
              <w:t xml:space="preserve">Frontend / dashboard</w:t>
            </w:r>
          </w:p>
        </w:tc>
        <w:tc>
          <w:tcPr>
            <w:tcW w:type="dxa" w:w="6739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C2C2A"/>
                <w:sz w:val="18"/>
                <w:szCs w:val="18"/>
              </w:rPr>
              <w:t xml:space="preserve">Next.js / React as a PWA (mobile-first); native app later</w:t>
            </w:r>
          </w:p>
        </w:tc>
      </w:tr>
      <w:tr>
        <w:tc>
          <w:tcPr>
            <w:tcW w:type="dxa" w:w="2621"/>
            <w:shd w:fill="F7F6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C2C2A"/>
                <w:sz w:val="18"/>
                <w:szCs w:val="18"/>
              </w:rPr>
              <w:t xml:space="preserve">Backend API</w:t>
            </w:r>
          </w:p>
        </w:tc>
        <w:tc>
          <w:tcPr>
            <w:tcW w:type="dxa" w:w="6739"/>
            <w:shd w:fill="F7F6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C2C2A"/>
                <w:sz w:val="18"/>
                <w:szCs w:val="18"/>
              </w:rPr>
              <w:t xml:space="preserve">FastAPI (Python) or NestJS (Node) — pick one and stay consistent</w:t>
            </w:r>
          </w:p>
        </w:tc>
      </w:tr>
      <w:tr>
        <w:tc>
          <w:tcPr>
            <w:tcW w:type="dxa" w:w="2621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C2C2A"/>
                <w:sz w:val="18"/>
                <w:szCs w:val="18"/>
              </w:rPr>
              <w:t xml:space="preserve">Database</w:t>
            </w:r>
          </w:p>
        </w:tc>
        <w:tc>
          <w:tcPr>
            <w:tcW w:type="dxa" w:w="6739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C2C2A"/>
                <w:sz w:val="18"/>
                <w:szCs w:val="18"/>
              </w:rPr>
              <w:t xml:space="preserve">PostgreSQL</w:t>
            </w:r>
          </w:p>
        </w:tc>
      </w:tr>
      <w:tr>
        <w:tc>
          <w:tcPr>
            <w:tcW w:type="dxa" w:w="2621"/>
            <w:shd w:fill="F7F6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C2C2A"/>
                <w:sz w:val="18"/>
                <w:szCs w:val="18"/>
              </w:rPr>
              <w:t xml:space="preserve">File storage</w:t>
            </w:r>
          </w:p>
        </w:tc>
        <w:tc>
          <w:tcPr>
            <w:tcW w:type="dxa" w:w="6739"/>
            <w:shd w:fill="F7F6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C2C2A"/>
                <w:sz w:val="18"/>
                <w:szCs w:val="18"/>
              </w:rPr>
              <w:t xml:space="preserve">S3-compatible: AWS S3, Cloudflare R2, or MinIO</w:t>
            </w:r>
          </w:p>
        </w:tc>
      </w:tr>
      <w:tr>
        <w:tc>
          <w:tcPr>
            <w:tcW w:type="dxa" w:w="2621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C2C2A"/>
                <w:sz w:val="18"/>
                <w:szCs w:val="18"/>
              </w:rPr>
              <w:t xml:space="preserve">Queue / workers</w:t>
            </w:r>
          </w:p>
        </w:tc>
        <w:tc>
          <w:tcPr>
            <w:tcW w:type="dxa" w:w="6739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C2C2A"/>
                <w:sz w:val="18"/>
                <w:szCs w:val="18"/>
              </w:rPr>
              <w:t xml:space="preserve">Redis + BullMQ (Node) or Celery (Python)</w:t>
            </w:r>
          </w:p>
        </w:tc>
      </w:tr>
      <w:tr>
        <w:tc>
          <w:tcPr>
            <w:tcW w:type="dxa" w:w="2621"/>
            <w:shd w:fill="F7F6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C2C2A"/>
                <w:sz w:val="18"/>
                <w:szCs w:val="18"/>
              </w:rPr>
              <w:t xml:space="preserve">AI extraction</w:t>
            </w:r>
          </w:p>
        </w:tc>
        <w:tc>
          <w:tcPr>
            <w:tcW w:type="dxa" w:w="6739"/>
            <w:shd w:fill="F7F6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C2C2A"/>
                <w:sz w:val="18"/>
                <w:szCs w:val="18"/>
              </w:rPr>
              <w:t xml:space="preserve">Anthropic Claude API (vision, structured output)</w:t>
            </w:r>
          </w:p>
        </w:tc>
      </w:tr>
      <w:tr>
        <w:tc>
          <w:tcPr>
            <w:tcW w:type="dxa" w:w="2621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C2C2A"/>
                <w:sz w:val="18"/>
                <w:szCs w:val="18"/>
              </w:rPr>
              <w:t xml:space="preserve">Messaging</w:t>
            </w:r>
          </w:p>
        </w:tc>
        <w:tc>
          <w:tcPr>
            <w:tcW w:type="dxa" w:w="6739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C2C2A"/>
                <w:sz w:val="18"/>
                <w:szCs w:val="18"/>
              </w:rPr>
              <w:t xml:space="preserve">WhatsApp Cloud API (or Twilio WhatsApp)</w:t>
            </w:r>
          </w:p>
        </w:tc>
      </w:tr>
      <w:tr>
        <w:tc>
          <w:tcPr>
            <w:tcW w:type="dxa" w:w="2621"/>
            <w:shd w:fill="F7F6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C2C2A"/>
                <w:sz w:val="18"/>
                <w:szCs w:val="18"/>
              </w:rPr>
              <w:t xml:space="preserve">Auth</w:t>
            </w:r>
          </w:p>
        </w:tc>
        <w:tc>
          <w:tcPr>
            <w:tcW w:type="dxa" w:w="6739"/>
            <w:shd w:fill="F7F6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C2C2A"/>
                <w:sz w:val="18"/>
                <w:szCs w:val="18"/>
              </w:rPr>
              <w:t xml:space="preserve">OTP login / magic link</w:t>
            </w:r>
          </w:p>
        </w:tc>
      </w:tr>
      <w:tr>
        <w:tc>
          <w:tcPr>
            <w:tcW w:type="dxa" w:w="2621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C2C2A"/>
                <w:sz w:val="18"/>
                <w:szCs w:val="18"/>
              </w:rPr>
              <w:t xml:space="preserve">Deployment</w:t>
            </w:r>
          </w:p>
        </w:tc>
        <w:tc>
          <w:tcPr>
            <w:tcW w:type="dxa" w:w="6739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C2C2A"/>
                <w:sz w:val="18"/>
                <w:szCs w:val="18"/>
              </w:rPr>
              <w:t xml:space="preserve">Docker on a VPS initially; Kubernetes only if scale demands</w:t>
            </w:r>
          </w:p>
        </w:tc>
      </w:tr>
      <w:tr>
        <w:tc>
          <w:tcPr>
            <w:tcW w:type="dxa" w:w="2621"/>
            <w:shd w:fill="F7F6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C2C2A"/>
                <w:sz w:val="18"/>
                <w:szCs w:val="18"/>
              </w:rPr>
              <w:t xml:space="preserve">Monitoring</w:t>
            </w:r>
          </w:p>
        </w:tc>
        <w:tc>
          <w:tcPr>
            <w:tcW w:type="dxa" w:w="6739"/>
            <w:shd w:fill="F7F6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C2C2A"/>
                <w:sz w:val="18"/>
                <w:szCs w:val="18"/>
              </w:rPr>
              <w:t xml:space="preserve">Sentry + PostHog + uptime monitoring; audit logs from day one</w:t>
            </w:r>
          </w:p>
        </w:tc>
      </w:tr>
    </w:tbl>
    <w:p>
      <w:r>
        <w:br w:type="page"/>
      </w:r>
    </w:p>
    <w:p>
      <w:pPr>
        <w:pStyle w:val="Heading1"/>
        <w:spacing w:after="120" w:before="280"/>
      </w:pPr>
      <w:r>
        <w:rPr>
          <w:b/>
          <w:bCs/>
          <w:color w:val="26215C"/>
          <w:sz w:val="32"/>
          <w:szCs w:val="32"/>
        </w:rPr>
        <w:t xml:space="preserve">11. MVP scope — build vs defer</w:t>
      </w:r>
    </w:p>
    <w:p>
      <w:pPr>
        <w:spacing w:after="100" w:line="276"/>
      </w:pPr>
      <w:r>
        <w:rPr>
          <w:i w:val="false"/>
          <w:iCs w:val="false"/>
          <w:color w:val="2C2C2A"/>
          <w:sz w:val="21"/>
          <w:szCs w:val="21"/>
        </w:rPr>
        <w:t xml:space="preserve">Build exactly these features for the MVP. Anything marked defer must not be started until the core loop is validated with real users.</w:t>
      </w:r>
    </w:p>
    <w:tbl>
      <w:tblPr>
        <w:tblW w:type="dxa" w:w="9360"/>
        <w:tblBorders>
          <w:top w:val="single" w:color="D3D1C7" w:sz="2"/>
          <w:left w:val="single" w:color="D3D1C7" w:sz="2"/>
          <w:bottom w:val="single" w:color="D3D1C7" w:sz="2"/>
          <w:right w:val="single" w:color="D3D1C7" w:sz="2"/>
          <w:insideH w:val="single" w:color="E3E1DA" w:sz="2"/>
          <w:insideV w:val="single" w:color="E3E1DA" w:sz="2"/>
        </w:tblBorders>
      </w:tblPr>
      <w:tblGrid>
        <w:gridCol w:w="3931"/>
        <w:gridCol w:w="1872"/>
        <w:gridCol w:w="3557"/>
      </w:tblGrid>
      <w:tr>
        <w:trPr>
          <w:tblHeader/>
        </w:trPr>
        <w:tc>
          <w:tcPr>
            <w:tcW w:type="dxa" w:w="3931"/>
            <w:shd w:fill="534AB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872"/>
            <w:shd w:fill="534AB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 MVP?</w:t>
            </w:r>
          </w:p>
        </w:tc>
        <w:tc>
          <w:tcPr>
            <w:tcW w:type="dxa" w:w="3557"/>
            <w:shd w:fill="534AB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931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C2C2A"/>
                <w:sz w:val="18"/>
                <w:szCs w:val="18"/>
              </w:rPr>
              <w:t xml:space="preserve">WhatsApp document/photo intake</w:t>
            </w:r>
          </w:p>
        </w:tc>
        <w:tc>
          <w:tcPr>
            <w:tcW w:type="dxa" w:w="1872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C2C2A"/>
                <w:sz w:val="18"/>
                <w:szCs w:val="18"/>
              </w:rPr>
              <w:t xml:space="preserve">Yes</w:t>
            </w:r>
          </w:p>
        </w:tc>
        <w:tc>
          <w:tcPr>
            <w:tcW w:type="dxa" w:w="3557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C2C2A"/>
                <w:sz w:val="18"/>
                <w:szCs w:val="18"/>
              </w:rPr>
              <w:t xml:space="preserve">Matches existing owner behaviour.</w:t>
            </w:r>
          </w:p>
        </w:tc>
      </w:tr>
      <w:tr>
        <w:tc>
          <w:tcPr>
            <w:tcW w:type="dxa" w:w="3931"/>
            <w:shd w:fill="F7F6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C2C2A"/>
                <w:sz w:val="18"/>
                <w:szCs w:val="18"/>
              </w:rPr>
              <w:t xml:space="preserve">Manual upload dashboard</w:t>
            </w:r>
          </w:p>
        </w:tc>
        <w:tc>
          <w:tcPr>
            <w:tcW w:type="dxa" w:w="1872"/>
            <w:shd w:fill="F7F6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C2C2A"/>
                <w:sz w:val="18"/>
                <w:szCs w:val="18"/>
              </w:rPr>
              <w:t xml:space="preserve">Yes</w:t>
            </w:r>
          </w:p>
        </w:tc>
        <w:tc>
          <w:tcPr>
            <w:tcW w:type="dxa" w:w="3557"/>
            <w:shd w:fill="F7F6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C2C2A"/>
                <w:sz w:val="18"/>
                <w:szCs w:val="18"/>
              </w:rPr>
              <w:t xml:space="preserve">Backup channel for staff/accountant.</w:t>
            </w:r>
          </w:p>
        </w:tc>
      </w:tr>
      <w:tr>
        <w:tc>
          <w:tcPr>
            <w:tcW w:type="dxa" w:w="3931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C2C2A"/>
                <w:sz w:val="18"/>
                <w:szCs w:val="18"/>
              </w:rPr>
              <w:t xml:space="preserve">AI extraction</w:t>
            </w:r>
          </w:p>
        </w:tc>
        <w:tc>
          <w:tcPr>
            <w:tcW w:type="dxa" w:w="1872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C2C2A"/>
                <w:sz w:val="18"/>
                <w:szCs w:val="18"/>
              </w:rPr>
              <w:t xml:space="preserve">Yes</w:t>
            </w:r>
          </w:p>
        </w:tc>
        <w:tc>
          <w:tcPr>
            <w:tcW w:type="dxa" w:w="3557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C2C2A"/>
                <w:sz w:val="18"/>
                <w:szCs w:val="18"/>
              </w:rPr>
              <w:t xml:space="preserve">Core magic.</w:t>
            </w:r>
          </w:p>
        </w:tc>
      </w:tr>
      <w:tr>
        <w:tc>
          <w:tcPr>
            <w:tcW w:type="dxa" w:w="3931"/>
            <w:shd w:fill="F7F6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C2C2A"/>
                <w:sz w:val="18"/>
                <w:szCs w:val="18"/>
              </w:rPr>
              <w:t xml:space="preserve">Human correction UI</w:t>
            </w:r>
          </w:p>
        </w:tc>
        <w:tc>
          <w:tcPr>
            <w:tcW w:type="dxa" w:w="1872"/>
            <w:shd w:fill="F7F6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C2C2A"/>
                <w:sz w:val="18"/>
                <w:szCs w:val="18"/>
              </w:rPr>
              <w:t xml:space="preserve">Yes</w:t>
            </w:r>
          </w:p>
        </w:tc>
        <w:tc>
          <w:tcPr>
            <w:tcW w:type="dxa" w:w="3557"/>
            <w:shd w:fill="F7F6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C2C2A"/>
                <w:sz w:val="18"/>
                <w:szCs w:val="18"/>
              </w:rPr>
              <w:t xml:space="preserve">Money mistakes are serious.</w:t>
            </w:r>
          </w:p>
        </w:tc>
      </w:tr>
      <w:tr>
        <w:tc>
          <w:tcPr>
            <w:tcW w:type="dxa" w:w="3931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C2C2A"/>
                <w:sz w:val="18"/>
                <w:szCs w:val="18"/>
              </w:rPr>
              <w:t xml:space="preserve">Customer ledger + payment status</w:t>
            </w:r>
          </w:p>
        </w:tc>
        <w:tc>
          <w:tcPr>
            <w:tcW w:type="dxa" w:w="1872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C2C2A"/>
                <w:sz w:val="18"/>
                <w:szCs w:val="18"/>
              </w:rPr>
              <w:t xml:space="preserve">Yes</w:t>
            </w:r>
          </w:p>
        </w:tc>
        <w:tc>
          <w:tcPr>
            <w:tcW w:type="dxa" w:w="3557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C2C2A"/>
                <w:sz w:val="18"/>
                <w:szCs w:val="18"/>
              </w:rPr>
              <w:t xml:space="preserve">Core wedge.</w:t>
            </w:r>
          </w:p>
        </w:tc>
      </w:tr>
      <w:tr>
        <w:tc>
          <w:tcPr>
            <w:tcW w:type="dxa" w:w="3931"/>
            <w:shd w:fill="F7F6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C2C2A"/>
                <w:sz w:val="18"/>
                <w:szCs w:val="18"/>
              </w:rPr>
              <w:t xml:space="preserve">Payment reminders (owner-approved)</w:t>
            </w:r>
          </w:p>
        </w:tc>
        <w:tc>
          <w:tcPr>
            <w:tcW w:type="dxa" w:w="1872"/>
            <w:shd w:fill="F7F6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C2C2A"/>
                <w:sz w:val="18"/>
                <w:szCs w:val="18"/>
              </w:rPr>
              <w:t xml:space="preserve">Yes</w:t>
            </w:r>
          </w:p>
        </w:tc>
        <w:tc>
          <w:tcPr>
            <w:tcW w:type="dxa" w:w="3557"/>
            <w:shd w:fill="F7F6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C2C2A"/>
                <w:sz w:val="18"/>
                <w:szCs w:val="18"/>
              </w:rPr>
              <w:t xml:space="preserve">Clear ROI.</w:t>
            </w:r>
          </w:p>
        </w:tc>
      </w:tr>
      <w:tr>
        <w:tc>
          <w:tcPr>
            <w:tcW w:type="dxa" w:w="3931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C2C2A"/>
                <w:sz w:val="18"/>
                <w:szCs w:val="18"/>
              </w:rPr>
              <w:t xml:space="preserve">Weekly debtor summary</w:t>
            </w:r>
          </w:p>
        </w:tc>
        <w:tc>
          <w:tcPr>
            <w:tcW w:type="dxa" w:w="1872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C2C2A"/>
                <w:sz w:val="18"/>
                <w:szCs w:val="18"/>
              </w:rPr>
              <w:t xml:space="preserve">Yes</w:t>
            </w:r>
          </w:p>
        </w:tc>
        <w:tc>
          <w:tcPr>
            <w:tcW w:type="dxa" w:w="3557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C2C2A"/>
                <w:sz w:val="18"/>
                <w:szCs w:val="18"/>
              </w:rPr>
              <w:t xml:space="preserve">Core wedge.</w:t>
            </w:r>
          </w:p>
        </w:tc>
      </w:tr>
      <w:tr>
        <w:tc>
          <w:tcPr>
            <w:tcW w:type="dxa" w:w="3931"/>
            <w:shd w:fill="F7F6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C2C2A"/>
                <w:sz w:val="18"/>
                <w:szCs w:val="18"/>
              </w:rPr>
              <w:t xml:space="preserve">Monthly Urdu summary + export</w:t>
            </w:r>
          </w:p>
        </w:tc>
        <w:tc>
          <w:tcPr>
            <w:tcW w:type="dxa" w:w="1872"/>
            <w:shd w:fill="F7F6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C2C2A"/>
                <w:sz w:val="18"/>
                <w:szCs w:val="18"/>
              </w:rPr>
              <w:t xml:space="preserve">Yes</w:t>
            </w:r>
          </w:p>
        </w:tc>
        <w:tc>
          <w:tcPr>
            <w:tcW w:type="dxa" w:w="3557"/>
            <w:shd w:fill="F7F6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C2C2A"/>
                <w:sz w:val="18"/>
                <w:szCs w:val="18"/>
              </w:rPr>
              <w:t xml:space="preserve">Emotional value + accountant-ready.</w:t>
            </w:r>
          </w:p>
        </w:tc>
      </w:tr>
      <w:tr>
        <w:tc>
          <w:tcPr>
            <w:tcW w:type="dxa" w:w="3931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C2C2A"/>
                <w:sz w:val="18"/>
                <w:szCs w:val="18"/>
              </w:rPr>
              <w:t xml:space="preserve">Full double-entry accounting</w:t>
            </w:r>
          </w:p>
        </w:tc>
        <w:tc>
          <w:tcPr>
            <w:tcW w:type="dxa" w:w="1872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C2C2A"/>
                <w:sz w:val="18"/>
                <w:szCs w:val="18"/>
              </w:rPr>
              <w:t xml:space="preserve">Defer – Phase 2</w:t>
            </w:r>
          </w:p>
        </w:tc>
        <w:tc>
          <w:tcPr>
            <w:tcW w:type="dxa" w:w="3557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C2C2A"/>
                <w:sz w:val="18"/>
                <w:szCs w:val="18"/>
              </w:rPr>
              <w:t xml:space="preserve">Too heavy for MVP.</w:t>
            </w:r>
          </w:p>
        </w:tc>
      </w:tr>
      <w:tr>
        <w:tc>
          <w:tcPr>
            <w:tcW w:type="dxa" w:w="3931"/>
            <w:shd w:fill="F7F6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C2C2A"/>
                <w:sz w:val="18"/>
                <w:szCs w:val="18"/>
              </w:rPr>
              <w:t xml:space="preserve">Cash-in/out (CashBook)</w:t>
            </w:r>
          </w:p>
        </w:tc>
        <w:tc>
          <w:tcPr>
            <w:tcW w:type="dxa" w:w="1872"/>
            <w:shd w:fill="F7F6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C2C2A"/>
                <w:sz w:val="18"/>
                <w:szCs w:val="18"/>
              </w:rPr>
              <w:t xml:space="preserve">Defer – Phase 2</w:t>
            </w:r>
          </w:p>
        </w:tc>
        <w:tc>
          <w:tcPr>
            <w:tcW w:type="dxa" w:w="3557"/>
            <w:shd w:fill="F7F6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C2C2A"/>
                <w:sz w:val="18"/>
                <w:szCs w:val="18"/>
              </w:rPr>
              <w:t xml:space="preserve">Receivables-first.</w:t>
            </w:r>
          </w:p>
        </w:tc>
      </w:tr>
      <w:tr>
        <w:tc>
          <w:tcPr>
            <w:tcW w:type="dxa" w:w="3931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C2C2A"/>
                <w:sz w:val="18"/>
                <w:szCs w:val="18"/>
              </w:rPr>
              <w:t xml:space="preserve">Inventory / stock</w:t>
            </w:r>
          </w:p>
        </w:tc>
        <w:tc>
          <w:tcPr>
            <w:tcW w:type="dxa" w:w="1872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C2C2A"/>
                <w:sz w:val="18"/>
                <w:szCs w:val="18"/>
              </w:rPr>
              <w:t xml:space="preserve">Defer</w:t>
            </w:r>
          </w:p>
        </w:tc>
        <w:tc>
          <w:tcPr>
            <w:tcW w:type="dxa" w:w="3557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C2C2A"/>
                <w:sz w:val="18"/>
                <w:szCs w:val="18"/>
              </w:rPr>
              <w:t xml:space="preserve">Scope trap.</w:t>
            </w:r>
          </w:p>
        </w:tc>
      </w:tr>
      <w:tr>
        <w:tc>
          <w:tcPr>
            <w:tcW w:type="dxa" w:w="3931"/>
            <w:shd w:fill="F7F6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C2C2A"/>
                <w:sz w:val="18"/>
                <w:szCs w:val="18"/>
              </w:rPr>
              <w:t xml:space="preserve">FBR direct filing</w:t>
            </w:r>
          </w:p>
        </w:tc>
        <w:tc>
          <w:tcPr>
            <w:tcW w:type="dxa" w:w="1872"/>
            <w:shd w:fill="F7F6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C2C2A"/>
                <w:sz w:val="18"/>
                <w:szCs w:val="18"/>
              </w:rPr>
              <w:t xml:space="preserve">Defer – Phase 3</w:t>
            </w:r>
          </w:p>
        </w:tc>
        <w:tc>
          <w:tcPr>
            <w:tcW w:type="dxa" w:w="3557"/>
            <w:shd w:fill="F7F6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C2C2A"/>
                <w:sz w:val="18"/>
                <w:szCs w:val="18"/>
              </w:rPr>
              <w:t xml:space="preserve">Regulatory risk; say tax-ready, not certified advice.</w:t>
            </w:r>
          </w:p>
        </w:tc>
      </w:tr>
      <w:tr>
        <w:tc>
          <w:tcPr>
            <w:tcW w:type="dxa" w:w="3931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C2C2A"/>
                <w:sz w:val="18"/>
                <w:szCs w:val="18"/>
              </w:rPr>
              <w:t xml:space="preserve">Embedded lending / financing</w:t>
            </w:r>
          </w:p>
        </w:tc>
        <w:tc>
          <w:tcPr>
            <w:tcW w:type="dxa" w:w="1872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C2C2A"/>
                <w:sz w:val="18"/>
                <w:szCs w:val="18"/>
              </w:rPr>
              <w:t xml:space="preserve">Defer – Phase 4</w:t>
            </w:r>
          </w:p>
        </w:tc>
        <w:tc>
          <w:tcPr>
            <w:tcW w:type="dxa" w:w="3557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color w:val="2C2C2A"/>
                <w:sz w:val="18"/>
                <w:szCs w:val="18"/>
              </w:rPr>
              <w:t xml:space="preserve">Needs license + capital.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26215C"/>
          <w:sz w:val="32"/>
          <w:szCs w:val="32"/>
        </w:rPr>
        <w:t xml:space="preserve">12. Suggested build sequence</w:t>
      </w:r>
    </w:p>
    <w:p>
      <w:pPr>
        <w:spacing w:after="100" w:line="276"/>
      </w:pPr>
      <w:r>
        <w:rPr>
          <w:i w:val="false"/>
          <w:iCs w:val="false"/>
          <w:color w:val="2C2C2A"/>
          <w:sz w:val="21"/>
          <w:szCs w:val="21"/>
        </w:rPr>
        <w:t xml:space="preserve">A pragmatic order for implementation so there is a working vertical slice as early as possible: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C2C2A"/>
          <w:sz w:val="21"/>
          <w:szCs w:val="21"/>
        </w:rPr>
        <w:t xml:space="preserve">1. Schema + migrations from the ERD (section 8). Money as DECIMAL, IDs as UUID.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C2C2A"/>
          <w:sz w:val="21"/>
          <w:szCs w:val="21"/>
        </w:rPr>
        <w:t xml:space="preserve">2. WhatsApp webhook + Ingestion service: receive a photo, store it, create a Document, dedupe by hash.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C2C2A"/>
          <w:sz w:val="21"/>
          <w:szCs w:val="21"/>
        </w:rPr>
        <w:t xml:space="preserve">3. Extraction service against the Claude API using the JSON contract (section 9), with schema validation.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C2C2A"/>
          <w:sz w:val="21"/>
          <w:szCs w:val="21"/>
        </w:rPr>
        <w:t xml:space="preserve">4. Validation engine + confidence routing (the three-way branch). Make thresholds config.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C2C2A"/>
          <w:sz w:val="21"/>
          <w:szCs w:val="21"/>
        </w:rPr>
        <w:t xml:space="preserve">5. Ledger service: post transactions, maintain Party balances, write AuditEntry on every change.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C2C2A"/>
          <w:sz w:val="21"/>
          <w:szCs w:val="21"/>
        </w:rPr>
        <w:t xml:space="preserve">6. Owner-confirm loop over WhatsApp for medium-confidence entries; human review queue for low.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C2C2A"/>
          <w:sz w:val="21"/>
          <w:szCs w:val="21"/>
        </w:rPr>
        <w:t xml:space="preserve">7. Reminder service: overdue detection, owner approval, send.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C2C2A"/>
          <w:sz w:val="21"/>
          <w:szCs w:val="21"/>
        </w:rPr>
        <w:t xml:space="preserve">8. Reporting: weekly debtor list + monthly export (CSV/PDF).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C2C2A"/>
          <w:sz w:val="21"/>
          <w:szCs w:val="21"/>
        </w:rPr>
        <w:t xml:space="preserve">9. PWA dashboard for manual upload, review queue, and ledger viewing.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color w:val="2C2C2A"/>
          <w:sz w:val="21"/>
          <w:szCs w:val="21"/>
        </w:rPr>
        <w:t xml:space="preserve">10. Observability: Sentry, PostHog, and audit-log review.</w:t>
      </w:r>
    </w:p>
    <w:p>
      <w:pPr>
        <w:spacing w:before="300"/>
      </w:pPr>
      <w:r>
        <w:rPr>
          <w:i/>
          <w:iCs/>
          <w:color w:val="5F5E5A"/>
          <w:sz w:val="20"/>
          <w:szCs w:val="20"/>
        </w:rPr>
        <w:t xml:space="preserve">Guardrails: keep the MVP to the receivables wedge, log every correction from day one, never send a reminder without owner approval, and always position outputs as “tax-ready, not certified tax advice.”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26215C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534AB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5994dc6284e7677ebbf7b8450b2ea24f973296d.png"/><Relationship Id="rId8" Type="http://schemas.openxmlformats.org/officeDocument/2006/relationships/image" Target="media/bd44f9b226956aafe2b81f8d4ef5bb1244b624f4.png"/><Relationship Id="rId9" Type="http://schemas.openxmlformats.org/officeDocument/2006/relationships/image" Target="media/7b4d80981aa2aebd5eb1a7a05a46bad3d7aa002e.png"/><Relationship Id="rId10" Type="http://schemas.openxmlformats.org/officeDocument/2006/relationships/image" Target="media/c1c5b85a945f6af785169b651b24e4969b73c52e.png"/><Relationship Id="rId11" Type="http://schemas.openxmlformats.org/officeDocument/2006/relationships/image" Target="media/d13afadcc59bd90aa401ee5d26acd92956873b07.png"/><Relationship Id="rId12" Type="http://schemas.openxmlformats.org/officeDocument/2006/relationships/image" Target="media/9f115422ec877d639c4bffc54a54239af3acfb3a.png"/><Relationship Id="rId13" Type="http://schemas.openxmlformats.org/officeDocument/2006/relationships/image" Target="media/fb4d886956da7fc74bbc11de0728b3a3a258da1b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2026-07-09T13:29:46.917Z</dcterms:created>
  <dcterms:modified xsi:type="dcterms:W3CDTF">2026-07-09T13:29:46.917Z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