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onsolas" w:cs="Consolas" w:eastAsia="Consolas" w:hAnsi="Consolas"/>
          <w:b/>
          <w:bCs/>
          <w:color w:val="8A5200"/>
          <w:sz w:val="16"/>
          <w:szCs w:val="16"/>
        </w:rPr>
        <w:t xml:space="preserve">ESPECIFICAÇÃO v1.0 · FINAL</w:t>
      </w:r>
    </w:p>
    <w:p>
      <w:pPr>
        <w:spacing w:after="40"/>
      </w:pPr>
      <w:r>
        <w:rPr>
          <w:b/>
          <w:bCs/>
          <w:color w:val="152029"/>
          <w:sz w:val="44"/>
          <w:szCs w:val="44"/>
        </w:rPr>
        <w:t xml:space="preserve">Passaporte Fiscal + Rede de Créditos</w:t>
      </w:r>
    </w:p>
    <w:p>
      <w:pPr>
        <w:spacing w:after="120"/>
      </w:pPr>
      <w:r>
        <w:rPr>
          <w:i/>
          <w:iCs/>
          <w:color w:val="556575"/>
          <w:sz w:val="22"/>
          <w:szCs w:val="22"/>
        </w:rPr>
        <w:t xml:space="preserve">A fonte única. O que ficou decidido, o que ainda depende do Gate 0, e por que o produto entra estreito sobre um motor que nasce genérico.</w:t>
      </w:r>
    </w:p>
    <w:p>
      <w:pPr>
        <w:pBdr>
          <w:bottom w:val="single" w:color="152029" w:sz="12"/>
        </w:pBdr>
        <w:spacing w:after="20"/>
      </w:pPr>
      <w:r>
        <w:rPr>
          <w:rFonts w:ascii="Consolas" w:cs="Consolas" w:eastAsia="Consolas" w:hAnsi="Consolas"/>
          <w:color w:val="6B7A88"/>
          <w:sz w:val="16"/>
          <w:szCs w:val="16"/>
        </w:rPr>
        <w:t xml:space="preserve">Data-base 6 set 2026   ·   Substitui v0.1 (P1+P2) e v2 (contraproposta)   ·   Uso interno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8A5200"/>
          <w:sz w:val="18"/>
          <w:szCs w:val="18"/>
        </w:rPr>
        <w:t xml:space="preserve">DECISÃO-MESTRE — O QUE ESTÁ TRAVADO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P1 entra estreito, motor nasce amplo. </w:t>
      </w:r>
      <w:r>
        <w:t xml:space="preserve">O produto de entrada é o Passaporte Fiscal de crédito (CAT 42/SP) com rating, sobre um motor de validação genérico. Balanço, reconciliação e “números fecham” são módulos 2..n no mesmo motor, depois da praia conquistada — não no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Dois negócios, dois CNPJs desde o dia 1. </w:t>
      </w:r>
      <w:r>
        <w:t xml:space="preserve">P1 e P2 são serviços separados; o único elo é o Passaporte assinado, e o P2 nunca acessa os dados do P1.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 enxuta (v2). </w:t>
      </w:r>
      <w:r>
        <w:t xml:space="preserve">Workers + D1 + R2 + Queues, um repo, dois deploys. Sem Durable Objects, sem Containers, sem multi-tenancy de 100 escritórios.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Monetização limpa. </w:t>
      </w:r>
      <w:r>
        <w:t xml:space="preserve">Success fee inteiro no P1 sobre valor homologado; P2 cobra assinatura + data room + SLA, zero comissão até o Gate 0 dizer o contrário.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Urgência dada por lei. </w:t>
      </w:r>
      <w:r>
        <w:t xml:space="preserve">O pitch é a transição da reforma (EC 132 / LC 214): homologar antes de ~2032 ou o crédito vira recebível de 20 anos.</w:t>
      </w:r>
    </w:p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01  </w:t>
      </w:r>
      <w:r>
        <w:rPr>
          <w:b/>
          <w:bCs/>
          <w:color w:val="152029"/>
          <w:sz w:val="30"/>
          <w:szCs w:val="30"/>
        </w:rPr>
        <w:t xml:space="preserve">Produto</w:t>
      </w:r>
      <w:r>
        <w:rPr>
          <w:b/>
          <w:bCs/>
          <w:color w:val="0D6E62"/>
          <w:sz w:val="18"/>
          <w:szCs w:val="18"/>
        </w:rPr>
        <w:t xml:space="preserve">   P1 · p1.app</w:t>
      </w:r>
    </w:p>
    <w:p>
      <w:pPr>
        <w:spacing w:after="120"/>
      </w:pPr>
      <w:r>
        <w:t xml:space="preserve">O produto não é “validar e gerar arquivo” — é o </w:t>
      </w:r>
      <w:r>
        <w:rPr>
          <w:b/>
          <w:bCs/>
        </w:rPr>
        <w:t xml:space="preserve">Passaporte Fiscal com rating</w:t>
      </w:r>
      <w:r>
        <w:t xml:space="preserve">: um artefato padronizado, assinado e reproduzível que atesta completude documental, aderência à rota e risco estimado de glosa, resumidos num rating A/B/C. Padronizar o ativo é o que cria o mercado secundário; o rating é o fosso e o insumo direto do P2.</w:t>
      </w:r>
    </w:p>
    <w:p>
      <w:pPr>
        <w:pStyle w:val="Heading2"/>
        <w:spacing w:after="60" w:before="160"/>
      </w:pPr>
      <w:r>
        <w:rPr>
          <w:b/>
          <w:bCs/>
          <w:color w:val="152029"/>
          <w:sz w:val="21"/>
          <w:szCs w:val="21"/>
        </w:rPr>
        <w:t xml:space="preserve">Escopo do MVP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1F7A45"/>
          <w:sz w:val="16"/>
          <w:szCs w:val="16"/>
        </w:rPr>
        <w:t xml:space="preserve">IN  </w:t>
      </w:r>
      <w:r>
        <w:t xml:space="preserve">Intake de XML (NF-e) e EFD ICMS/IPI; original preservado no R2 com hash SHA-256.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1F7A45"/>
          <w:sz w:val="16"/>
          <w:szCs w:val="16"/>
        </w:rPr>
        <w:t xml:space="preserve">IN  </w:t>
      </w:r>
      <w:r>
        <w:t xml:space="preserve">Motor de regras determinístico com a rota CAT 42/SP v1 (layout + pré-validações) versionada.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1F7A45"/>
          <w:sz w:val="16"/>
          <w:szCs w:val="16"/>
        </w:rPr>
        <w:t xml:space="preserve">IN  </w:t>
      </w:r>
      <w:r>
        <w:t xml:space="preserve">Achados reproduzíveis com evidência; dossiê + arquivo pronto para o e-Ressarcimento (FR-037, Must).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1F7A45"/>
          <w:sz w:val="16"/>
          <w:szCs w:val="16"/>
        </w:rPr>
        <w:t xml:space="preserve">IN  </w:t>
      </w:r>
      <w:r>
        <w:t xml:space="preserve">Passaporte assinado (JSON canônico + manifesto de evidências + assinatura) e rating v1 heurístico (3 faixas, com disclaimer).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1F7A45"/>
          <w:sz w:val="16"/>
          <w:szCs w:val="16"/>
        </w:rPr>
        <w:t xml:space="preserve">IN  </w:t>
      </w:r>
      <w:r>
        <w:t xml:space="preserve">Calculadora pública de valor do crédito (isca de leads + base de pricing).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OUT  </w:t>
      </w:r>
      <w:r>
        <w:t xml:space="preserve">Multi-tenancy de 100 escritórios, Durable Objects, Containers — fora; concierge com 3–5 detentores.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OUT  </w:t>
      </w:r>
      <w:r>
        <w:t xml:space="preserve">Custódia de A1/A3, transmissão automática à SEFAZ, homologação pela plataforma.</w:t>
      </w:r>
    </w:p>
    <w:p>
      <w:pPr>
        <w:spacing w:after="70"/>
        <w:ind w:left="360" w:hanging="36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OUT  </w:t>
      </w:r>
      <w:r>
        <w:t xml:space="preserve">Módulos de balanço / reconciliação / “números fecham” e outras rotas/estados — Fase 2, mesmo motor.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D6E62" w:sz="24"/>
              <w:bottom w:val="none"/>
              <w:right w:val="none"/>
            </w:tcBorders>
            <w:shd w:fill="E4F3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D6E62"/>
                <w:sz w:val="15"/>
                <w:szCs w:val="15"/>
              </w:rPr>
              <w:t xml:space="preserve">COMPRADOR</w:t>
            </w:r>
          </w:p>
          <w:p>
            <w:r>
              <w:rPr>
                <w:b/>
                <w:bCs/>
              </w:rPr>
              <w:t xml:space="preserve">Detentor do crédito é o pagante</w:t>
            </w:r>
            <w:r>
              <w:t xml:space="preserve">; o contador é canal. Motion concierge, founder-led — poucos negócios, ticket alto (success fee sobre homologado), não SaaS por assento.</w:t>
            </w:r>
          </w:p>
        </w:tc>
      </w:tr>
    </w:tbl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02  </w:t>
      </w:r>
      <w:r>
        <w:rPr>
          <w:b/>
          <w:bCs/>
          <w:color w:val="152029"/>
          <w:sz w:val="30"/>
          <w:szCs w:val="30"/>
        </w:rPr>
        <w:t xml:space="preserve">Produto</w:t>
      </w:r>
      <w:r>
        <w:rPr>
          <w:b/>
          <w:bCs/>
          <w:color w:val="463BB0"/>
          <w:sz w:val="18"/>
          <w:szCs w:val="18"/>
        </w:rPr>
        <w:t xml:space="preserve">   P2 · p2.app</w:t>
      </w:r>
    </w:p>
    <w:p>
      <w:pPr>
        <w:spacing w:after="120"/>
      </w:pPr>
      <w:r>
        <w:t xml:space="preserve">Rede privada de oportunidades — descoberta e diligência com sigilo, nunca liquidação. Só liga quando existirem </w:t>
      </w:r>
      <w:r>
        <w:rPr>
          <w:b/>
          <w:bCs/>
        </w:rPr>
        <w:t xml:space="preserve">≥ 3 passaportes rating A/B reais</w:t>
      </w:r>
      <w:r>
        <w:t xml:space="preserve">; a vitrine pode ir ao ar já com os lotes do próprio piloto.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Vitrine anonimizada</w:t>
      </w:r>
      <w:r>
        <w:t xml:space="preserve"> — rating e faixa, sem preço e sem book público. Valida demanda sem publicar deságio nem intermediar.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Matching = grafo bipartido com predicado legal</w:t>
      </w:r>
      <w:r>
        <w:t xml:space="preserve"> (art. 73 / 84), capacidade do comprador limitada pelo débito mensal de ICMS. Gates antes de score.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Cold-start resolvido por construção</w:t>
      </w:r>
      <w:r>
        <w:t xml:space="preserve"> — o art. 73 favorece fornecedores, então os primeiros compradores de cada detentor são a cadeia de suprimentos dele, já nas notas que o P1 processou.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Divulgação progressiva L1→L5</w:t>
      </w:r>
      <w:r>
        <w:t xml:space="preserve"> — identidade só na reciprocidade; interesse mútuo → data room → proposta indicativa não vinculante. Uma contraparte por caso.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Nada é transferido, cedido, liquidado ou homologado aqui — todo desfecho é “apto para análise”; o protocolo é humano, fora da plataforma.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463BB0" w:sz="24"/>
              <w:bottom w:val="none"/>
              <w:right w:val="none"/>
            </w:tcBorders>
            <w:shd w:fill="EAE8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63BB0"/>
                <w:sz w:val="15"/>
                <w:szCs w:val="15"/>
              </w:rPr>
              <w:t xml:space="preserve">TRAVA</w:t>
            </w:r>
          </w:p>
          <w:p>
            <w:r>
              <w:t xml:space="preserve">O P2 não abre a participantes externos antes do </w:t>
            </w:r>
            <w:r>
              <w:rPr>
                <w:b/>
                <w:bCs/>
              </w:rPr>
              <w:t xml:space="preserve">Gate 0 jurídico</w:t>
            </w:r>
            <w:r>
              <w:t xml:space="preserve"> (§08). Se o parecer disser que a forma exige autorização/registro, redesenha-se antes de abrir.</w:t>
            </w:r>
          </w:p>
        </w:tc>
      </w:tr>
    </w:tbl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03  </w:t>
      </w:r>
      <w:r>
        <w:rPr>
          <w:b/>
          <w:bCs/>
          <w:color w:val="152029"/>
          <w:sz w:val="30"/>
          <w:szCs w:val="30"/>
        </w:rPr>
        <w:t xml:space="preserve">Arquitetura</w:t>
      </w:r>
    </w:p>
    <w:p>
      <w:pPr>
        <w:spacing w:after="120"/>
      </w:pPr>
      <w:r>
        <w:t xml:space="preserve">Um repo, dois deploys, dois CNPJs. A separação societária já nasce na arquitetura porque o contrato entre os serviços é um artefato assinado — não um banco compartilhado.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Cloudflare-first mínimo: </w:t>
      </w:r>
      <w:r>
        <w:t xml:space="preserve">Workers (API + estático), D1 (índices), R2 (originais, evidências, dossiês), Queues (assíncrono).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Motor de regras = função pura, determinística. </w:t>
      </w:r>
      <w:r>
        <w:t xml:space="preserve">Toda validação registra (input_hash, ruleset_version, output_hash) — qualquer auditor reexecuta e chega ao mesmo dossiê.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Passaporte é o único contrato P1→P2</w:t>
      </w:r>
      <w:r>
        <w:t xml:space="preserve">, consent-gated. O P2 consome passaporte assinado; não lê o acervo do P1.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SEFAZ / e-CredAc / e-Ressarcimento ficam fora</w:t>
      </w:r>
      <w:r>
        <w:t xml:space="preserve"> — fonte da verdade da homologação. A plataforma prepara e atesta, nunca homologa.</w:t>
      </w:r>
    </w:p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04  </w:t>
      </w:r>
      <w:r>
        <w:rPr>
          <w:b/>
          <w:bCs/>
          <w:color w:val="152029"/>
          <w:sz w:val="30"/>
          <w:szCs w:val="30"/>
        </w:rPr>
        <w:t xml:space="preserve">Contrato do Passaporte</w:t>
      </w:r>
    </w:p>
    <w:p>
      <w:pPr>
        <w:spacing w:after="120"/>
      </w:pPr>
      <w:r>
        <w:t xml:space="preserve">O artefato central: JSON canônico + manifesto de evidências (hashes no R2) + assinatura da plataforma. Verificável offline por comprador, advogado e fisco.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DDE3E2" w:sz="4"/>
              <w:left w:val="single" w:color="DDE3E2" w:sz="4"/>
              <w:bottom w:val="single" w:color="DDE3E2" w:sz="4"/>
              <w:right w:val="single" w:color="DDE3E2" w:sz="4"/>
            </w:tcBorders>
            <w:shd w:fill="F3F5F4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// passaporte assinado — contrato de integração P1 → P2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"passport_id": "psp_01J…",   "version": 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"issuer": "fiscal-platform",  "holder_org_id": "org_01J…",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"jurisdiction": "BR-SP",      "credit_kind": "ICMS_ACCUMULATED",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"route_candidates": ["SP_ART84_NONINTERDEPENDENT"],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"reference_period": {"from":"2025-01","to":"2025-12"},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"amount_cents": 250000000,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"rating": {"grade":"A","factors":["completude","layout","glosa_estimada"]},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"status_claim": "DOCUMENTED_FOR_REVIEW",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"evidence_manifest_hash": "sha256:…",  "ruleset_hash": "sha256:…",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"consent_id": "cns_01J…",  "expires_at": "2026-10-06T12:00:00Z",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"signature": "…"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status_claim</w:t>
      </w:r>
      <w:r>
        <w:t xml:space="preserve"> nunca é “homologado”. O rating é da plataforma, com disclaimer — não é parecer nem garantia.</w:t>
      </w:r>
    </w:p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05  </w:t>
      </w:r>
      <w:r>
        <w:rPr>
          <w:b/>
          <w:bCs/>
          <w:color w:val="152029"/>
          <w:sz w:val="30"/>
          <w:szCs w:val="30"/>
        </w:rPr>
        <w:t xml:space="preserve">Motor de validação &amp; rating</w:t>
      </w:r>
    </w:p>
    <w:p>
      <w:pPr>
        <w:spacing w:after="120"/>
      </w:pPr>
      <w:r>
        <w:t xml:space="preserve">O motor é genérico; a rota CAT 42/SP é só o primeiro ruleset. É isto que reconcilia o “estreito vs amplo”: entra-se estreito, mas o motor já comporta o amplo.</w:t>
      </w:r>
    </w:p>
    <w:p>
      <w:pPr>
        <w:pStyle w:val="Heading2"/>
        <w:spacing w:after="60" w:before="160"/>
      </w:pPr>
      <w:r>
        <w:rPr>
          <w:b/>
          <w:bCs/>
          <w:color w:val="152029"/>
          <w:sz w:val="21"/>
          <w:szCs w:val="21"/>
        </w:rPr>
        <w:t xml:space="preserve">Ruleset (imutável, versionado)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Cada ruleset (ex. CAT42/SP v2026.09) é artefato com hash; publicar exige fonte, vigência, owner, revisor e golden files assinados.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Rating v1 heurístico em 3 faixas a partir de: (a) completude documental, (b) aderência ao layout/regras da rota, (c) risco estimado de glosa.</w:t>
      </w:r>
    </w:p>
    <w:p>
      <w:pPr>
        <w:pStyle w:val="Heading2"/>
        <w:spacing w:after="60" w:before="160"/>
      </w:pPr>
      <w:r>
        <w:rPr>
          <w:b/>
          <w:bCs/>
          <w:color w:val="152029"/>
          <w:sz w:val="21"/>
          <w:szCs w:val="21"/>
        </w:rPr>
        <w:t xml:space="preserve">Módulos futuros (mesmo motor, Fase 2+)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Reconciliação XML × EFD × cadastro; balanço / “números fecham”; outras rotas (art. 73) e outros estados; adiante, IBS/CBS.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A5200" w:sz="24"/>
              <w:bottom w:val="none"/>
              <w:right w:val="none"/>
            </w:tcBorders>
            <w:shd w:fill="F5EED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5200"/>
                <w:sz w:val="15"/>
                <w:szCs w:val="15"/>
              </w:rPr>
              <w:t xml:space="preserve">NOTA DE ESCOPO</w:t>
            </w:r>
          </w:p>
          <w:p>
            <w:r>
              <w:t xml:space="preserve">Validar balanço/demonstração encosta em terreno de </w:t>
            </w:r>
            <w:r>
              <w:rPr>
                <w:b/>
                <w:bCs/>
              </w:rPr>
              <w:t xml:space="preserve">auditoria/assurance</w:t>
            </w:r>
            <w:r>
              <w:t xml:space="preserve"> (CFC, independência) — responsabilidade diferente da do crédito. Por isso é Fase 2 e com parecer próprio, não um “ligar depois” trivial.</w:t>
            </w:r>
          </w:p>
        </w:tc>
      </w:tr>
    </w:tbl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06  </w:t>
      </w:r>
      <w:r>
        <w:rPr>
          <w:b/>
          <w:bCs/>
          <w:color w:val="152029"/>
          <w:sz w:val="30"/>
          <w:szCs w:val="30"/>
        </w:rPr>
        <w:t xml:space="preserve">Pricing — motor de deságio</w:t>
      </w:r>
    </w:p>
    <w:p>
      <w:pPr>
        <w:spacing w:after="120"/>
      </w:pPr>
      <w:r>
        <w:t xml:space="preserve">O deságio de mercado é opaco, mas tem três componentes estimáveis. O rating reduz g, reduz o deságio racional — ou seja, o P1 aumenta o preço de venda do crédito de forma mensurável, o que fecha a conta do success fee.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DDE3E2" w:sz="4"/>
              <w:left w:val="single" w:color="DDE3E2" w:sz="4"/>
              <w:bottom w:val="single" w:color="DDE3E2" w:sz="4"/>
              <w:right w:val="single" w:color="DDE3E2" w:sz="4"/>
            </w:tcBorders>
            <w:shd w:fill="F3F5F4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V  = VN · (1 − g) · (1 + i)^(−T)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d* = 1 − V/VN                         // deságio mínimo racional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VN valor nominal   g perda esperada por glosa (função do rating)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T  meses até absorção   i custo de capital mensal do comprador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ex. T=18, i=1,5%/mês, g=5%  →  d* ≈ 27%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2029"/>
                <w:sz w:val="17"/>
                <w:szCs w:val="17"/>
              </w:rPr>
              <w:t xml:space="preserve">    rating A (g≈1%), absorção rápida (T=6)  →  d* ≈ 13%</w:t>
            </w:r>
          </w:p>
        </w:tc>
      </w:tr>
    </w:tbl>
    <w:p>
      <w:pPr>
        <w:spacing w:after="120" w:before="80"/>
      </w:pPr>
      <w:r>
        <w:t xml:space="preserve">Uso tático: </w:t>
      </w:r>
      <w:r>
        <w:rPr>
          <w:b/>
          <w:bCs/>
        </w:rPr>
        <w:t xml:space="preserve">Calculadora pública</w:t>
      </w:r>
      <w:r>
        <w:t xml:space="preserve"> (valor nominal + rota + rating → faixa de deságio justo + valor em 2033 se não homologar) como isca. Cada simulação é um lead com o tamanho do crédito declarado.</w:t>
      </w:r>
    </w:p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07  </w:t>
      </w:r>
      <w:r>
        <w:rPr>
          <w:b/>
          <w:bCs/>
          <w:color w:val="152029"/>
          <w:sz w:val="30"/>
          <w:szCs w:val="30"/>
        </w:rPr>
        <w:t xml:space="preserve">Monetização &amp; societário</w:t>
      </w:r>
    </w:p>
    <w:tbl>
      <w:tblPr>
        <w:tblW w:type="dxa" w:w="9026"/>
        <w:tblBorders>
          <w:top w:val="single" w:color="DDE3E2" w:sz="4"/>
          <w:left w:val="none"/>
          <w:bottom w:val="single" w:color="DDE3E2" w:sz="4"/>
          <w:right w:val="none"/>
          <w:insideH w:val="single" w:color="E6EAE9" w:sz="4"/>
          <w:insideV w:val="none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ONDE</w:t>
            </w:r>
          </w:p>
        </w:tc>
        <w:tc>
          <w:tcPr>
            <w:tcW w:type="dxa" w:w="3600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COBRA</w:t>
            </w:r>
          </w:p>
        </w:tc>
        <w:tc>
          <w:tcPr>
            <w:tcW w:type="dxa" w:w="3426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POR QUÊ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 · Passaporte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fee sobre valor </w:t>
            </w:r>
            <w:r>
              <w:rPr>
                <w:b/>
                <w:bCs/>
              </w:rPr>
              <w:t xml:space="preserve">homologado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evento incontestável, chancelado pelo estado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 · Calculadora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Grátis (isca)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 lead qualificado + dado de pricing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 · Rede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Assinatura + data room + SLA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zero comissão sobre operação até o Gate 0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Dois CNPJs no dia 1. </w:t>
      </w:r>
      <w:r>
        <w:t xml:space="preserve">Custa quase nada, evita contaminar um SaaS fiscal limpo (vendável ou integrável ao ecossistema Datarisk) e mantém a comissão — o que caracterizaria intermediação — fora do produto.</w:t>
      </w:r>
    </w:p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08  </w:t>
      </w:r>
      <w:r>
        <w:rPr>
          <w:b/>
          <w:bCs/>
          <w:color w:val="152029"/>
          <w:sz w:val="30"/>
          <w:szCs w:val="30"/>
        </w:rPr>
        <w:t xml:space="preserve">Sequência — 10 semanas</w:t>
      </w:r>
    </w:p>
    <w:tbl>
      <w:tblPr>
        <w:tblW w:type="dxa" w:w="9026"/>
        <w:tblBorders>
          <w:top w:val="single" w:color="DDE3E2" w:sz="4"/>
          <w:left w:val="none"/>
          <w:bottom w:val="single" w:color="DDE3E2" w:sz="4"/>
          <w:right w:val="none"/>
          <w:insideH w:val="single" w:color="E6EAE9" w:sz="4"/>
          <w:insideV w:val="none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SEM.</w:t>
            </w:r>
          </w:p>
        </w:tc>
        <w:tc>
          <w:tcPr>
            <w:tcW w:type="dxa" w:w="8026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ENTREGA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1–2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Ruleset CAT 42/SP v1 (layout + pré-validações) como código versionado; intake de documentos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Gerador de dossiê + arquivo do e-Ressarcimento; formato do Passaporte assinado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5–6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Calculadora pública de valor + rating v1 (heurístico, 3 faixas)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5–8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Piloto concierge: 3–5 detentores, success fee sobre homologado; medir tempo de ciclo e 1ª aprovação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7–8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 0 jurídico — tabela “prática BNICMS × restrição × fundamento × decisão” + parecer LC 214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9–10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 POC: vitrine anonimizada (rating, sem preço) com os passaportes reais do piloto; medir interesse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A5200" w:sz="24"/>
              <w:bottom w:val="none"/>
              <w:right w:val="none"/>
            </w:tcBorders>
            <w:shd w:fill="F5EED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5200"/>
                <w:sz w:val="15"/>
                <w:szCs w:val="15"/>
              </w:rPr>
              <w:t xml:space="preserve">REGRA DE CORTE</w:t>
            </w:r>
          </w:p>
          <w:p>
            <w:r>
              <w:t xml:space="preserve">Se o ruleset CAT 42 escorregar da semana 2 (o risco real do projeto), corta-se a calculadora — </w:t>
            </w:r>
            <w:r>
              <w:rPr>
                <w:b/>
                <w:bCs/>
              </w:rPr>
              <w:t xml:space="preserve">nunca o piloto.</w:t>
            </w:r>
          </w:p>
        </w:tc>
      </w:tr>
    </w:tbl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09  </w:t>
      </w:r>
      <w:r>
        <w:rPr>
          <w:b/>
          <w:bCs/>
          <w:color w:val="152029"/>
          <w:sz w:val="30"/>
          <w:szCs w:val="30"/>
        </w:rPr>
        <w:t xml:space="preserve">Gates &amp; decisões que travam</w:t>
      </w:r>
    </w:p>
    <w:tbl>
      <w:tblPr>
        <w:tblW w:type="dxa" w:w="9026"/>
        <w:tblBorders>
          <w:top w:val="single" w:color="DDE3E2" w:sz="4"/>
          <w:left w:val="none"/>
          <w:bottom w:val="single" w:color="DDE3E2" w:sz="4"/>
          <w:right w:val="none"/>
          <w:insideH w:val="single" w:color="E6EAE9" w:sz="4"/>
          <w:insideV w:val="none"/>
        </w:tblBorders>
      </w:tblPr>
      <w:tblGrid>
        <w:gridCol w:w="2100"/>
        <w:gridCol w:w="5426"/>
        <w:gridCol w:w="1500"/>
      </w:tblGrid>
      <w:tr>
        <w:trPr>
          <w:tblHeader/>
        </w:trPr>
        <w:tc>
          <w:tcPr>
            <w:tcW w:type="dxa" w:w="2100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ITEM</w:t>
            </w:r>
          </w:p>
        </w:tc>
        <w:tc>
          <w:tcPr>
            <w:tcW w:type="dxa" w:w="5426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DECISÃO</w:t>
            </w:r>
          </w:p>
        </w:tc>
        <w:tc>
          <w:tcPr>
            <w:tcW w:type="dxa" w:w="1500"/>
            <w:shd w:fill="EE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7A88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 0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Papel da empresa; rota art. 73 vs 84; publicidade; nome “rede” vs “bolsa”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kill-risk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 0 · LC 214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Parecer sobre transferência de saldo credor a terceiros na transição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confirmar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Regra de ouro P2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Só liga com ≥ 3 passaportes rating A/B reais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travado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Rating v1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Heurístico, com disclaimer (não é parecer, não é garantia)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travado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Escopo P1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Estreito (crédito) no MVP; balanço/reconciliação = Fase 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travado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Vitrine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Exibir valores nominais ou só faixas — depende do Gate 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confirmar</w:t>
            </w:r>
          </w:p>
        </w:tc>
      </w:tr>
    </w:tbl>
    <w:p>
      <w:pPr>
        <w:pStyle w:val="Heading1"/>
        <w:spacing w:after="100" w:before="320"/>
      </w:pPr>
      <w:r>
        <w:rPr>
          <w:rFonts w:ascii="Consolas" w:cs="Consolas" w:eastAsia="Consolas" w:hAnsi="Consolas"/>
          <w:color w:val="6B7A88"/>
          <w:sz w:val="22"/>
          <w:szCs w:val="22"/>
        </w:rPr>
        <w:t xml:space="preserve">10  </w:t>
      </w:r>
      <w:r>
        <w:rPr>
          <w:b/>
          <w:bCs/>
          <w:color w:val="152029"/>
          <w:sz w:val="30"/>
          <w:szCs w:val="30"/>
        </w:rPr>
        <w:t xml:space="preserve">Métricas &amp; riscos</w:t>
      </w:r>
    </w:p>
    <w:p>
      <w:pPr>
        <w:pStyle w:val="Heading2"/>
        <w:spacing w:after="60" w:before="160"/>
      </w:pPr>
      <w:r>
        <w:rPr>
          <w:b/>
          <w:bCs/>
          <w:color w:val="152029"/>
          <w:sz w:val="21"/>
          <w:szCs w:val="21"/>
        </w:rPr>
        <w:t xml:space="preserve">Métricas que importam</w:t>
      </w:r>
    </w:p>
    <w:p>
      <w:pPr>
        <w:spacing w:after="120"/>
      </w:pPr>
      <w:r>
        <w:rPr>
          <w:b/>
          <w:bCs/>
        </w:rPr>
        <w:t xml:space="preserve">R$ homologado</w:t>
      </w:r>
      <w:r>
        <w:t xml:space="preserve"> (norte), R$ documentado em passaportes, taxa de aprovação no pré-validador em 1ª tentativa, tempo de ciclo (intake → arquivo pronto), nº de passaportes rating A, e no P2 manifestações de interesse por lote. </w:t>
      </w:r>
      <w:r>
        <w:rPr>
          <w:b/>
          <w:bCs/>
        </w:rPr>
        <w:t xml:space="preserve">Nunca</w:t>
      </w:r>
      <w:r>
        <w:t xml:space="preserve"> “inconsistências encontradas” — ninguém paga por problema apontado.</w:t>
      </w:r>
    </w:p>
    <w:p>
      <w:pPr>
        <w:pStyle w:val="Heading2"/>
        <w:spacing w:after="60" w:before="160"/>
      </w:pPr>
      <w:r>
        <w:rPr>
          <w:b/>
          <w:bCs/>
          <w:color w:val="152029"/>
          <w:sz w:val="21"/>
          <w:szCs w:val="21"/>
        </w:rPr>
        <w:t xml:space="preserve">Riscos honestos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Rating v1 é heurístico → disclaimer jurídico obrigatório.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Vitrine precisa passar pelo Gate 0 antes de exibir valores (talvez só faixas).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LC 214 sobre transferência na transição depende de regulamentação — o Gate 0 cobre isso explicitamente.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Layout do arquivo digital é o risco de prazo; se estourar, corta calculadora, nunca piloto.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Ir amplo cedo (balanço) troca o risco de rota de ICMS pelo risco de assurance/CFC — por isso é Fase 2.</w:t>
      </w:r>
    </w:p>
    <w:p>
      <w:pPr>
        <w:pBdr>
          <w:top w:val="single" w:color="DDE3E2" w:sz="6"/>
        </w:pBdr>
        <w:spacing w:before="280"/>
      </w:pPr>
      <w:r>
        <w:rPr>
          <w:rFonts w:ascii="Consolas" w:cs="Consolas" w:eastAsia="Consolas" w:hAnsi="Consolas"/>
          <w:color w:val="6B7A88"/>
          <w:sz w:val="15"/>
          <w:szCs w:val="15"/>
        </w:rPr>
        <w:t xml:space="preserve">Especificação v1.0 · referências a confirmar no Gate 0: CAT 42/2018 · CAT 26/2010 · arts. 71–84 RICMS/SP · EC 132/2023 · LC 214/2025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0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v1.0 — Passaporte Fiscal + Rede</dc:title>
  <dc:creator>Jhoneme</dc:creator>
  <cp:lastModifiedBy>Un-named</cp:lastModifiedBy>
  <cp:revision>1</cp:revision>
  <dcterms:created xsi:type="dcterms:W3CDTF">2026-09-06T22:58:59.082Z</dcterms:created>
  <dcterms:modified xsi:type="dcterms:W3CDTF">2026-09-06T22:58:59.090Z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