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spacing w:before="0" w:after="100" w:line="264" w:lineRule="auto"/>
        <w:jc w:val="left"/>
      </w:pPr>
      <w:r>
        <w:rPr>
          <w:rFonts w:ascii="Calibri" w:hAnsi="Calibri" w:eastAsia="Calibri"/>
          <w:b/>
          <w:i w:val="0"/>
          <w:color w:val="2E74B5"/>
          <w:sz w:val="19"/>
        </w:rPr>
        <w:t>ESPECIFICAÇÃO TÉCNICA</w:t>
      </w:r>
    </w:p>
    <w:p>
      <w:pPr>
        <w:keepNext w:val="0"/>
        <w:spacing w:before="0" w:after="100" w:line="240" w:lineRule="auto"/>
        <w:jc w:val="left"/>
      </w:pPr>
      <w:r>
        <w:rPr>
          <w:rFonts w:ascii="Calibri" w:hAnsi="Calibri" w:eastAsia="Calibri"/>
          <w:b/>
          <w:i w:val="0"/>
          <w:color w:val="0B2545"/>
          <w:sz w:val="54"/>
        </w:rPr>
        <w:t>Plataforma Fiscal para</w:t>
        <w:br/>
        <w:t>Escritórios Contábeis</w:t>
      </w:r>
    </w:p>
    <w:p>
      <w:pPr>
        <w:keepNext w:val="0"/>
        <w:spacing w:before="0" w:after="320" w:line="276" w:lineRule="auto"/>
        <w:jc w:val="left"/>
      </w:pPr>
      <w:r>
        <w:rPr>
          <w:rFonts w:ascii="Calibri" w:hAnsi="Calibri" w:eastAsia="Calibri"/>
          <w:b w:val="0"/>
          <w:i w:val="0"/>
          <w:color w:val="5F6B76"/>
          <w:sz w:val="26"/>
        </w:rPr>
        <w:t>Núcleo SaaS multiempresa para ingestão, validação, tratamento de inconsistências e preparação de dossiês fiscais</w:t>
      </w:r>
    </w:p>
    <w:p>
      <w:pPr>
        <w:spacing w:before="0" w:after="40" w:line="252" w:lineRule="auto"/>
      </w:pPr>
      <w:r>
        <w:rPr>
          <w:rFonts w:ascii="Calibri" w:hAnsi="Calibri" w:eastAsia="Calibri"/>
          <w:b/>
          <w:color w:val="0B2545"/>
          <w:sz w:val="21"/>
        </w:rPr>
        <w:t xml:space="preserve">Nome de trabalho: </w:t>
      </w:r>
      <w:r>
        <w:rPr>
          <w:rFonts w:ascii="Calibri" w:hAnsi="Calibri" w:eastAsia="Calibri"/>
          <w:color w:val="17212B"/>
          <w:sz w:val="21"/>
        </w:rPr>
        <w:t>Fiscal OS / Plataforma Fiscal</w:t>
      </w:r>
    </w:p>
    <w:p>
      <w:pPr>
        <w:spacing w:before="0" w:after="40" w:line="252" w:lineRule="auto"/>
      </w:pPr>
      <w:r>
        <w:rPr>
          <w:rFonts w:ascii="Calibri" w:hAnsi="Calibri" w:eastAsia="Calibri"/>
          <w:b/>
          <w:color w:val="0B2545"/>
          <w:sz w:val="21"/>
        </w:rPr>
        <w:t xml:space="preserve">Versão: </w:t>
      </w:r>
      <w:r>
        <w:rPr>
          <w:rFonts w:ascii="Calibri" w:hAnsi="Calibri" w:eastAsia="Calibri"/>
          <w:color w:val="17212B"/>
          <w:sz w:val="21"/>
        </w:rPr>
        <w:t>0.1 - Especificação do MVP</w:t>
      </w:r>
    </w:p>
    <w:p>
      <w:pPr>
        <w:spacing w:before="0" w:after="40" w:line="252" w:lineRule="auto"/>
      </w:pPr>
      <w:r>
        <w:rPr>
          <w:rFonts w:ascii="Calibri" w:hAnsi="Calibri" w:eastAsia="Calibri"/>
          <w:b/>
          <w:color w:val="0B2545"/>
          <w:sz w:val="21"/>
        </w:rPr>
        <w:t xml:space="preserve">Status: </w:t>
      </w:r>
      <w:r>
        <w:rPr>
          <w:rFonts w:ascii="Calibri" w:hAnsi="Calibri" w:eastAsia="Calibri"/>
          <w:color w:val="17212B"/>
          <w:sz w:val="21"/>
        </w:rPr>
        <w:t>Base para descoberta, estimativa e implementação</w:t>
      </w:r>
    </w:p>
    <w:p>
      <w:pPr>
        <w:spacing w:before="0" w:after="40" w:line="252" w:lineRule="auto"/>
      </w:pPr>
      <w:r>
        <w:rPr>
          <w:rFonts w:ascii="Calibri" w:hAnsi="Calibri" w:eastAsia="Calibri"/>
          <w:b/>
          <w:color w:val="0B2545"/>
          <w:sz w:val="21"/>
        </w:rPr>
        <w:t xml:space="preserve">Data-base: </w:t>
      </w:r>
      <w:r>
        <w:rPr>
          <w:rFonts w:ascii="Calibri" w:hAnsi="Calibri" w:eastAsia="Calibri"/>
          <w:color w:val="17212B"/>
          <w:sz w:val="21"/>
        </w:rPr>
        <w:t>6 de setembro de 2026</w:t>
      </w:r>
    </w:p>
    <w:p>
      <w:pPr>
        <w:spacing w:before="0" w:after="40" w:line="252" w:lineRule="auto"/>
      </w:pPr>
      <w:r>
        <w:rPr>
          <w:rFonts w:ascii="Calibri" w:hAnsi="Calibri" w:eastAsia="Calibri"/>
          <w:b/>
          <w:color w:val="0B2545"/>
          <w:sz w:val="21"/>
        </w:rPr>
        <w:t xml:space="preserve">Público: </w:t>
      </w:r>
      <w:r>
        <w:rPr>
          <w:rFonts w:ascii="Calibri" w:hAnsi="Calibri" w:eastAsia="Calibri"/>
          <w:color w:val="17212B"/>
          <w:sz w:val="21"/>
        </w:rPr>
        <w:t>Produto, engenharia, segurança, operações e especialistas fiscais</w:t>
      </w:r>
    </w:p>
    <w:p>
      <w:pPr>
        <w:keepNext w:val="0"/>
        <w:spacing w:before="0" w:after="280" w:line="264" w:lineRule="auto"/>
        <w:jc w:val="left"/>
        <w:pBdr>
          <w:bottom w:val="single" w:sz="12" w:space="8" w:color="2E74B5"/>
        </w:pBdr>
      </w:pPr>
      <w:r>
        <w:rPr>
          <w:rFonts w:ascii="Calibri" w:hAnsi="Calibri" w:eastAsia="Calibri"/>
          <w:b w:val="0"/>
          <w:i w:val="0"/>
          <w:color w:val="17212B"/>
          <w:sz w:val="22"/>
        </w:rPr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150" w:type="dxa"/>
              <w:start w:w="190" w:type="dxa"/>
              <w:bottom w:w="150" w:type="dxa"/>
              <w:end w:w="190" w:type="dxa"/>
            </w:tcMar>
            <w:vAlign w:val="center"/>
            <w:shd w:fill="EEF4FA" w:val="clear"/>
            <w:tcBorders>
              <w:top w:val="nil" w:sz="0" w:space="0" w:color="EEF4FA"/>
              <w:start w:val="single" w:sz="24" w:space="0" w:color="2E74B5"/>
              <w:bottom w:val="nil" w:sz="0" w:space="0" w:color="EEF4FA"/>
              <w:end w:val="nil" w:sz="0" w:space="0" w:color="EEF4FA"/>
            </w:tcBorders>
          </w:tcPr>
          <w:p>
            <w:pPr>
              <w:spacing w:after="40" w:line="259" w:lineRule="auto"/>
            </w:pPr>
            <w:r>
              <w:rPr>
                <w:rFonts w:ascii="Calibri" w:hAnsi="Calibri" w:eastAsia="Calibri"/>
                <w:b/>
                <w:color w:val="2E74B5"/>
                <w:sz w:val="18"/>
              </w:rPr>
              <w:t xml:space="preserve">DECISÃO CENTRAL  </w:t>
            </w:r>
            <w:r>
              <w:rPr>
                <w:rFonts w:ascii="Calibri" w:hAnsi="Calibri" w:eastAsia="Calibri"/>
                <w:color w:val="17212B"/>
                <w:sz w:val="21"/>
              </w:rPr>
              <w:t>O MVP será Cloudflare-first, multi-tenant e orientado ao contador. Não custodiará certificados A1, não transmitirá obrigações ao Fisco e não incluirá o marketplace. Entregará arquivos e dossiês prontos para revisão e transmissão pelo usuário.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rPr>
          <w:rFonts w:ascii="Calibri" w:hAnsi="Calibri" w:eastAsia="Calibri"/>
          <w:b/>
          <w:color w:val="2E74B5"/>
          <w:sz w:val="32"/>
        </w:rPr>
        <w:t>Resumo executivo</w:t>
      </w:r>
    </w:p>
    <w:p>
      <w:pPr>
        <w:keepNext w:val="0"/>
        <w:spacing w:before="0" w:after="120" w:line="264" w:lineRule="auto"/>
        <w:jc w:val="left"/>
      </w:pPr>
      <w:r>
        <w:rPr>
          <w:rFonts w:ascii="Calibri" w:hAnsi="Calibri" w:eastAsia="Calibri"/>
          <w:b w:val="0"/>
          <w:i w:val="0"/>
          <w:color w:val="17212B"/>
          <w:sz w:val="22"/>
        </w:rPr>
        <w:t>A Plataforma Fiscal é um sistema operacional para escritórios contábeis administrarem, em um único ambiente, documentos fiscais de múltiplos clientes, cruzamentos de dados, inconsistências, oportunidades de crédito e evidências de conformidade. O produto transforma arquivos dispersos em processos rastreáveis e reproduzíveis, sem se apresentar como autoridade homologadora.</w:t>
      </w:r>
    </w:p>
    <w:p>
      <w:pPr>
        <w:keepNext w:val="0"/>
        <w:spacing w:before="0" w:after="120" w:line="264" w:lineRule="auto"/>
        <w:jc w:val="left"/>
      </w:pPr>
      <w:r>
        <w:rPr>
          <w:rFonts w:ascii="Calibri" w:hAnsi="Calibri" w:eastAsia="Calibri"/>
          <w:b w:val="0"/>
          <w:i w:val="0"/>
          <w:color w:val="17212B"/>
          <w:sz w:val="22"/>
        </w:rPr>
        <w:t>A primeira entrega prioriza um fluxo completo e seguro: cadastrar escritório e clientes; receber XML, EFD e arquivos auxiliares; preservar o original; normalizar os dados; executar regras versionadas; apresentar achados; registrar justificativas e correções; calcular oportunidades configuráveis; e gerar um dossiê exportável. O módulo piloto de crédito recomendado é CAT 42/SP, sem impedir a adição posterior de CAT 207/83, SISCRED/PR, DCA/MG e outros regimes.</w:t>
      </w:r>
    </w:p>
    <w:p>
      <w:r>
        <w:br w:type="page"/>
      </w:r>
    </w:p>
    <w:p>
      <w:pPr>
        <w:pStyle w:val="Heading2"/>
        <w:keepNext/>
      </w:pPr>
      <w:r>
        <w:rPr>
          <w:rFonts w:ascii="Calibri" w:hAnsi="Calibri" w:eastAsia="Calibri"/>
          <w:b/>
          <w:color w:val="2E74B5"/>
          <w:sz w:val="26"/>
        </w:rPr>
        <w:t>Objetivos mensuráveis do MVP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500"/>
        <w:gridCol w:w="3000"/>
        <w:gridCol w:w="3860"/>
      </w:tblGrid>
      <w:tr>
        <w:trPr>
          <w:tblHeader w:val="true"/>
          <w:cantSplit/>
        </w:trPr>
        <w:tc>
          <w:tcPr>
            <w:tcW w:type="dxa" w:w="2500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/>
                <w:color w:val="0B2545"/>
                <w:sz w:val="18"/>
              </w:rPr>
              <w:t>Objetivo</w:t>
            </w:r>
          </w:p>
        </w:tc>
        <w:tc>
          <w:tcPr>
            <w:tcW w:type="dxa" w:w="3000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/>
                <w:color w:val="0B2545"/>
                <w:sz w:val="18"/>
              </w:rPr>
              <w:t>Indicador inicial</w:t>
            </w:r>
          </w:p>
        </w:tc>
        <w:tc>
          <w:tcPr>
            <w:tcW w:type="dxa" w:w="3860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/>
                <w:color w:val="0B2545"/>
                <w:sz w:val="18"/>
              </w:rPr>
              <w:t>Critério de sucesso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8"/>
              </w:rPr>
              <w:t>Centralização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8"/>
              </w:rPr>
              <w:t>% de documentos do piloto indexados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8"/>
              </w:rPr>
              <w:t>&gt;= 99,5% dos arquivos aceitos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8"/>
              </w:rPr>
              <w:t>Qualidade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8"/>
              </w:rPr>
              <w:t>Achados reproduzíveis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8"/>
              </w:rPr>
              <w:t>100% vinculados à regra, versão e evidência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8"/>
              </w:rPr>
              <w:t>Produtividade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8"/>
              </w:rPr>
              <w:t>Tempo até o primeiro diagnóstico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8"/>
              </w:rPr>
              <w:t>Até 15 min para lote de referência de 10 mil XMLs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8"/>
              </w:rPr>
              <w:t>Segurança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8"/>
              </w:rPr>
              <w:t>Incidentes de isolamento entre clientes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8"/>
              </w:rPr>
              <w:t>Zero; teste automatizado obrigatório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8"/>
              </w:rPr>
              <w:t>Auditabilidade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8"/>
              </w:rPr>
              <w:t>Ações relevantes registradas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8"/>
              </w:rPr>
              <w:t>100% com usuário, horário, tenant e correlação</w:t>
            </w:r>
          </w:p>
        </w:tc>
      </w:tr>
    </w:tbl>
    <w:p>
      <w:pPr>
        <w:spacing w:after="60"/>
      </w:pPr>
    </w:p>
    <w:p>
      <w:pPr>
        <w:pStyle w:val="Heading2"/>
        <w:keepNext/>
      </w:pPr>
      <w:r>
        <w:rPr>
          <w:rFonts w:ascii="Calibri" w:hAnsi="Calibri" w:eastAsia="Calibri"/>
          <w:b/>
          <w:color w:val="2E74B5"/>
          <w:sz w:val="26"/>
        </w:rPr>
        <w:t>Como usar esta especificação</w:t>
      </w:r>
    </w:p>
    <w:p>
      <w:pPr>
        <w:keepNext w:val="0"/>
        <w:spacing w:before="0" w:after="120" w:line="264" w:lineRule="auto"/>
        <w:jc w:val="left"/>
      </w:pPr>
      <w:r>
        <w:rPr>
          <w:rFonts w:ascii="Calibri" w:hAnsi="Calibri" w:eastAsia="Calibri"/>
          <w:b w:val="0"/>
          <w:i w:val="0"/>
          <w:color w:val="17212B"/>
          <w:sz w:val="22"/>
        </w:rPr>
        <w:t>Este documento estabelece o contrato funcional e técnico do primeiro produto. Valores de volume, desempenho e disponibilidade são metas iniciais para teste, não garantias comerciais. Regras tributárias devem ser validadas e assinadas por especialista responsável antes de publicação em produção.</w:t>
      </w:r>
    </w:p>
    <w:p>
      <w:pPr>
        <w:pStyle w:val="ListBullet"/>
        <w:spacing w:after="60" w:line="280" w:lineRule="auto"/>
        <w:ind w:left="720" w:hanging="360"/>
      </w:pPr>
      <w:r>
        <w:rPr>
          <w:rFonts w:ascii="Calibri" w:hAnsi="Calibri" w:eastAsia="Calibri"/>
          <w:color w:val="17212B"/>
          <w:sz w:val="22"/>
        </w:rPr>
        <w:t>Seções 1 a 4: produto, escopo e arquitetura.</w:t>
      </w:r>
    </w:p>
    <w:p>
      <w:pPr>
        <w:pStyle w:val="ListBullet"/>
        <w:spacing w:after="60" w:line="280" w:lineRule="auto"/>
        <w:ind w:left="720" w:hanging="360"/>
      </w:pPr>
      <w:r>
        <w:rPr>
          <w:rFonts w:ascii="Calibri" w:hAnsi="Calibri" w:eastAsia="Calibri"/>
          <w:color w:val="17212B"/>
          <w:sz w:val="22"/>
        </w:rPr>
        <w:t>Seções 5 a 8: fluxos, regras, dados, APIs e eventos.</w:t>
      </w:r>
    </w:p>
    <w:p>
      <w:pPr>
        <w:pStyle w:val="ListBullet"/>
        <w:spacing w:after="60" w:line="280" w:lineRule="auto"/>
        <w:ind w:left="720" w:hanging="360"/>
      </w:pPr>
      <w:r>
        <w:rPr>
          <w:rFonts w:ascii="Calibri" w:hAnsi="Calibri" w:eastAsia="Calibri"/>
          <w:color w:val="17212B"/>
          <w:sz w:val="22"/>
        </w:rPr>
        <w:t>Seções 9 a 12: segurança, requisitos não funcionais, operação e testes.</w:t>
      </w:r>
    </w:p>
    <w:p>
      <w:pPr>
        <w:pStyle w:val="ListBullet"/>
        <w:spacing w:after="60" w:line="280" w:lineRule="auto"/>
        <w:ind w:left="720" w:hanging="360"/>
      </w:pPr>
      <w:r>
        <w:rPr>
          <w:rFonts w:ascii="Calibri" w:hAnsi="Calibri" w:eastAsia="Calibri"/>
          <w:color w:val="17212B"/>
          <w:sz w:val="22"/>
        </w:rPr>
        <w:t>Seções 13 a 15: aceite, fases e decisões pendentes.</w:t>
      </w:r>
    </w:p>
    <w:p>
      <w:pPr>
        <w:pStyle w:val="ListBullet"/>
        <w:spacing w:after="60" w:line="280" w:lineRule="auto"/>
        <w:ind w:left="720" w:hanging="360"/>
      </w:pPr>
      <w:r>
        <w:rPr>
          <w:rFonts w:ascii="Calibri" w:hAnsi="Calibri" w:eastAsia="Calibri"/>
          <w:color w:val="17212B"/>
          <w:sz w:val="22"/>
        </w:rPr>
        <w:t>Apêndices: matriz de requisitos, catálogo inicial de validações, glossário e referências.</w:t>
      </w:r>
    </w:p>
    <w:p>
      <w:r>
        <w:br w:type="page"/>
      </w:r>
    </w:p>
    <w:p>
      <w:pPr>
        <w:pStyle w:val="Heading1"/>
        <w:keepNext/>
      </w:pPr>
      <w:r>
        <w:rPr>
          <w:rFonts w:ascii="Calibri" w:hAnsi="Calibri" w:eastAsia="Calibri"/>
          <w:b/>
          <w:color w:val="2E74B5"/>
          <w:sz w:val="32"/>
        </w:rPr>
        <w:t>1. Definição do produto</w:t>
      </w:r>
    </w:p>
    <w:p>
      <w:pPr>
        <w:pStyle w:val="Heading2"/>
        <w:keepNext/>
      </w:pPr>
      <w:r>
        <w:rPr>
          <w:rFonts w:ascii="Calibri" w:hAnsi="Calibri" w:eastAsia="Calibri"/>
          <w:b/>
          <w:color w:val="2E74B5"/>
          <w:sz w:val="26"/>
        </w:rPr>
        <w:t>1.1 Problema</w:t>
      </w:r>
    </w:p>
    <w:p>
      <w:pPr>
        <w:keepNext w:val="0"/>
        <w:spacing w:before="0" w:after="120" w:line="264" w:lineRule="auto"/>
        <w:jc w:val="left"/>
      </w:pPr>
      <w:r>
        <w:rPr>
          <w:rFonts w:ascii="Calibri" w:hAnsi="Calibri" w:eastAsia="Calibri"/>
          <w:b w:val="0"/>
          <w:i w:val="0"/>
          <w:color w:val="17212B"/>
          <w:sz w:val="22"/>
        </w:rPr>
        <w:t>Escritórios contábeis recebem documentos por canais diferentes, operam diversos ERPs e dependem de conferências manuais para reconciliar obrigações. Erros, arquivos faltantes e critérios tributários sem rastreabilidade elevam o retrabalho e tornam difícil demonstrar por que um crédito ou inconsistência foi apontado.</w:t>
      </w:r>
    </w:p>
    <w:p>
      <w:pPr>
        <w:pStyle w:val="Heading2"/>
        <w:keepNext/>
      </w:pPr>
      <w:r>
        <w:rPr>
          <w:rFonts w:ascii="Calibri" w:hAnsi="Calibri" w:eastAsia="Calibri"/>
          <w:b/>
          <w:color w:val="2E74B5"/>
          <w:sz w:val="26"/>
        </w:rPr>
        <w:t>1.2 Proposta de valor</w:t>
      </w:r>
    </w:p>
    <w:p>
      <w:pPr>
        <w:keepNext w:val="0"/>
        <w:spacing w:before="0" w:after="120" w:line="264" w:lineRule="auto"/>
        <w:jc w:val="left"/>
      </w:pPr>
      <w:r>
        <w:rPr>
          <w:rFonts w:ascii="Calibri" w:hAnsi="Calibri" w:eastAsia="Calibri"/>
          <w:b w:val="0"/>
          <w:i w:val="0"/>
          <w:color w:val="17212B"/>
          <w:sz w:val="22"/>
        </w:rPr>
        <w:t>Fornecer ao contador uma visão multiempresa do ciclo documental e fiscal, com automação determinística, evidência acessível e fluxo de revisão humana. O produto deve reduzir o tempo gasto em coleta e conferência, sem substituir o julgamento profissional do contador.</w:t>
      </w:r>
    </w:p>
    <w:p>
      <w:pPr>
        <w:pStyle w:val="Heading2"/>
        <w:keepNext/>
      </w:pPr>
      <w:r>
        <w:rPr>
          <w:rFonts w:ascii="Calibri" w:hAnsi="Calibri" w:eastAsia="Calibri"/>
          <w:b/>
          <w:color w:val="2E74B5"/>
          <w:sz w:val="26"/>
        </w:rPr>
        <w:t>1.3 Usuários e papéis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850"/>
        <w:gridCol w:w="3300"/>
        <w:gridCol w:w="4210"/>
      </w:tblGrid>
      <w:tr>
        <w:trPr>
          <w:tblHeader w:val="true"/>
          <w:cantSplit/>
        </w:trPr>
        <w:tc>
          <w:tcPr>
            <w:tcW w:type="dxa" w:w="1850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/>
                <w:color w:val="0B2545"/>
                <w:sz w:val="18"/>
              </w:rPr>
              <w:t>Papel</w:t>
            </w:r>
          </w:p>
        </w:tc>
        <w:tc>
          <w:tcPr>
            <w:tcW w:type="dxa" w:w="3300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/>
                <w:color w:val="0B2545"/>
                <w:sz w:val="18"/>
              </w:rPr>
              <w:t>Responsabilidade principal</w:t>
            </w:r>
          </w:p>
        </w:tc>
        <w:tc>
          <w:tcPr>
            <w:tcW w:type="dxa" w:w="4210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/>
                <w:color w:val="0B2545"/>
                <w:sz w:val="18"/>
              </w:rPr>
              <w:t>Acesso esperado</w:t>
            </w:r>
          </w:p>
        </w:tc>
      </w:tr>
      <w:tr>
        <w:trPr>
          <w:cantSplit/>
        </w:trPr>
        <w:tc>
          <w:tcPr>
            <w:tcW w:type="dxa" w:w="1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8"/>
              </w:rPr>
              <w:t>Administrador do escritório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8"/>
              </w:rPr>
              <w:t>Configurar organização, usuários e políticas</w:t>
            </w:r>
          </w:p>
        </w:tc>
        <w:tc>
          <w:tcPr>
            <w:tcW w:type="dxa" w:w="42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8"/>
              </w:rPr>
              <w:t>Todos os clientes do escritório; sem acesso técnico a outros tenants</w:t>
            </w:r>
          </w:p>
        </w:tc>
      </w:tr>
      <w:tr>
        <w:trPr>
          <w:cantSplit/>
        </w:trPr>
        <w:tc>
          <w:tcPr>
            <w:tcW w:type="dxa" w:w="1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8"/>
              </w:rPr>
              <w:t>Supervisor fiscal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8"/>
              </w:rPr>
              <w:t>Revisar achados, aprovar regras e dossiês</w:t>
            </w:r>
          </w:p>
        </w:tc>
        <w:tc>
          <w:tcPr>
            <w:tcW w:type="dxa" w:w="42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8"/>
              </w:rPr>
              <w:t>Clientes e equipes sob sua responsabilidade</w:t>
            </w:r>
          </w:p>
        </w:tc>
      </w:tr>
      <w:tr>
        <w:trPr>
          <w:cantSplit/>
        </w:trPr>
        <w:tc>
          <w:tcPr>
            <w:tcW w:type="dxa" w:w="1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8"/>
              </w:rPr>
              <w:t>Analista/contador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8"/>
              </w:rPr>
              <w:t>Carregar arquivos, tratar pendências e gerar relatórios</w:t>
            </w:r>
          </w:p>
        </w:tc>
        <w:tc>
          <w:tcPr>
            <w:tcW w:type="dxa" w:w="42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8"/>
              </w:rPr>
              <w:t>Clientes atribuídos</w:t>
            </w:r>
          </w:p>
        </w:tc>
      </w:tr>
      <w:tr>
        <w:trPr>
          <w:cantSplit/>
        </w:trPr>
        <w:tc>
          <w:tcPr>
            <w:tcW w:type="dxa" w:w="1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8"/>
              </w:rPr>
              <w:t>Cliente aprovador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8"/>
              </w:rPr>
              <w:t>Enviar documentos e aprovar declarações/dossiês</w:t>
            </w:r>
          </w:p>
        </w:tc>
        <w:tc>
          <w:tcPr>
            <w:tcW w:type="dxa" w:w="42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8"/>
              </w:rPr>
              <w:t>Somente seus CNPJs</w:t>
            </w:r>
          </w:p>
        </w:tc>
      </w:tr>
      <w:tr>
        <w:trPr>
          <w:cantSplit/>
        </w:trPr>
        <w:tc>
          <w:tcPr>
            <w:tcW w:type="dxa" w:w="1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8"/>
              </w:rPr>
              <w:t>Auditor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8"/>
              </w:rPr>
              <w:t>Consultar evidências e trilha</w:t>
            </w:r>
          </w:p>
        </w:tc>
        <w:tc>
          <w:tcPr>
            <w:tcW w:type="dxa" w:w="42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8"/>
              </w:rPr>
              <w:t>Leitura, escopo e prazo definidos</w:t>
            </w:r>
          </w:p>
        </w:tc>
      </w:tr>
      <w:tr>
        <w:trPr>
          <w:cantSplit/>
        </w:trPr>
        <w:tc>
          <w:tcPr>
            <w:tcW w:type="dxa" w:w="1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8"/>
              </w:rPr>
              <w:t>Suporte interno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8"/>
              </w:rPr>
              <w:t>Diagnosticar falhas técnicas</w:t>
            </w:r>
          </w:p>
        </w:tc>
        <w:tc>
          <w:tcPr>
            <w:tcW w:type="dxa" w:w="42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8"/>
              </w:rPr>
              <w:t>Acesso temporário, aprovado e auditado; conteúdo oculto por padrão</w:t>
            </w:r>
          </w:p>
        </w:tc>
      </w:tr>
    </w:tbl>
    <w:p>
      <w:pPr>
        <w:spacing w:after="60"/>
      </w:pPr>
    </w:p>
    <w:p>
      <w:pPr>
        <w:pStyle w:val="Heading2"/>
        <w:keepNext/>
      </w:pPr>
      <w:r>
        <w:rPr>
          <w:rFonts w:ascii="Calibri" w:hAnsi="Calibri" w:eastAsia="Calibri"/>
          <w:b/>
          <w:color w:val="2E74B5"/>
          <w:sz w:val="26"/>
        </w:rPr>
        <w:t>1.4 Modelo de tenancy</w:t>
      </w:r>
    </w:p>
    <w:p>
      <w:pPr>
        <w:keepNext w:val="0"/>
        <w:spacing w:before="0" w:after="120" w:line="264" w:lineRule="auto"/>
        <w:jc w:val="left"/>
      </w:pPr>
      <w:r>
        <w:rPr>
          <w:rFonts w:ascii="Calibri" w:hAnsi="Calibri" w:eastAsia="Calibri"/>
          <w:b w:val="0"/>
          <w:i w:val="0"/>
          <w:color w:val="17212B"/>
          <w:sz w:val="22"/>
        </w:rPr>
        <w:t>Cada escritório contábil é uma organização (tenant). Um tenant possui usuários, clientes, estabelecimentos e políticas próprias. Uma pessoa pode participar de mais de um tenant, mas deve selecionar explicitamente o contexto ativo. O tenant nunca será aceito apenas como parâmetro fornecido pelo navegador; será derivado da sessão e validado no servidor.</w:t>
      </w:r>
    </w:p>
    <w:p>
      <w:r>
        <w:br w:type="page"/>
      </w:r>
    </w:p>
    <w:p>
      <w:pPr>
        <w:pStyle w:val="Heading1"/>
        <w:keepNext/>
      </w:pPr>
      <w:r>
        <w:rPr>
          <w:rFonts w:ascii="Calibri" w:hAnsi="Calibri" w:eastAsia="Calibri"/>
          <w:b/>
          <w:color w:val="2E74B5"/>
          <w:sz w:val="32"/>
        </w:rPr>
        <w:t>2. Escopo do MVP</w:t>
      </w:r>
    </w:p>
    <w:p>
      <w:pPr>
        <w:pStyle w:val="Heading2"/>
        <w:keepNext/>
      </w:pPr>
      <w:r>
        <w:rPr>
          <w:rFonts w:ascii="Calibri" w:hAnsi="Calibri" w:eastAsia="Calibri"/>
          <w:b/>
          <w:color w:val="2E74B5"/>
          <w:sz w:val="26"/>
        </w:rPr>
        <w:t>2.1 Incluído</w:t>
      </w:r>
    </w:p>
    <w:p>
      <w:pPr>
        <w:pStyle w:val="ListBullet"/>
        <w:spacing w:after="100" w:line="280" w:lineRule="auto"/>
        <w:ind w:left="720" w:hanging="360"/>
      </w:pPr>
      <w:r>
        <w:rPr>
          <w:rFonts w:ascii="Calibri" w:hAnsi="Calibri" w:eastAsia="Calibri"/>
          <w:color w:val="17212B"/>
          <w:sz w:val="22"/>
        </w:rPr>
        <w:t>Cadastro de escritório, usuários, clientes, CNPJs, estabelecimentos, competências e responsáveis.</w:t>
      </w:r>
    </w:p>
    <w:p>
      <w:pPr>
        <w:pStyle w:val="ListBullet"/>
        <w:spacing w:after="100" w:line="280" w:lineRule="auto"/>
        <w:ind w:left="720" w:hanging="360"/>
      </w:pPr>
      <w:r>
        <w:rPr>
          <w:rFonts w:ascii="Calibri" w:hAnsi="Calibri" w:eastAsia="Calibri"/>
          <w:color w:val="17212B"/>
          <w:sz w:val="22"/>
        </w:rPr>
        <w:t>Autenticação corporativa, controle de acesso por papel e escopo de cliente.</w:t>
      </w:r>
    </w:p>
    <w:p>
      <w:pPr>
        <w:pStyle w:val="ListBullet"/>
        <w:spacing w:after="100" w:line="280" w:lineRule="auto"/>
        <w:ind w:left="720" w:hanging="360"/>
      </w:pPr>
      <w:r>
        <w:rPr>
          <w:rFonts w:ascii="Calibri" w:hAnsi="Calibri" w:eastAsia="Calibri"/>
          <w:color w:val="17212B"/>
          <w:sz w:val="22"/>
        </w:rPr>
        <w:t>Upload direto e retomável de XML, TXT, ZIP, CSV e PDF, com quarentena e hash SHA-256.</w:t>
      </w:r>
    </w:p>
    <w:p>
      <w:pPr>
        <w:pStyle w:val="ListBullet"/>
        <w:spacing w:after="100" w:line="280" w:lineRule="auto"/>
        <w:ind w:left="720" w:hanging="360"/>
      </w:pPr>
      <w:r>
        <w:rPr>
          <w:rFonts w:ascii="Calibri" w:hAnsi="Calibri" w:eastAsia="Calibri"/>
          <w:color w:val="17212B"/>
          <w:sz w:val="22"/>
        </w:rPr>
        <w:t>Leitura inicial de XML de NF-e; CT-e e MDF-e como formatos extensíveis; importação de EFD ICMS/IPI e arquivos auxiliares definidos no piloto.</w:t>
      </w:r>
    </w:p>
    <w:p>
      <w:pPr>
        <w:pStyle w:val="ListBullet"/>
        <w:spacing w:after="100" w:line="280" w:lineRule="auto"/>
        <w:ind w:left="720" w:hanging="360"/>
      </w:pPr>
      <w:r>
        <w:rPr>
          <w:rFonts w:ascii="Calibri" w:hAnsi="Calibri" w:eastAsia="Calibri"/>
          <w:color w:val="17212B"/>
          <w:sz w:val="22"/>
        </w:rPr>
        <w:t>Normalização, deduplicação, reconciliação e execução de regras versionadas.</w:t>
      </w:r>
    </w:p>
    <w:p>
      <w:pPr>
        <w:pStyle w:val="ListBullet"/>
        <w:spacing w:after="100" w:line="280" w:lineRule="auto"/>
        <w:ind w:left="720" w:hanging="360"/>
      </w:pPr>
      <w:r>
        <w:rPr>
          <w:rFonts w:ascii="Calibri" w:hAnsi="Calibri" w:eastAsia="Calibri"/>
          <w:color w:val="17212B"/>
          <w:sz w:val="22"/>
        </w:rPr>
        <w:t>Fila de achados com severidade, evidência, responsável, prazo, comentários e resolução.</w:t>
      </w:r>
    </w:p>
    <w:p>
      <w:pPr>
        <w:pStyle w:val="ListBullet"/>
        <w:spacing w:after="100" w:line="280" w:lineRule="auto"/>
        <w:ind w:left="720" w:hanging="360"/>
      </w:pPr>
      <w:r>
        <w:rPr>
          <w:rFonts w:ascii="Calibri" w:hAnsi="Calibri" w:eastAsia="Calibri"/>
          <w:color w:val="17212B"/>
          <w:sz w:val="22"/>
        </w:rPr>
        <w:t>Cálculo configurável de oportunidades e módulo piloto CAT 42/SP, sujeito a validação fiscal.</w:t>
      </w:r>
    </w:p>
    <w:p>
      <w:pPr>
        <w:pStyle w:val="ListBullet"/>
        <w:spacing w:after="100" w:line="280" w:lineRule="auto"/>
        <w:ind w:left="720" w:hanging="360"/>
      </w:pPr>
      <w:r>
        <w:rPr>
          <w:rFonts w:ascii="Calibri" w:hAnsi="Calibri" w:eastAsia="Calibri"/>
          <w:color w:val="17212B"/>
          <w:sz w:val="22"/>
        </w:rPr>
        <w:t>Geração de relatório executivo, relatório técnico, pacote de evidências e arquivo fiscal quando a regra do módulo permitir.</w:t>
      </w:r>
    </w:p>
    <w:p>
      <w:pPr>
        <w:pStyle w:val="ListBullet"/>
        <w:spacing w:after="100" w:line="280" w:lineRule="auto"/>
        <w:ind w:left="720" w:hanging="360"/>
      </w:pPr>
      <w:r>
        <w:rPr>
          <w:rFonts w:ascii="Calibri" w:hAnsi="Calibri" w:eastAsia="Calibri"/>
          <w:color w:val="17212B"/>
          <w:sz w:val="22"/>
        </w:rPr>
        <w:t>Notificações in-app e por e-mail; trilha de auditoria e painel operacional.</w:t>
      </w:r>
    </w:p>
    <w:p>
      <w:pPr>
        <w:pStyle w:val="ListBullet"/>
        <w:spacing w:after="100" w:line="280" w:lineRule="auto"/>
        <w:ind w:left="720" w:hanging="360"/>
      </w:pPr>
      <w:r>
        <w:rPr>
          <w:rFonts w:ascii="Calibri" w:hAnsi="Calibri" w:eastAsia="Calibri"/>
          <w:color w:val="17212B"/>
          <w:sz w:val="22"/>
        </w:rPr>
        <w:t>APIs e eventos para futuras integrações com ERP, mensageria e marketplace.</w:t>
      </w:r>
    </w:p>
    <w:p>
      <w:pPr>
        <w:pStyle w:val="Heading2"/>
        <w:keepNext/>
      </w:pPr>
      <w:r>
        <w:rPr>
          <w:rFonts w:ascii="Calibri" w:hAnsi="Calibri" w:eastAsia="Calibri"/>
          <w:b/>
          <w:color w:val="2E74B5"/>
          <w:sz w:val="26"/>
        </w:rPr>
        <w:t>2.2 Fora do MVP</w:t>
      </w:r>
    </w:p>
    <w:p>
      <w:pPr>
        <w:pStyle w:val="ListBullet"/>
        <w:spacing w:after="100" w:line="280" w:lineRule="auto"/>
        <w:ind w:left="720" w:hanging="360"/>
      </w:pPr>
      <w:r>
        <w:rPr>
          <w:rFonts w:ascii="Calibri" w:hAnsi="Calibri" w:eastAsia="Calibri"/>
          <w:color w:val="17212B"/>
          <w:sz w:val="22"/>
        </w:rPr>
        <w:t>Custódia, renovação ou uso automático de certificado digital A1/A3.</w:t>
      </w:r>
    </w:p>
    <w:p>
      <w:pPr>
        <w:pStyle w:val="ListBullet"/>
        <w:spacing w:after="100" w:line="280" w:lineRule="auto"/>
        <w:ind w:left="720" w:hanging="360"/>
      </w:pPr>
      <w:r>
        <w:rPr>
          <w:rFonts w:ascii="Calibri" w:hAnsi="Calibri" w:eastAsia="Calibri"/>
          <w:color w:val="17212B"/>
          <w:sz w:val="22"/>
        </w:rPr>
        <w:t>Emissão de NF-e/CT-e/MDF-e/NFS-e ou transmissão automática à SEFAZ.</w:t>
      </w:r>
    </w:p>
    <w:p>
      <w:pPr>
        <w:pStyle w:val="ListBullet"/>
        <w:spacing w:after="100" w:line="280" w:lineRule="auto"/>
        <w:ind w:left="720" w:hanging="360"/>
      </w:pPr>
      <w:r>
        <w:rPr>
          <w:rFonts w:ascii="Calibri" w:hAnsi="Calibri" w:eastAsia="Calibri"/>
          <w:color w:val="17212B"/>
          <w:sz w:val="22"/>
        </w:rPr>
        <w:t>Protocolo automático em portais sem API pública e automação por captura de tela.</w:t>
      </w:r>
    </w:p>
    <w:p>
      <w:pPr>
        <w:pStyle w:val="ListBullet"/>
        <w:spacing w:after="100" w:line="280" w:lineRule="auto"/>
        <w:ind w:left="720" w:hanging="360"/>
      </w:pPr>
      <w:r>
        <w:rPr>
          <w:rFonts w:ascii="Calibri" w:hAnsi="Calibri" w:eastAsia="Calibri"/>
          <w:color w:val="17212B"/>
          <w:sz w:val="22"/>
        </w:rPr>
        <w:t>Declaração de homologação oficial de crédito; a plataforma só registra status e evidências informados ou recebidos de fonte autorizada.</w:t>
      </w:r>
    </w:p>
    <w:p>
      <w:pPr>
        <w:pStyle w:val="ListBullet"/>
        <w:spacing w:after="100" w:line="280" w:lineRule="auto"/>
        <w:ind w:left="720" w:hanging="360"/>
      </w:pPr>
      <w:r>
        <w:rPr>
          <w:rFonts w:ascii="Calibri" w:hAnsi="Calibri" w:eastAsia="Calibri"/>
          <w:color w:val="17212B"/>
          <w:sz w:val="22"/>
        </w:rPr>
        <w:t>Marketplace, negociação, contratos de cessão, custódia financeira ou liquidação de créditos.</w:t>
      </w:r>
    </w:p>
    <w:p>
      <w:pPr>
        <w:pStyle w:val="ListBullet"/>
        <w:spacing w:after="100" w:line="280" w:lineRule="auto"/>
        <w:ind w:left="720" w:hanging="360"/>
      </w:pPr>
      <w:r>
        <w:rPr>
          <w:rFonts w:ascii="Calibri" w:hAnsi="Calibri" w:eastAsia="Calibri"/>
          <w:color w:val="17212B"/>
          <w:sz w:val="22"/>
        </w:rPr>
        <w:t>Alteração automática de obrigações do cliente sem revisão e aprovação humana.</w:t>
      </w:r>
    </w:p>
    <w:p>
      <w:pPr>
        <w:pStyle w:val="ListBullet"/>
        <w:spacing w:after="100" w:line="280" w:lineRule="auto"/>
        <w:ind w:left="720" w:hanging="360"/>
      </w:pPr>
      <w:r>
        <w:rPr>
          <w:rFonts w:ascii="Calibri" w:hAnsi="Calibri" w:eastAsia="Calibri"/>
          <w:color w:val="17212B"/>
          <w:sz w:val="22"/>
        </w:rPr>
        <w:t>Consultoria jurídica ou parecer tributário automatizado.</w:t>
      </w:r>
    </w:p>
    <w:p>
      <w:pPr>
        <w:pStyle w:val="ListBullet"/>
        <w:spacing w:after="100" w:line="280" w:lineRule="auto"/>
        <w:ind w:left="720" w:hanging="360"/>
      </w:pPr>
      <w:r>
        <w:rPr>
          <w:rFonts w:ascii="Calibri" w:hAnsi="Calibri" w:eastAsia="Calibri"/>
          <w:color w:val="17212B"/>
          <w:sz w:val="22"/>
        </w:rPr>
        <w:t>Cobertura completa de todos os estados e regimes na primeira liberação.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150" w:type="dxa"/>
              <w:start w:w="190" w:type="dxa"/>
              <w:bottom w:w="150" w:type="dxa"/>
              <w:end w:w="190" w:type="dxa"/>
            </w:tcMar>
            <w:vAlign w:val="center"/>
            <w:shd w:fill="FFF8E8" w:val="clear"/>
            <w:tcBorders>
              <w:top w:val="nil" w:sz="0" w:space="0" w:color="FFF8E8"/>
              <w:start w:val="single" w:sz="24" w:space="0" w:color="7A5A00"/>
              <w:bottom w:val="nil" w:sz="0" w:space="0" w:color="FFF8E8"/>
              <w:end w:val="nil" w:sz="0" w:space="0" w:color="FFF8E8"/>
            </w:tcBorders>
          </w:tcPr>
          <w:p>
            <w:pPr>
              <w:spacing w:after="40" w:line="259" w:lineRule="auto"/>
            </w:pPr>
            <w:r>
              <w:rPr>
                <w:rFonts w:ascii="Calibri" w:hAnsi="Calibri" w:eastAsia="Calibri"/>
                <w:b/>
                <w:color w:val="7A5A00"/>
                <w:sz w:val="18"/>
              </w:rPr>
              <w:t xml:space="preserve">FRONTEIRA DO PRODUTO  </w:t>
            </w:r>
            <w:r>
              <w:rPr>
                <w:rFonts w:ascii="Calibri" w:hAnsi="Calibri" w:eastAsia="Calibri"/>
                <w:color w:val="17212B"/>
                <w:sz w:val="21"/>
              </w:rPr>
              <w:t>A Plataforma Fiscal prepara e demonstra. O contador decide e transmite. O Fisco recebe e homologa. A futura bolsa negocia apenas ativos elegíveis segundo suas próprias políticas.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Calibri" w:hAnsi="Calibri" w:eastAsia="Calibri"/>
          <w:b/>
          <w:color w:val="2E74B5"/>
          <w:sz w:val="26"/>
        </w:rPr>
        <w:t>2.3 Perfil de carga para dimensionamento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3000"/>
        <w:gridCol w:w="4160"/>
      </w:tblGrid>
      <w:tr>
        <w:trPr>
          <w:tblHeader w:val="true"/>
          <w:cantSplit/>
        </w:trPr>
        <w:tc>
          <w:tcPr>
            <w:tcW w:type="dxa" w:w="2200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/>
                <w:color w:val="0B2545"/>
                <w:sz w:val="18"/>
              </w:rPr>
              <w:t>Dimensão</w:t>
            </w:r>
          </w:p>
        </w:tc>
        <w:tc>
          <w:tcPr>
            <w:tcW w:type="dxa" w:w="3000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/>
                <w:color w:val="0B2545"/>
                <w:sz w:val="18"/>
              </w:rPr>
              <w:t>Hipótese do piloto</w:t>
            </w:r>
          </w:p>
        </w:tc>
        <w:tc>
          <w:tcPr>
            <w:tcW w:type="dxa" w:w="4160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/>
                <w:color w:val="0B2545"/>
                <w:sz w:val="18"/>
              </w:rPr>
              <w:t>Uso no projeto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8"/>
              </w:rPr>
              <w:t>Escritórios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8"/>
              </w:rPr>
              <w:t>Até 100 tenants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8"/>
              </w:rPr>
              <w:t>Isolamento, administração e faturamento futuro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8"/>
              </w:rPr>
              <w:t>CNPJs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8"/>
              </w:rPr>
              <w:t>Até 5.000 estabelecimentos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8"/>
              </w:rPr>
              <w:t>Particionamento e autorização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8"/>
              </w:rPr>
              <w:t>Documentos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8"/>
              </w:rPr>
              <w:t>Até 1 milhão de XMLs/mês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8"/>
              </w:rPr>
              <w:t>Filas, custos e throughput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8"/>
              </w:rPr>
              <w:t>Usuários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8"/>
              </w:rPr>
              <w:t>Até 50 concorrentes; 1.000 cadastrados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8"/>
              </w:rPr>
              <w:t>Sessão e testes de carga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8"/>
              </w:rPr>
              <w:t>Arquivo individual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8"/>
              </w:rPr>
              <w:t>XML até 25 MB; EFD/ZIP até 2 GB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8"/>
              </w:rPr>
              <w:t>Upload multipart e Containers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8"/>
              </w:rPr>
              <w:t>Lote de referência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8"/>
              </w:rPr>
              <w:t>10 mil XMLs ou 1 GB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8"/>
              </w:rPr>
              <w:t>Meta inicial de processamento</w:t>
            </w:r>
          </w:p>
        </w:tc>
      </w:tr>
    </w:tbl>
    <w:p>
      <w:pPr>
        <w:spacing w:after="60"/>
      </w:pPr>
    </w:p>
    <w:p>
      <w:pPr>
        <w:pStyle w:val="Heading1"/>
        <w:keepNext/>
      </w:pPr>
      <w:r>
        <w:rPr>
          <w:rFonts w:ascii="Calibri" w:hAnsi="Calibri" w:eastAsia="Calibri"/>
          <w:b/>
          <w:color w:val="2E74B5"/>
          <w:sz w:val="32"/>
        </w:rPr>
        <w:t>3. Princípios e premissas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00"/>
        <w:gridCol w:w="2100"/>
        <w:gridCol w:w="6360"/>
      </w:tblGrid>
      <w:tr>
        <w:trPr>
          <w:tblHeader w:val="true"/>
          <w:cantSplit/>
        </w:trPr>
        <w:tc>
          <w:tcPr>
            <w:tcW w:type="dxa" w:w="900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/>
                <w:color w:val="0B2545"/>
                <w:sz w:val="18"/>
              </w:rPr>
              <w:t>ID</w:t>
            </w:r>
          </w:p>
        </w:tc>
        <w:tc>
          <w:tcPr>
            <w:tcW w:type="dxa" w:w="2100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/>
                <w:color w:val="0B2545"/>
                <w:sz w:val="18"/>
              </w:rPr>
              <w:t>Princípio</w:t>
            </w:r>
          </w:p>
        </w:tc>
        <w:tc>
          <w:tcPr>
            <w:tcW w:type="dxa" w:w="6360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/>
                <w:color w:val="0B2545"/>
                <w:sz w:val="18"/>
              </w:rPr>
              <w:t>Aplicação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8"/>
              </w:rPr>
              <w:t>P-01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8"/>
              </w:rPr>
              <w:t>Original imutável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8"/>
              </w:rPr>
              <w:t>Todo arquivo recebido é preservado com hash, origem e carimbo de tempo. Correções geram nova versão.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8"/>
              </w:rPr>
              <w:t>P-02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8"/>
              </w:rPr>
              <w:t>Processamento assíncrono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8"/>
              </w:rPr>
              <w:t>Uploads apenas confirmam recebimento; parsing, regras e relatórios são executados por filas e workflows.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8"/>
              </w:rPr>
              <w:t>P-03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8"/>
              </w:rPr>
              <w:t>Idempotência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8"/>
              </w:rPr>
              <w:t>Repetir uma mensagem ou requisição não pode duplicar documento, achado, cálculo ou dossiê.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8"/>
              </w:rPr>
              <w:t>P-04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8"/>
              </w:rPr>
              <w:t>Reprodutibilidade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8"/>
              </w:rPr>
              <w:t>Um resultado referencia o conjunto de entrada, a regra, a versão e os parâmetros usados.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8"/>
              </w:rPr>
              <w:t>P-05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8"/>
              </w:rPr>
              <w:t>Humano no circuito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8"/>
              </w:rPr>
              <w:t>Achados críticos e oportunidades exigem revisão antes de exportação final.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8"/>
              </w:rPr>
              <w:t>P-06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8"/>
              </w:rPr>
              <w:t>Menor privilégio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8"/>
              </w:rPr>
              <w:t>Acesso é concedido pelo mínimo necessário, com expiração para exceções.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8"/>
              </w:rPr>
              <w:t>P-07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8"/>
              </w:rPr>
              <w:t>Regras como produto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8"/>
              </w:rPr>
              <w:t>Conteúdo tributário tem ciclo de rascunho, revisão, aprovação, vigência e desativação.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8"/>
              </w:rPr>
              <w:t>P-08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8"/>
              </w:rPr>
              <w:t>Portabilidade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8"/>
              </w:rPr>
              <w:t>Dados e evidências podem ser exportados em formatos abertos; integrações são encapsuladas.</w:t>
            </w:r>
          </w:p>
        </w:tc>
      </w:tr>
    </w:tbl>
    <w:p>
      <w:pPr>
        <w:spacing w:after="60"/>
      </w:pPr>
    </w:p>
    <w:p>
      <w:pPr>
        <w:pStyle w:val="Heading2"/>
        <w:keepNext/>
      </w:pPr>
      <w:r>
        <w:rPr>
          <w:rFonts w:ascii="Calibri" w:hAnsi="Calibri" w:eastAsia="Calibri"/>
          <w:b/>
          <w:color w:val="2E74B5"/>
          <w:sz w:val="26"/>
        </w:rPr>
        <w:t>3.1 Premissas de domínio</w:t>
      </w:r>
    </w:p>
    <w:p>
      <w:pPr>
        <w:pStyle w:val="ListBullet"/>
        <w:spacing w:after="100" w:line="280" w:lineRule="auto"/>
        <w:ind w:left="720" w:hanging="360"/>
      </w:pPr>
      <w:r>
        <w:rPr>
          <w:rFonts w:ascii="Calibri" w:hAnsi="Calibri" w:eastAsia="Calibri"/>
          <w:color w:val="17212B"/>
          <w:sz w:val="22"/>
        </w:rPr>
        <w:t>Idioma inicial: português do Brasil; moeda: BRL; datas persistidas em UTC e exibidas no fuso do tenant.</w:t>
      </w:r>
    </w:p>
    <w:p>
      <w:pPr>
        <w:pStyle w:val="ListBullet"/>
        <w:spacing w:after="100" w:line="280" w:lineRule="auto"/>
        <w:ind w:left="720" w:hanging="360"/>
      </w:pPr>
      <w:r>
        <w:rPr>
          <w:rFonts w:ascii="Calibri" w:hAnsi="Calibri" w:eastAsia="Calibri"/>
          <w:color w:val="17212B"/>
          <w:sz w:val="22"/>
        </w:rPr>
        <w:t>CNPJ é identificador de estabelecimento, mas não substitui uma chave interna estável.</w:t>
      </w:r>
    </w:p>
    <w:p>
      <w:pPr>
        <w:pStyle w:val="ListBullet"/>
        <w:spacing w:after="100" w:line="280" w:lineRule="auto"/>
        <w:ind w:left="720" w:hanging="360"/>
      </w:pPr>
      <w:r>
        <w:rPr>
          <w:rFonts w:ascii="Calibri" w:hAnsi="Calibri" w:eastAsia="Calibri"/>
          <w:color w:val="17212B"/>
          <w:sz w:val="22"/>
        </w:rPr>
        <w:t>Competência fiscal é uma entidade explícita e pode ter estado próprio de fechamento.</w:t>
      </w:r>
    </w:p>
    <w:p>
      <w:pPr>
        <w:pStyle w:val="ListBullet"/>
        <w:spacing w:after="100" w:line="280" w:lineRule="auto"/>
        <w:ind w:left="720" w:hanging="360"/>
      </w:pPr>
      <w:r>
        <w:rPr>
          <w:rFonts w:ascii="Calibri" w:hAnsi="Calibri" w:eastAsia="Calibri"/>
          <w:color w:val="17212B"/>
          <w:sz w:val="22"/>
        </w:rPr>
        <w:t>GIA e outros artefatos serão tratados como aplicáveis apenas quando exigidos pelo contexto do cliente e período.</w:t>
      </w:r>
    </w:p>
    <w:p>
      <w:pPr>
        <w:pStyle w:val="ListBullet"/>
        <w:spacing w:after="100" w:line="280" w:lineRule="auto"/>
        <w:ind w:left="720" w:hanging="360"/>
      </w:pPr>
      <w:r>
        <w:rPr>
          <w:rFonts w:ascii="Calibri" w:hAnsi="Calibri" w:eastAsia="Calibri"/>
          <w:color w:val="17212B"/>
          <w:sz w:val="22"/>
        </w:rPr>
        <w:t>A plataforma apresentará 'oportunidade estimada', 'processo preparado' e 'status informado'; nunca 'crédito homologado pela plataforma'.</w:t>
      </w:r>
    </w:p>
    <w:p>
      <w:pPr>
        <w:pStyle w:val="ListBullet"/>
        <w:spacing w:after="100" w:line="280" w:lineRule="auto"/>
        <w:ind w:left="720" w:hanging="360"/>
      </w:pPr>
      <w:r>
        <w:rPr>
          <w:rFonts w:ascii="Calibri" w:hAnsi="Calibri" w:eastAsia="Calibri"/>
          <w:color w:val="17212B"/>
          <w:sz w:val="22"/>
        </w:rPr>
        <w:t>Regras fiscais de produção exigem responsável técnico, fonte normativa, vigência e casos de teste aprovados.</w:t>
      </w:r>
    </w:p>
    <w:p>
      <w:pPr>
        <w:pStyle w:val="Heading1"/>
        <w:keepNext/>
      </w:pPr>
      <w:r>
        <w:rPr>
          <w:rFonts w:ascii="Calibri" w:hAnsi="Calibri" w:eastAsia="Calibri"/>
          <w:b/>
          <w:color w:val="2E74B5"/>
          <w:sz w:val="32"/>
        </w:rPr>
        <w:t>4. Arquitetura da solução</w:t>
      </w:r>
    </w:p>
    <w:p>
      <w:pPr>
        <w:pStyle w:val="Heading2"/>
        <w:keepNext/>
      </w:pPr>
      <w:r>
        <w:rPr>
          <w:rFonts w:ascii="Calibri" w:hAnsi="Calibri" w:eastAsia="Calibri"/>
          <w:b/>
          <w:color w:val="2E74B5"/>
          <w:sz w:val="26"/>
        </w:rPr>
        <w:t>4.1 Estilo arquitetural</w:t>
      </w:r>
    </w:p>
    <w:p>
      <w:pPr>
        <w:keepNext w:val="0"/>
        <w:spacing w:before="0" w:after="120" w:line="264" w:lineRule="auto"/>
        <w:jc w:val="left"/>
      </w:pPr>
      <w:r>
        <w:rPr>
          <w:rFonts w:ascii="Calibri" w:hAnsi="Calibri" w:eastAsia="Calibri"/>
          <w:b w:val="0"/>
          <w:i w:val="0"/>
          <w:color w:val="17212B"/>
          <w:sz w:val="22"/>
        </w:rPr>
        <w:t>O MVP será um monólito modular implantado em poucos componentes, não uma malha de microserviços. Os limites de domínio serão mantidos no código e no banco para permitir separação futura. Operações interativas permanecem leves em Workers; processamento fiscal pesado ocorre fora da requisição, por Queues, Workflows e Containers.</w:t>
      </w:r>
    </w:p>
    <w:p>
      <w:pPr>
        <w:pStyle w:val="Heading2"/>
        <w:keepNext/>
      </w:pPr>
      <w:r>
        <w:rPr>
          <w:rFonts w:ascii="Calibri" w:hAnsi="Calibri" w:eastAsia="Calibri"/>
          <w:b/>
          <w:color w:val="2E74B5"/>
          <w:sz w:val="26"/>
        </w:rPr>
        <w:t>4.2 Mapa de componentes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600"/>
        <w:gridCol w:w="2350"/>
        <w:gridCol w:w="5410"/>
      </w:tblGrid>
      <w:tr>
        <w:trPr>
          <w:tblHeader w:val="true"/>
          <w:cantSplit/>
        </w:trPr>
        <w:tc>
          <w:tcPr>
            <w:tcW w:type="dxa" w:w="1600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/>
                <w:color w:val="0B2545"/>
                <w:sz w:val="18"/>
              </w:rPr>
              <w:t>Camada</w:t>
            </w:r>
          </w:p>
        </w:tc>
        <w:tc>
          <w:tcPr>
            <w:tcW w:type="dxa" w:w="2350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/>
                <w:color w:val="0B2545"/>
                <w:sz w:val="18"/>
              </w:rPr>
              <w:t>Componente</w:t>
            </w:r>
          </w:p>
        </w:tc>
        <w:tc>
          <w:tcPr>
            <w:tcW w:type="dxa" w:w="5410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/>
                <w:color w:val="0B2545"/>
                <w:sz w:val="18"/>
              </w:rPr>
              <w:t>Responsabilidade</w:t>
            </w:r>
          </w:p>
        </w:tc>
      </w:tr>
      <w:tr>
        <w:trPr>
          <w:cantSplit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8"/>
              </w:rPr>
              <w:t>Experiência</w:t>
            </w:r>
          </w:p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8"/>
              </w:rPr>
              <w:t>Web App</w:t>
            </w:r>
          </w:p>
        </w:tc>
        <w:tc>
          <w:tcPr>
            <w:tcW w:type="dxa" w:w="5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8"/>
              </w:rPr>
              <w:t>Portal responsivo do contador e do cliente; ativos estáticos servidos por Workers.</w:t>
            </w:r>
          </w:p>
        </w:tc>
      </w:tr>
      <w:tr>
        <w:trPr>
          <w:cantSplit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8"/>
              </w:rPr>
              <w:t>Borda</w:t>
            </w:r>
          </w:p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8"/>
              </w:rPr>
              <w:t>WAF / Turnstile / Access</w:t>
            </w:r>
          </w:p>
        </w:tc>
        <w:tc>
          <w:tcPr>
            <w:tcW w:type="dxa" w:w="5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8"/>
              </w:rPr>
              <w:t>Proteção, autenticação e console administrativo.</w:t>
            </w:r>
          </w:p>
        </w:tc>
      </w:tr>
      <w:tr>
        <w:trPr>
          <w:cantSplit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8"/>
              </w:rPr>
              <w:t>Aplicação</w:t>
            </w:r>
          </w:p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8"/>
              </w:rPr>
              <w:t>API Worker</w:t>
            </w:r>
          </w:p>
        </w:tc>
        <w:tc>
          <w:tcPr>
            <w:tcW w:type="dxa" w:w="5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8"/>
              </w:rPr>
              <w:t>Autorização, cadastros, uploads, consultas, achados e dossiês.</w:t>
            </w:r>
          </w:p>
        </w:tc>
      </w:tr>
      <w:tr>
        <w:trPr>
          <w:cantSplit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8"/>
              </w:rPr>
              <w:t>Orquestração</w:t>
            </w:r>
          </w:p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8"/>
              </w:rPr>
              <w:t>Queues + Workflows</w:t>
            </w:r>
          </w:p>
        </w:tc>
        <w:tc>
          <w:tcPr>
            <w:tcW w:type="dxa" w:w="5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8"/>
              </w:rPr>
              <w:t>Entrega garantida, retentativas, espera por revisão humana e estados duráveis.</w:t>
            </w:r>
          </w:p>
        </w:tc>
      </w:tr>
      <w:tr>
        <w:trPr>
          <w:cantSplit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8"/>
              </w:rPr>
              <w:t>Processamento</w:t>
            </w:r>
          </w:p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8"/>
              </w:rPr>
              <w:t>Containers</w:t>
            </w:r>
          </w:p>
        </w:tc>
        <w:tc>
          <w:tcPr>
            <w:tcW w:type="dxa" w:w="5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8"/>
              </w:rPr>
              <w:t>Parsing de EFD/ZIP, normalização, DuckDB/Parquet, regras em lote e geração de arquivos.</w:t>
            </w:r>
          </w:p>
        </w:tc>
      </w:tr>
      <w:tr>
        <w:trPr>
          <w:cantSplit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8"/>
              </w:rPr>
              <w:t>Metadados</w:t>
            </w:r>
          </w:p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8"/>
              </w:rPr>
              <w:t>D1</w:t>
            </w:r>
          </w:p>
        </w:tc>
        <w:tc>
          <w:tcPr>
            <w:tcW w:type="dxa" w:w="5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8"/>
              </w:rPr>
              <w:t>Tenants, usuários, índices de documentos, achados, oportunidades, auditoria e configurações.</w:t>
            </w:r>
          </w:p>
        </w:tc>
      </w:tr>
      <w:tr>
        <w:trPr>
          <w:cantSplit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8"/>
              </w:rPr>
              <w:t>Objetos</w:t>
            </w:r>
          </w:p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8"/>
              </w:rPr>
              <w:t>R2</w:t>
            </w:r>
          </w:p>
        </w:tc>
        <w:tc>
          <w:tcPr>
            <w:tcW w:type="dxa" w:w="5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8"/>
              </w:rPr>
              <w:t>Originais, quarentena, normalizados, evidências, relatórios e exportações.</w:t>
            </w:r>
          </w:p>
        </w:tc>
      </w:tr>
      <w:tr>
        <w:trPr>
          <w:cantSplit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8"/>
              </w:rPr>
              <w:t>Estado coordenado</w:t>
            </w:r>
          </w:p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8"/>
              </w:rPr>
              <w:t>Durable Objects (opcional no MVP)</w:t>
            </w:r>
          </w:p>
        </w:tc>
        <w:tc>
          <w:tcPr>
            <w:tcW w:type="dxa" w:w="5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8"/>
              </w:rPr>
              <w:t>Progresso em tempo real e coordenação de processos que exijam exclusão mútua.</w:t>
            </w:r>
          </w:p>
        </w:tc>
      </w:tr>
      <w:tr>
        <w:trPr>
          <w:cantSplit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8"/>
              </w:rPr>
              <w:t>Externos</w:t>
            </w:r>
          </w:p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8"/>
              </w:rPr>
              <w:t>E-mail / ERP / portais fiscais</w:t>
            </w:r>
          </w:p>
        </w:tc>
        <w:tc>
          <w:tcPr>
            <w:tcW w:type="dxa" w:w="5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8"/>
              </w:rPr>
              <w:t>Integrações desacopladas; nenhum portal governamental é tratado como banco de verdade interno.</w:t>
            </w:r>
          </w:p>
        </w:tc>
      </w:tr>
    </w:tbl>
    <w:p>
      <w:pPr>
        <w:spacing w:after="60"/>
      </w:pPr>
    </w:p>
    <w:p>
      <w:pPr>
        <w:pStyle w:val="Heading2"/>
        <w:keepNext/>
      </w:pPr>
      <w:r>
        <w:rPr>
          <w:rFonts w:ascii="Calibri" w:hAnsi="Calibri" w:eastAsia="Calibri"/>
          <w:b/>
          <w:color w:val="2E74B5"/>
          <w:sz w:val="26"/>
        </w:rPr>
        <w:t>4.3 Topologia lógica</w:t>
      </w:r>
    </w:p>
    <w:p>
      <w:pPr>
        <w:numPr>
          <w:ilvl w:val="0"/>
          <w:numId w:val="10"/>
        </w:numPr>
        <w:pStyle w:val="ListNumber"/>
        <w:spacing w:after="120" w:line="280" w:lineRule="auto"/>
        <w:ind w:left="720" w:hanging="360"/>
      </w:pPr>
      <w:r>
        <w:rPr>
          <w:rFonts w:ascii="Calibri" w:hAnsi="Calibri" w:eastAsia="Calibri"/>
          <w:color w:val="17212B"/>
          <w:sz w:val="22"/>
        </w:rPr>
        <w:t>O navegador autentica o usuário e chama a API Worker com contexto de tenant.</w:t>
      </w:r>
    </w:p>
    <w:p>
      <w:pPr>
        <w:numPr>
          <w:ilvl w:val="0"/>
          <w:numId w:val="10"/>
        </w:numPr>
        <w:pStyle w:val="ListNumber"/>
        <w:spacing w:after="120" w:line="280" w:lineRule="auto"/>
        <w:ind w:left="720" w:hanging="360"/>
      </w:pPr>
      <w:r>
        <w:rPr>
          <w:rFonts w:ascii="Calibri" w:hAnsi="Calibri" w:eastAsia="Calibri"/>
          <w:color w:val="17212B"/>
          <w:sz w:val="22"/>
        </w:rPr>
        <w:t>A API cria uma sessão de upload e devolve credencial temporária para envio direto ao R2.</w:t>
      </w:r>
    </w:p>
    <w:p>
      <w:pPr>
        <w:numPr>
          <w:ilvl w:val="0"/>
          <w:numId w:val="10"/>
        </w:numPr>
        <w:pStyle w:val="ListNumber"/>
        <w:spacing w:after="120" w:line="280" w:lineRule="auto"/>
        <w:ind w:left="720" w:hanging="360"/>
      </w:pPr>
      <w:r>
        <w:rPr>
          <w:rFonts w:ascii="Calibri" w:hAnsi="Calibri" w:eastAsia="Calibri"/>
          <w:color w:val="17212B"/>
          <w:sz w:val="22"/>
        </w:rPr>
        <w:t>A conclusão do upload publica um evento na Queue e inicia o Workflow do lote.</w:t>
      </w:r>
    </w:p>
    <w:p>
      <w:pPr>
        <w:numPr>
          <w:ilvl w:val="0"/>
          <w:numId w:val="10"/>
        </w:numPr>
        <w:pStyle w:val="ListNumber"/>
        <w:spacing w:after="120" w:line="280" w:lineRule="auto"/>
        <w:ind w:left="720" w:hanging="360"/>
      </w:pPr>
      <w:r>
        <w:rPr>
          <w:rFonts w:ascii="Calibri" w:hAnsi="Calibri" w:eastAsia="Calibri"/>
          <w:color w:val="17212B"/>
          <w:sz w:val="22"/>
        </w:rPr>
        <w:t>O consumidor verifica segurança, deduplica e envia o arquivo para parsing em Container quando necessário.</w:t>
      </w:r>
    </w:p>
    <w:p>
      <w:pPr>
        <w:numPr>
          <w:ilvl w:val="0"/>
          <w:numId w:val="10"/>
        </w:numPr>
        <w:pStyle w:val="ListNumber"/>
        <w:spacing w:after="120" w:line="280" w:lineRule="auto"/>
        <w:ind w:left="720" w:hanging="360"/>
      </w:pPr>
      <w:r>
        <w:rPr>
          <w:rFonts w:ascii="Calibri" w:hAnsi="Calibri" w:eastAsia="Calibri"/>
          <w:color w:val="17212B"/>
          <w:sz w:val="22"/>
        </w:rPr>
        <w:t>Dados normalizados e resultados detalhados são gravados no R2; índices, totais e estados ficam no D1.</w:t>
      </w:r>
    </w:p>
    <w:p>
      <w:pPr>
        <w:numPr>
          <w:ilvl w:val="0"/>
          <w:numId w:val="10"/>
        </w:numPr>
        <w:pStyle w:val="ListNumber"/>
        <w:spacing w:after="120" w:line="280" w:lineRule="auto"/>
        <w:ind w:left="720" w:hanging="360"/>
      </w:pPr>
      <w:r>
        <w:rPr>
          <w:rFonts w:ascii="Calibri" w:hAnsi="Calibri" w:eastAsia="Calibri"/>
          <w:color w:val="17212B"/>
          <w:sz w:val="22"/>
        </w:rPr>
        <w:t>O motor executa regras aprovadas para a UF, período e documento, criando achados imutáveis por execução.</w:t>
      </w:r>
    </w:p>
    <w:p>
      <w:pPr>
        <w:numPr>
          <w:ilvl w:val="0"/>
          <w:numId w:val="10"/>
        </w:numPr>
        <w:pStyle w:val="ListNumber"/>
        <w:spacing w:after="120" w:line="280" w:lineRule="auto"/>
        <w:ind w:left="720" w:hanging="360"/>
      </w:pPr>
      <w:r>
        <w:rPr>
          <w:rFonts w:ascii="Calibri" w:hAnsi="Calibri" w:eastAsia="Calibri"/>
          <w:color w:val="17212B"/>
          <w:sz w:val="22"/>
        </w:rPr>
        <w:t>O usuário trata pendências e aprova o dossiê; o Workflow gera o pacote final e registra a trilha.</w:t>
      </w:r>
    </w:p>
    <w:p>
      <w:pPr>
        <w:pStyle w:val="Heading2"/>
        <w:keepNext/>
      </w:pPr>
      <w:r>
        <w:rPr>
          <w:rFonts w:ascii="Calibri" w:hAnsi="Calibri" w:eastAsia="Calibri"/>
          <w:b/>
          <w:color w:val="2E74B5"/>
          <w:sz w:val="26"/>
        </w:rPr>
        <w:t>4.4 Decisões arquiteturais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100"/>
        <w:gridCol w:w="3100"/>
        <w:gridCol w:w="5160"/>
      </w:tblGrid>
      <w:tr>
        <w:trPr>
          <w:tblHeader w:val="true"/>
          <w:cantSplit/>
        </w:trPr>
        <w:tc>
          <w:tcPr>
            <w:tcW w:type="dxa" w:w="1100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/>
                <w:color w:val="0B2545"/>
                <w:sz w:val="18"/>
              </w:rPr>
              <w:t>ID</w:t>
            </w:r>
          </w:p>
        </w:tc>
        <w:tc>
          <w:tcPr>
            <w:tcW w:type="dxa" w:w="3100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/>
                <w:color w:val="0B2545"/>
                <w:sz w:val="18"/>
              </w:rPr>
              <w:t>Decisão</w:t>
            </w:r>
          </w:p>
        </w:tc>
        <w:tc>
          <w:tcPr>
            <w:tcW w:type="dxa" w:w="5160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/>
                <w:color w:val="0B2545"/>
                <w:sz w:val="18"/>
              </w:rPr>
              <w:t>Motivo</w:t>
            </w:r>
          </w:p>
        </w:tc>
      </w:tr>
      <w:tr>
        <w:trPr>
          <w:cantSplit/>
        </w:trP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8"/>
              </w:rPr>
              <w:t>ADR-001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8"/>
              </w:rPr>
              <w:t>Cloudflare-first</w:t>
            </w:r>
          </w:p>
        </w:tc>
        <w:tc>
          <w:tcPr>
            <w:tcW w:type="dxa" w:w="5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8"/>
              </w:rPr>
              <w:t>Reduz operação de infraestrutura; integrações externas permanecem permitidas.</w:t>
            </w:r>
          </w:p>
        </w:tc>
      </w:tr>
      <w:tr>
        <w:trPr>
          <w:cantSplit/>
        </w:trP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8"/>
              </w:rPr>
              <w:t>ADR-002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8"/>
              </w:rPr>
              <w:t>Upload direto ao R2</w:t>
            </w:r>
          </w:p>
        </w:tc>
        <w:tc>
          <w:tcPr>
            <w:tcW w:type="dxa" w:w="5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8"/>
              </w:rPr>
              <w:t>Evita limites de corpo e memória do Worker e permite retomada.</w:t>
            </w:r>
          </w:p>
        </w:tc>
      </w:tr>
      <w:tr>
        <w:trPr>
          <w:cantSplit/>
        </w:trP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8"/>
              </w:rPr>
              <w:t>ADR-003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8"/>
              </w:rPr>
              <w:t>R2 para detalhes; D1 para índices</w:t>
            </w:r>
          </w:p>
        </w:tc>
        <w:tc>
          <w:tcPr>
            <w:tcW w:type="dxa" w:w="5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8"/>
              </w:rPr>
              <w:t>Evita armazenar XML e grandes coleções de itens em linhas SQL.</w:t>
            </w:r>
          </w:p>
        </w:tc>
      </w:tr>
      <w:tr>
        <w:trPr>
          <w:cantSplit/>
        </w:trP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8"/>
              </w:rPr>
              <w:t>ADR-004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8"/>
              </w:rPr>
              <w:t>Processamento pesado em Containers</w:t>
            </w:r>
          </w:p>
        </w:tc>
        <w:tc>
          <w:tcPr>
            <w:tcW w:type="dxa" w:w="5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8"/>
              </w:rPr>
              <w:t>Workers têm memória limitada; jobs serão particionados e retomáveis.</w:t>
            </w:r>
          </w:p>
        </w:tc>
      </w:tr>
      <w:tr>
        <w:trPr>
          <w:cantSplit/>
        </w:trP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8"/>
              </w:rPr>
              <w:t>ADR-005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8"/>
              </w:rPr>
              <w:t>Banco por coorte, dedicado quando necessário</w:t>
            </w:r>
          </w:p>
        </w:tc>
        <w:tc>
          <w:tcPr>
            <w:tcW w:type="dxa" w:w="5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8"/>
              </w:rPr>
              <w:t>Equilibra isolamento, limite de 10 GB por D1 e simplicidade operacional.</w:t>
            </w:r>
          </w:p>
        </w:tc>
      </w:tr>
      <w:tr>
        <w:trPr>
          <w:cantSplit/>
        </w:trP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8"/>
              </w:rPr>
              <w:t>ADR-006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8"/>
              </w:rPr>
              <w:t>A1 fora do MVP</w:t>
            </w:r>
          </w:p>
        </w:tc>
        <w:tc>
          <w:tcPr>
            <w:tcW w:type="dxa" w:w="5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8"/>
              </w:rPr>
              <w:t>Reduz risco de custódia de chave privada e complexidade de mTLS multi-tenant.</w:t>
            </w:r>
          </w:p>
        </w:tc>
      </w:tr>
      <w:tr>
        <w:trPr>
          <w:cantSplit/>
        </w:trP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8"/>
              </w:rPr>
              <w:t>ADR-007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8"/>
              </w:rPr>
              <w:t>Regras declarativas e versionadas</w:t>
            </w:r>
          </w:p>
        </w:tc>
        <w:tc>
          <w:tcPr>
            <w:tcW w:type="dxa" w:w="5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8"/>
              </w:rPr>
              <w:t>Permite auditoria, vigência temporal e teste por especialista fiscal.</w:t>
            </w:r>
          </w:p>
        </w:tc>
      </w:tr>
      <w:tr>
        <w:trPr>
          <w:cantSplit/>
        </w:trP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8"/>
              </w:rPr>
              <w:t>ADR-008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8"/>
              </w:rPr>
              <w:t>Sem automação de tela</w:t>
            </w:r>
          </w:p>
        </w:tc>
        <w:tc>
          <w:tcPr>
            <w:tcW w:type="dxa" w:w="5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8"/>
              </w:rPr>
              <w:t>Portais sem API serão etapas humanas até existir integração oficial estável.</w:t>
            </w:r>
          </w:p>
        </w:tc>
      </w:tr>
    </w:tbl>
    <w:p>
      <w:pPr>
        <w:spacing w:after="60"/>
      </w:pPr>
    </w:p>
    <w:p>
      <w:pPr>
        <w:pStyle w:val="Heading1"/>
        <w:keepNext/>
      </w:pPr>
      <w:r>
        <w:rPr>
          <w:rFonts w:ascii="Calibri" w:hAnsi="Calibri" w:eastAsia="Calibri"/>
          <w:b/>
          <w:color w:val="2E74B5"/>
          <w:sz w:val="32"/>
        </w:rPr>
        <w:t>5. Módulos funcionais</w:t>
      </w:r>
    </w:p>
    <w:p>
      <w:pPr>
        <w:pStyle w:val="Heading2"/>
        <w:keepNext/>
      </w:pPr>
      <w:r>
        <w:rPr>
          <w:rFonts w:ascii="Calibri" w:hAnsi="Calibri" w:eastAsia="Calibri"/>
          <w:b/>
          <w:color w:val="2E74B5"/>
          <w:sz w:val="26"/>
        </w:rPr>
        <w:t>5.1 Organização e acesso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 w:eastAsia="Calibri"/>
          <w:color w:val="17212B"/>
          <w:sz w:val="22"/>
        </w:rPr>
        <w:t>Criar tenant, convite, associação de usuário, papel e escopo de clientes.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 w:eastAsia="Calibri"/>
          <w:color w:val="17212B"/>
          <w:sz w:val="22"/>
        </w:rPr>
        <w:t>Registrar aceite de termos, política de retenção e responsáveis.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 w:eastAsia="Calibri"/>
          <w:color w:val="17212B"/>
          <w:sz w:val="22"/>
        </w:rPr>
        <w:t>Exigir MFA no provedor de identidade para administradores e supervisores.</w:t>
      </w:r>
    </w:p>
    <w:p>
      <w:pPr>
        <w:pStyle w:val="Heading2"/>
        <w:keepNext/>
      </w:pPr>
      <w:r>
        <w:rPr>
          <w:rFonts w:ascii="Calibri" w:hAnsi="Calibri" w:eastAsia="Calibri"/>
          <w:b/>
          <w:color w:val="2E74B5"/>
          <w:sz w:val="26"/>
        </w:rPr>
        <w:t>5.2 Carteira de clientes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 w:eastAsia="Calibri"/>
          <w:color w:val="17212B"/>
          <w:sz w:val="22"/>
        </w:rPr>
        <w:t>Cadastrar pessoa jurídica, estabelecimentos, inscrições estaduais, UF, regime e vigências.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 w:eastAsia="Calibri"/>
          <w:color w:val="17212B"/>
          <w:sz w:val="22"/>
        </w:rPr>
        <w:t>Atribuir equipe, calendário, tags e nível de risco.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 w:eastAsia="Calibri"/>
          <w:color w:val="17212B"/>
          <w:sz w:val="22"/>
        </w:rPr>
        <w:t>Importar cadastro por CSV com pré-visualização e relatório de erros.</w:t>
      </w:r>
    </w:p>
    <w:p>
      <w:pPr>
        <w:pStyle w:val="Heading2"/>
        <w:keepNext/>
      </w:pPr>
      <w:r>
        <w:rPr>
          <w:rFonts w:ascii="Calibri" w:hAnsi="Calibri" w:eastAsia="Calibri"/>
          <w:b/>
          <w:color w:val="2E74B5"/>
          <w:sz w:val="26"/>
        </w:rPr>
        <w:t>5.3 Central de documentos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 w:eastAsia="Calibri"/>
          <w:color w:val="17212B"/>
          <w:sz w:val="22"/>
        </w:rPr>
        <w:t>Criar lote por cliente, estabelecimento, competência e tipo de processo.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 w:eastAsia="Calibri"/>
          <w:color w:val="17212B"/>
          <w:sz w:val="22"/>
        </w:rPr>
        <w:t>Aceitar upload direto, retomável e múltiplo; apresentar progresso e recibo.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 w:eastAsia="Calibri"/>
          <w:color w:val="17212B"/>
          <w:sz w:val="22"/>
        </w:rPr>
        <w:t>Classificar, verificar extensão/MIME, calcular hash, detectar duplicidade e colocar conteúdo suspeito em quarentena.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 w:eastAsia="Calibri"/>
          <w:color w:val="17212B"/>
          <w:sz w:val="22"/>
        </w:rPr>
        <w:t>Permitir anexos probatórios sem misturá-los aos documentos fiscais processáveis.</w:t>
      </w:r>
    </w:p>
    <w:p>
      <w:pPr>
        <w:pStyle w:val="Heading2"/>
        <w:keepNext/>
      </w:pPr>
      <w:r>
        <w:rPr>
          <w:rFonts w:ascii="Calibri" w:hAnsi="Calibri" w:eastAsia="Calibri"/>
          <w:b/>
          <w:color w:val="2E74B5"/>
          <w:sz w:val="26"/>
        </w:rPr>
        <w:t>5.4 Normalização e reconciliação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 w:eastAsia="Calibri"/>
          <w:color w:val="17212B"/>
          <w:sz w:val="22"/>
        </w:rPr>
        <w:t>Converter formatos suportados em esquema canônico com versão explícita.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 w:eastAsia="Calibri"/>
          <w:color w:val="17212B"/>
          <w:sz w:val="22"/>
        </w:rPr>
        <w:t>Relacionar notas, eventos, participantes, produtos, CFOP, CST/CSOSN, impostos, chaves e competências.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 w:eastAsia="Calibri"/>
          <w:color w:val="17212B"/>
          <w:sz w:val="22"/>
        </w:rPr>
        <w:t>Cruzar EFD com XML e arquivos auxiliares, preservando a origem de cada campo.</w:t>
      </w:r>
    </w:p>
    <w:p>
      <w:pPr>
        <w:pStyle w:val="Heading2"/>
        <w:keepNext/>
      </w:pPr>
      <w:r>
        <w:rPr>
          <w:rFonts w:ascii="Calibri" w:hAnsi="Calibri" w:eastAsia="Calibri"/>
          <w:b/>
          <w:color w:val="2E74B5"/>
          <w:sz w:val="26"/>
        </w:rPr>
        <w:t>5.5 Motor de validação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 w:eastAsia="Calibri"/>
          <w:color w:val="17212B"/>
          <w:sz w:val="22"/>
        </w:rPr>
        <w:t>Selecionar regras pela UF, regime, vigência, tipo documental e módulo contratado.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 w:eastAsia="Calibri"/>
          <w:color w:val="17212B"/>
          <w:sz w:val="22"/>
        </w:rPr>
        <w:t>Executar regras determinísticas e isoladas, com limite de recursos e saída estruturada.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 w:eastAsia="Calibri"/>
          <w:color w:val="17212B"/>
          <w:sz w:val="22"/>
        </w:rPr>
        <w:t>Criar achados com severidade, descrição, fundamento, evidência, impacto e ação sugerida.</w:t>
      </w:r>
    </w:p>
    <w:p>
      <w:pPr>
        <w:pStyle w:val="Heading2"/>
        <w:keepNext/>
      </w:pPr>
      <w:r>
        <w:rPr>
          <w:rFonts w:ascii="Calibri" w:hAnsi="Calibri" w:eastAsia="Calibri"/>
          <w:b/>
          <w:color w:val="2E74B5"/>
          <w:sz w:val="26"/>
        </w:rPr>
        <w:t>5.6 Gestão de achados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 w:eastAsia="Calibri"/>
          <w:color w:val="17212B"/>
          <w:sz w:val="22"/>
        </w:rPr>
        <w:t>Filtrar por cliente, competência, regra, severidade, responsável e estado.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 w:eastAsia="Calibri"/>
          <w:color w:val="17212B"/>
          <w:sz w:val="22"/>
        </w:rPr>
        <w:t>Atribuir, comentar, anexar evidência, marcar falso positivo com motivo e solicitar nova análise.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 w:eastAsia="Calibri"/>
          <w:color w:val="17212B"/>
          <w:sz w:val="22"/>
        </w:rPr>
        <w:t>Manter histórico completo; resolução não apaga o resultado original.</w:t>
      </w:r>
    </w:p>
    <w:p>
      <w:pPr>
        <w:pStyle w:val="Heading2"/>
        <w:keepNext/>
      </w:pPr>
      <w:r>
        <w:rPr>
          <w:rFonts w:ascii="Calibri" w:hAnsi="Calibri" w:eastAsia="Calibri"/>
          <w:b/>
          <w:color w:val="2E74B5"/>
          <w:sz w:val="26"/>
        </w:rPr>
        <w:t>5.7 Oportunidades e dossiês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 w:eastAsia="Calibri"/>
          <w:color w:val="17212B"/>
          <w:sz w:val="22"/>
        </w:rPr>
        <w:t>Calcular valores estimados com memória de cálculo e parâmetros versionados.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 w:eastAsia="Calibri"/>
          <w:color w:val="17212B"/>
          <w:sz w:val="22"/>
        </w:rPr>
        <w:t>Exigir revisão de supervisor para oportunidade material ou regra crítica.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 w:eastAsia="Calibri"/>
          <w:color w:val="17212B"/>
          <w:sz w:val="22"/>
        </w:rPr>
        <w:t>Gerar PDF executivo, relatório técnico, CSV de itens e ZIP de evidências.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 w:eastAsia="Calibri"/>
          <w:color w:val="17212B"/>
          <w:sz w:val="22"/>
        </w:rPr>
        <w:t>Exportar arquivo CAT 42/SP apenas quando o módulo estiver habilitado e aprovado.</w:t>
      </w:r>
    </w:p>
    <w:p>
      <w:pPr>
        <w:pStyle w:val="Heading2"/>
        <w:keepNext/>
      </w:pPr>
      <w:r>
        <w:rPr>
          <w:rFonts w:ascii="Calibri" w:hAnsi="Calibri" w:eastAsia="Calibri"/>
          <w:b/>
          <w:color w:val="2E74B5"/>
          <w:sz w:val="26"/>
        </w:rPr>
        <w:t>5.8 Administração e operação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 w:eastAsia="Calibri"/>
          <w:color w:val="17212B"/>
          <w:sz w:val="22"/>
        </w:rPr>
        <w:t>Gerenciar catálogo de regras, feature flags, limites e filas de falha.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 w:eastAsia="Calibri"/>
          <w:color w:val="17212B"/>
          <w:sz w:val="22"/>
        </w:rPr>
        <w:t>Exibir saúde de processamentos, retentativas e custos por tenant.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 w:eastAsia="Calibri"/>
          <w:color w:val="17212B"/>
          <w:sz w:val="22"/>
        </w:rPr>
        <w:t>Disponibilizar acesso de suporte temporário com aprovação e justificativa.</w:t>
      </w:r>
    </w:p>
    <w:p>
      <w:pPr>
        <w:pStyle w:val="Heading1"/>
        <w:keepNext/>
      </w:pPr>
      <w:r>
        <w:rPr>
          <w:rFonts w:ascii="Calibri" w:hAnsi="Calibri" w:eastAsia="Calibri"/>
          <w:b/>
          <w:color w:val="2E74B5"/>
          <w:sz w:val="32"/>
        </w:rPr>
        <w:t>6. Fluxos e estados</w:t>
      </w:r>
    </w:p>
    <w:p>
      <w:pPr>
        <w:pStyle w:val="Heading2"/>
        <w:keepNext/>
      </w:pPr>
      <w:r>
        <w:rPr>
          <w:rFonts w:ascii="Calibri" w:hAnsi="Calibri" w:eastAsia="Calibri"/>
          <w:b/>
          <w:color w:val="2E74B5"/>
          <w:sz w:val="26"/>
        </w:rPr>
        <w:t>6.1 Fluxo principal de diagnóstico</w:t>
      </w:r>
    </w:p>
    <w:p>
      <w:pPr>
        <w:numPr>
          <w:ilvl w:val="0"/>
          <w:numId w:val="11"/>
        </w:numPr>
        <w:pStyle w:val="ListNumber"/>
        <w:spacing w:after="100" w:line="280" w:lineRule="auto"/>
        <w:ind w:left="720" w:hanging="360"/>
      </w:pPr>
      <w:r>
        <w:rPr>
          <w:rFonts w:ascii="Calibri" w:hAnsi="Calibri" w:eastAsia="Calibri"/>
          <w:color w:val="17212B"/>
          <w:sz w:val="22"/>
        </w:rPr>
        <w:t>Analista seleciona tenant, cliente, estabelecimento, competência e objetivo do lote.</w:t>
      </w:r>
    </w:p>
    <w:p>
      <w:pPr>
        <w:numPr>
          <w:ilvl w:val="0"/>
          <w:numId w:val="11"/>
        </w:numPr>
        <w:pStyle w:val="ListNumber"/>
        <w:spacing w:after="100" w:line="280" w:lineRule="auto"/>
        <w:ind w:left="720" w:hanging="360"/>
      </w:pPr>
      <w:r>
        <w:rPr>
          <w:rFonts w:ascii="Calibri" w:hAnsi="Calibri" w:eastAsia="Calibri"/>
          <w:color w:val="17212B"/>
          <w:sz w:val="22"/>
        </w:rPr>
        <w:t>Sistema valida autorização e cria lote em estado RASCUNHO.</w:t>
      </w:r>
    </w:p>
    <w:p>
      <w:pPr>
        <w:numPr>
          <w:ilvl w:val="0"/>
          <w:numId w:val="11"/>
        </w:numPr>
        <w:pStyle w:val="ListNumber"/>
        <w:spacing w:after="100" w:line="280" w:lineRule="auto"/>
        <w:ind w:left="720" w:hanging="360"/>
      </w:pPr>
      <w:r>
        <w:rPr>
          <w:rFonts w:ascii="Calibri" w:hAnsi="Calibri" w:eastAsia="Calibri"/>
          <w:color w:val="17212B"/>
          <w:sz w:val="22"/>
        </w:rPr>
        <w:t>Arquivos são enviados diretamente ao R2 por URL temporária e vinculados ao lote.</w:t>
      </w:r>
    </w:p>
    <w:p>
      <w:pPr>
        <w:numPr>
          <w:ilvl w:val="0"/>
          <w:numId w:val="11"/>
        </w:numPr>
        <w:pStyle w:val="ListNumber"/>
        <w:spacing w:after="100" w:line="280" w:lineRule="auto"/>
        <w:ind w:left="720" w:hanging="360"/>
      </w:pPr>
      <w:r>
        <w:rPr>
          <w:rFonts w:ascii="Calibri" w:hAnsi="Calibri" w:eastAsia="Calibri"/>
          <w:color w:val="17212B"/>
          <w:sz w:val="22"/>
        </w:rPr>
        <w:t>Ao concluir, o sistema sela o manifesto do lote e publica document.batch.submitted.</w:t>
      </w:r>
    </w:p>
    <w:p>
      <w:pPr>
        <w:numPr>
          <w:ilvl w:val="0"/>
          <w:numId w:val="11"/>
        </w:numPr>
        <w:pStyle w:val="ListNumber"/>
        <w:spacing w:after="100" w:line="280" w:lineRule="auto"/>
        <w:ind w:left="720" w:hanging="360"/>
      </w:pPr>
      <w:r>
        <w:rPr>
          <w:rFonts w:ascii="Calibri" w:hAnsi="Calibri" w:eastAsia="Calibri"/>
          <w:color w:val="17212B"/>
          <w:sz w:val="22"/>
        </w:rPr>
        <w:t>Workflow realiza triagem, malware scan, descompactação segura e classificação.</w:t>
      </w:r>
    </w:p>
    <w:p>
      <w:pPr>
        <w:numPr>
          <w:ilvl w:val="0"/>
          <w:numId w:val="11"/>
        </w:numPr>
        <w:pStyle w:val="ListNumber"/>
        <w:spacing w:after="100" w:line="280" w:lineRule="auto"/>
        <w:ind w:left="720" w:hanging="360"/>
      </w:pPr>
      <w:r>
        <w:rPr>
          <w:rFonts w:ascii="Calibri" w:hAnsi="Calibri" w:eastAsia="Calibri"/>
          <w:color w:val="17212B"/>
          <w:sz w:val="22"/>
        </w:rPr>
        <w:t>Parsers produzem esquema canônico; falhas isoladas não bloqueiam documentos válidos.</w:t>
      </w:r>
    </w:p>
    <w:p>
      <w:pPr>
        <w:numPr>
          <w:ilvl w:val="0"/>
          <w:numId w:val="11"/>
        </w:numPr>
        <w:pStyle w:val="ListNumber"/>
        <w:spacing w:after="100" w:line="280" w:lineRule="auto"/>
        <w:ind w:left="720" w:hanging="360"/>
      </w:pPr>
      <w:r>
        <w:rPr>
          <w:rFonts w:ascii="Calibri" w:hAnsi="Calibri" w:eastAsia="Calibri"/>
          <w:color w:val="17212B"/>
          <w:sz w:val="22"/>
        </w:rPr>
        <w:t>Motor de regras executa conjunto publicado para o contexto fiscal.</w:t>
      </w:r>
    </w:p>
    <w:p>
      <w:pPr>
        <w:numPr>
          <w:ilvl w:val="0"/>
          <w:numId w:val="11"/>
        </w:numPr>
        <w:pStyle w:val="ListNumber"/>
        <w:spacing w:after="100" w:line="280" w:lineRule="auto"/>
        <w:ind w:left="720" w:hanging="360"/>
      </w:pPr>
      <w:r>
        <w:rPr>
          <w:rFonts w:ascii="Calibri" w:hAnsi="Calibri" w:eastAsia="Calibri"/>
          <w:color w:val="17212B"/>
          <w:sz w:val="22"/>
        </w:rPr>
        <w:t>Achados e resumo são persistidos; analista recebe notificação.</w:t>
      </w:r>
    </w:p>
    <w:p>
      <w:pPr>
        <w:numPr>
          <w:ilvl w:val="0"/>
          <w:numId w:val="11"/>
        </w:numPr>
        <w:pStyle w:val="ListNumber"/>
        <w:spacing w:after="100" w:line="280" w:lineRule="auto"/>
        <w:ind w:left="720" w:hanging="360"/>
      </w:pPr>
      <w:r>
        <w:rPr>
          <w:rFonts w:ascii="Calibri" w:hAnsi="Calibri" w:eastAsia="Calibri"/>
          <w:color w:val="17212B"/>
          <w:sz w:val="22"/>
        </w:rPr>
        <w:t>Equipe resolve pendências ou solicita reprocessamento com novas entradas.</w:t>
      </w:r>
    </w:p>
    <w:p>
      <w:pPr>
        <w:numPr>
          <w:ilvl w:val="0"/>
          <w:numId w:val="11"/>
        </w:numPr>
        <w:pStyle w:val="ListNumber"/>
        <w:spacing w:after="100" w:line="280" w:lineRule="auto"/>
        <w:ind w:left="720" w:hanging="360"/>
      </w:pPr>
      <w:r>
        <w:rPr>
          <w:rFonts w:ascii="Calibri" w:hAnsi="Calibri" w:eastAsia="Calibri"/>
          <w:color w:val="17212B"/>
          <w:sz w:val="22"/>
        </w:rPr>
        <w:t>Supervisor aprova o diagnóstico e, quando aplicável, a oportunidade e o dossiê.</w:t>
      </w:r>
    </w:p>
    <w:p>
      <w:pPr>
        <w:pStyle w:val="Heading2"/>
        <w:keepNext/>
      </w:pPr>
      <w:r>
        <w:rPr>
          <w:rFonts w:ascii="Calibri" w:hAnsi="Calibri" w:eastAsia="Calibri"/>
          <w:b/>
          <w:color w:val="2E74B5"/>
          <w:sz w:val="26"/>
        </w:rPr>
        <w:t>6.2 Estado do lote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750"/>
        <w:gridCol w:w="4700"/>
        <w:gridCol w:w="2910"/>
      </w:tblGrid>
      <w:tr>
        <w:trPr>
          <w:tblHeader w:val="true"/>
          <w:cantSplit/>
        </w:trPr>
        <w:tc>
          <w:tcPr>
            <w:tcW w:type="dxa" w:w="1750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/>
                <w:color w:val="0B2545"/>
                <w:sz w:val="18"/>
              </w:rPr>
              <w:t>Estado</w:t>
            </w:r>
          </w:p>
        </w:tc>
        <w:tc>
          <w:tcPr>
            <w:tcW w:type="dxa" w:w="4700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/>
                <w:color w:val="0B2545"/>
                <w:sz w:val="18"/>
              </w:rPr>
              <w:t>Significado</w:t>
            </w:r>
          </w:p>
        </w:tc>
        <w:tc>
          <w:tcPr>
            <w:tcW w:type="dxa" w:w="2910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/>
                <w:color w:val="0B2545"/>
                <w:sz w:val="18"/>
              </w:rPr>
              <w:t>Próximos estados</w:t>
            </w:r>
          </w:p>
        </w:tc>
      </w:tr>
      <w:tr>
        <w:trPr>
          <w:cantSplit/>
        </w:trPr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8"/>
              </w:rPr>
              <w:t>RASCUNHO</w:t>
            </w:r>
          </w:p>
        </w:tc>
        <w:tc>
          <w:tcPr>
            <w:tcW w:type="dxa" w:w="4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8"/>
              </w:rPr>
              <w:t>Aceita inclusão e remoção de arquivos ainda não selados</w:t>
            </w:r>
          </w:p>
        </w:tc>
        <w:tc>
          <w:tcPr>
            <w:tcW w:type="dxa" w:w="29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8"/>
              </w:rPr>
              <w:t>ENVIANDO, CANCELADO</w:t>
            </w:r>
          </w:p>
        </w:tc>
      </w:tr>
      <w:tr>
        <w:trPr>
          <w:cantSplit/>
        </w:trPr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8"/>
              </w:rPr>
              <w:t>ENVIANDO</w:t>
            </w:r>
          </w:p>
        </w:tc>
        <w:tc>
          <w:tcPr>
            <w:tcW w:type="dxa" w:w="4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8"/>
              </w:rPr>
              <w:t>Uploads ativos ou incompletos</w:t>
            </w:r>
          </w:p>
        </w:tc>
        <w:tc>
          <w:tcPr>
            <w:tcW w:type="dxa" w:w="29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8"/>
              </w:rPr>
              <w:t>SUBMETIDO, EXPIRADO, CANCELADO</w:t>
            </w:r>
          </w:p>
        </w:tc>
      </w:tr>
      <w:tr>
        <w:trPr>
          <w:cantSplit/>
        </w:trPr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8"/>
              </w:rPr>
              <w:t>SUBMETIDO</w:t>
            </w:r>
          </w:p>
        </w:tc>
        <w:tc>
          <w:tcPr>
            <w:tcW w:type="dxa" w:w="4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8"/>
              </w:rPr>
              <w:t>Manifesto fechado; conteúdo não muda</w:t>
            </w:r>
          </w:p>
        </w:tc>
        <w:tc>
          <w:tcPr>
            <w:tcW w:type="dxa" w:w="29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8"/>
              </w:rPr>
              <w:t>TRIAGEM</w:t>
            </w:r>
          </w:p>
        </w:tc>
      </w:tr>
      <w:tr>
        <w:trPr>
          <w:cantSplit/>
        </w:trPr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8"/>
              </w:rPr>
              <w:t>TRIAGEM</w:t>
            </w:r>
          </w:p>
        </w:tc>
        <w:tc>
          <w:tcPr>
            <w:tcW w:type="dxa" w:w="4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8"/>
              </w:rPr>
              <w:t>Segurança, tipo, hash e duplicidade</w:t>
            </w:r>
          </w:p>
        </w:tc>
        <w:tc>
          <w:tcPr>
            <w:tcW w:type="dxa" w:w="29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8"/>
              </w:rPr>
              <w:t>PROCESSANDO, QUARENTENA, FALHA</w:t>
            </w:r>
          </w:p>
        </w:tc>
      </w:tr>
      <w:tr>
        <w:trPr>
          <w:cantSplit/>
        </w:trPr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8"/>
              </w:rPr>
              <w:t>PROCESSANDO</w:t>
            </w:r>
          </w:p>
        </w:tc>
        <w:tc>
          <w:tcPr>
            <w:tcW w:type="dxa" w:w="4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8"/>
              </w:rPr>
              <w:t>Parsing, normalização e regras</w:t>
            </w:r>
          </w:p>
        </w:tc>
        <w:tc>
          <w:tcPr>
            <w:tcW w:type="dxa" w:w="29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8"/>
              </w:rPr>
              <w:t>REVISÃO, PARCIAL, FALHA</w:t>
            </w:r>
          </w:p>
        </w:tc>
      </w:tr>
      <w:tr>
        <w:trPr>
          <w:cantSplit/>
        </w:trPr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8"/>
              </w:rPr>
              <w:t>PARCIAL</w:t>
            </w:r>
          </w:p>
        </w:tc>
        <w:tc>
          <w:tcPr>
            <w:tcW w:type="dxa" w:w="4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8"/>
              </w:rPr>
              <w:t>Parte processada; existem arquivos falhos</w:t>
            </w:r>
          </w:p>
        </w:tc>
        <w:tc>
          <w:tcPr>
            <w:tcW w:type="dxa" w:w="29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8"/>
              </w:rPr>
              <w:t>REVISÃO, REPROCESSANDO</w:t>
            </w:r>
          </w:p>
        </w:tc>
      </w:tr>
      <w:tr>
        <w:trPr>
          <w:cantSplit/>
        </w:trPr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8"/>
              </w:rPr>
              <w:t>REVISÃO</w:t>
            </w:r>
          </w:p>
        </w:tc>
        <w:tc>
          <w:tcPr>
            <w:tcW w:type="dxa" w:w="4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8"/>
              </w:rPr>
              <w:t>Achados disponíveis para tratamento</w:t>
            </w:r>
          </w:p>
        </w:tc>
        <w:tc>
          <w:tcPr>
            <w:tcW w:type="dxa" w:w="29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8"/>
              </w:rPr>
              <w:t>APROVADO, REPROCESSANDO</w:t>
            </w:r>
          </w:p>
        </w:tc>
      </w:tr>
      <w:tr>
        <w:trPr>
          <w:cantSplit/>
        </w:trPr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8"/>
              </w:rPr>
              <w:t>APROVADO</w:t>
            </w:r>
          </w:p>
        </w:tc>
        <w:tc>
          <w:tcPr>
            <w:tcW w:type="dxa" w:w="4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8"/>
              </w:rPr>
              <w:t>Diagnóstico aprovado e congelado</w:t>
            </w:r>
          </w:p>
        </w:tc>
        <w:tc>
          <w:tcPr>
            <w:tcW w:type="dxa" w:w="29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8"/>
              </w:rPr>
              <w:t>EXPORTADO</w:t>
            </w:r>
          </w:p>
        </w:tc>
      </w:tr>
      <w:tr>
        <w:trPr>
          <w:cantSplit/>
        </w:trPr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8"/>
              </w:rPr>
              <w:t>EXPORTADO</w:t>
            </w:r>
          </w:p>
        </w:tc>
        <w:tc>
          <w:tcPr>
            <w:tcW w:type="dxa" w:w="4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8"/>
              </w:rPr>
              <w:t>Dossiê final gerado</w:t>
            </w:r>
          </w:p>
        </w:tc>
        <w:tc>
          <w:tcPr>
            <w:tcW w:type="dxa" w:w="29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8"/>
              </w:rPr>
              <w:t>ARQUIVADO</w:t>
            </w:r>
          </w:p>
        </w:tc>
      </w:tr>
      <w:tr>
        <w:trPr>
          <w:cantSplit/>
        </w:trPr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8"/>
              </w:rPr>
              <w:t>QUARENTENA</w:t>
            </w:r>
          </w:p>
        </w:tc>
        <w:tc>
          <w:tcPr>
            <w:tcW w:type="dxa" w:w="4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8"/>
              </w:rPr>
              <w:t>Arquivo bloqueado para análise</w:t>
            </w:r>
          </w:p>
        </w:tc>
        <w:tc>
          <w:tcPr>
            <w:tcW w:type="dxa" w:w="29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8"/>
              </w:rPr>
              <w:t>REJEITADO, TRIAGEM</w:t>
            </w:r>
          </w:p>
        </w:tc>
      </w:tr>
      <w:tr>
        <w:trPr>
          <w:cantSplit/>
        </w:trPr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8"/>
              </w:rPr>
              <w:t>FALHA</w:t>
            </w:r>
          </w:p>
        </w:tc>
        <w:tc>
          <w:tcPr>
            <w:tcW w:type="dxa" w:w="4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8"/>
              </w:rPr>
              <w:t>Erro terminal após retentativas</w:t>
            </w:r>
          </w:p>
        </w:tc>
        <w:tc>
          <w:tcPr>
            <w:tcW w:type="dxa" w:w="29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8"/>
              </w:rPr>
              <w:t>REPROCESSANDO, CANCELADO</w:t>
            </w:r>
          </w:p>
        </w:tc>
      </w:tr>
    </w:tbl>
    <w:p>
      <w:pPr>
        <w:spacing w:after="60"/>
      </w:pPr>
    </w:p>
    <w:p>
      <w:pPr>
        <w:pStyle w:val="Heading2"/>
        <w:keepNext/>
      </w:pPr>
      <w:r>
        <w:rPr>
          <w:rFonts w:ascii="Calibri" w:hAnsi="Calibri" w:eastAsia="Calibri"/>
          <w:b/>
          <w:color w:val="2E74B5"/>
          <w:sz w:val="26"/>
        </w:rPr>
        <w:t>6.3 Estado do achado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300"/>
        <w:gridCol w:w="7060"/>
      </w:tblGrid>
      <w:tr>
        <w:trPr>
          <w:tblHeader w:val="true"/>
          <w:cantSplit/>
        </w:trPr>
        <w:tc>
          <w:tcPr>
            <w:tcW w:type="dxa" w:w="2300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/>
                <w:color w:val="0B2545"/>
                <w:sz w:val="18"/>
              </w:rPr>
              <w:t>Estado</w:t>
            </w:r>
          </w:p>
        </w:tc>
        <w:tc>
          <w:tcPr>
            <w:tcW w:type="dxa" w:w="7060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/>
                <w:color w:val="0B2545"/>
                <w:sz w:val="18"/>
              </w:rPr>
              <w:t>Regra</w:t>
            </w:r>
          </w:p>
        </w:tc>
      </w:tr>
      <w:tr>
        <w:trPr>
          <w:cantSplit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8"/>
              </w:rPr>
              <w:t>ABERTO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8"/>
              </w:rPr>
              <w:t>Criado pela execução de regra</w:t>
            </w:r>
          </w:p>
        </w:tc>
      </w:tr>
      <w:tr>
        <w:trPr>
          <w:cantSplit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8"/>
              </w:rPr>
              <w:t>EM_ANÁLISE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8"/>
              </w:rPr>
              <w:t>Responsável atribuído</w:t>
            </w:r>
          </w:p>
        </w:tc>
      </w:tr>
      <w:tr>
        <w:trPr>
          <w:cantSplit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8"/>
              </w:rPr>
              <w:t>AGUARDANDO_CLIENTE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8"/>
              </w:rPr>
              <w:t>Documento ou decisão externa necessária</w:t>
            </w:r>
          </w:p>
        </w:tc>
      </w:tr>
      <w:tr>
        <w:trPr>
          <w:cantSplit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8"/>
              </w:rPr>
              <w:t>CORRIGIDO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8"/>
              </w:rPr>
              <w:t>Entrada corrigida; requer reexecução</w:t>
            </w:r>
          </w:p>
        </w:tc>
      </w:tr>
      <w:tr>
        <w:trPr>
          <w:cantSplit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8"/>
              </w:rPr>
              <w:t>ACEITO_COM_RISCO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8"/>
              </w:rPr>
              <w:t>Supervisor aceitou com justificativa</w:t>
            </w:r>
          </w:p>
        </w:tc>
      </w:tr>
      <w:tr>
        <w:trPr>
          <w:cantSplit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8"/>
              </w:rPr>
              <w:t>FALSO_POSITIVO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8"/>
              </w:rPr>
              <w:t>Exceção documentada e vinculada à versão da regra</w:t>
            </w:r>
          </w:p>
        </w:tc>
      </w:tr>
      <w:tr>
        <w:trPr>
          <w:cantSplit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8"/>
              </w:rPr>
              <w:t>ENCERRADO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8"/>
              </w:rPr>
              <w:t>Nova execução comprovou ausência do problema</w:t>
            </w:r>
          </w:p>
        </w:tc>
      </w:tr>
    </w:tbl>
    <w:p>
      <w:pPr>
        <w:spacing w:after="60"/>
      </w:pPr>
    </w:p>
    <w:p>
      <w:pPr>
        <w:pStyle w:val="Heading1"/>
        <w:keepNext/>
      </w:pPr>
      <w:r>
        <w:rPr>
          <w:rFonts w:ascii="Calibri" w:hAnsi="Calibri" w:eastAsia="Calibri"/>
          <w:b/>
          <w:color w:val="2E74B5"/>
          <w:sz w:val="32"/>
        </w:rPr>
        <w:t>7. Motor de regras</w:t>
      </w:r>
    </w:p>
    <w:p>
      <w:pPr>
        <w:pStyle w:val="Heading2"/>
        <w:keepNext/>
      </w:pPr>
      <w:r>
        <w:rPr>
          <w:rFonts w:ascii="Calibri" w:hAnsi="Calibri" w:eastAsia="Calibri"/>
          <w:b/>
          <w:color w:val="2E74B5"/>
          <w:sz w:val="26"/>
        </w:rPr>
        <w:t>7.1 Ciclo de vida da regra</w:t>
      </w:r>
    </w:p>
    <w:p>
      <w:pPr>
        <w:keepNext w:val="0"/>
        <w:spacing w:before="0" w:after="120" w:line="264" w:lineRule="auto"/>
        <w:jc w:val="left"/>
      </w:pPr>
      <w:r>
        <w:rPr>
          <w:rFonts w:ascii="Calibri" w:hAnsi="Calibri" w:eastAsia="Calibri"/>
          <w:b w:val="0"/>
          <w:i w:val="0"/>
          <w:color w:val="17212B"/>
          <w:sz w:val="22"/>
        </w:rPr>
        <w:t>Uma regra é conteúdo controlado. A edição cria uma nova versão; versões executadas nunca são alteradas. Apenas versões PUBLICADAS participam de produção. A publicação exige fonte, período de vigência, responsável fiscal, revisão por segundo aprovador e corpus mínimo de testes.</w:t>
      </w:r>
    </w:p>
    <w:p>
      <w:pPr>
        <w:pStyle w:val="ListBullet"/>
        <w:spacing w:after="100" w:line="280" w:lineRule="auto"/>
        <w:ind w:left="720" w:hanging="360"/>
      </w:pPr>
      <w:r>
        <w:rPr>
          <w:rFonts w:ascii="Calibri" w:hAnsi="Calibri" w:eastAsia="Calibri"/>
          <w:color w:val="17212B"/>
          <w:sz w:val="22"/>
        </w:rPr>
        <w:t>RASCUNHO: editável e invisível para execução produtiva.</w:t>
      </w:r>
    </w:p>
    <w:p>
      <w:pPr>
        <w:pStyle w:val="ListBullet"/>
        <w:spacing w:after="100" w:line="280" w:lineRule="auto"/>
        <w:ind w:left="720" w:hanging="360"/>
      </w:pPr>
      <w:r>
        <w:rPr>
          <w:rFonts w:ascii="Calibri" w:hAnsi="Calibri" w:eastAsia="Calibri"/>
          <w:color w:val="17212B"/>
          <w:sz w:val="22"/>
        </w:rPr>
        <w:t>EM_REVISÃO: bloqueada para edição; testes e evidências anexados.</w:t>
      </w:r>
    </w:p>
    <w:p>
      <w:pPr>
        <w:pStyle w:val="ListBullet"/>
        <w:spacing w:after="100" w:line="280" w:lineRule="auto"/>
        <w:ind w:left="720" w:hanging="360"/>
      </w:pPr>
      <w:r>
        <w:rPr>
          <w:rFonts w:ascii="Calibri" w:hAnsi="Calibri" w:eastAsia="Calibri"/>
          <w:color w:val="17212B"/>
          <w:sz w:val="22"/>
        </w:rPr>
        <w:t>PUBLICADA: aplicável conforme escopo e vigência.</w:t>
      </w:r>
    </w:p>
    <w:p>
      <w:pPr>
        <w:pStyle w:val="ListBullet"/>
        <w:spacing w:after="100" w:line="280" w:lineRule="auto"/>
        <w:ind w:left="720" w:hanging="360"/>
      </w:pPr>
      <w:r>
        <w:rPr>
          <w:rFonts w:ascii="Calibri" w:hAnsi="Calibri" w:eastAsia="Calibri"/>
          <w:color w:val="17212B"/>
          <w:sz w:val="22"/>
        </w:rPr>
        <w:t>SUSPENSA: retirada imediatamente por risco operacional, preservando histórico.</w:t>
      </w:r>
    </w:p>
    <w:p>
      <w:pPr>
        <w:pStyle w:val="ListBullet"/>
        <w:spacing w:after="100" w:line="280" w:lineRule="auto"/>
        <w:ind w:left="720" w:hanging="360"/>
      </w:pPr>
      <w:r>
        <w:rPr>
          <w:rFonts w:ascii="Calibri" w:hAnsi="Calibri" w:eastAsia="Calibri"/>
          <w:color w:val="17212B"/>
          <w:sz w:val="22"/>
        </w:rPr>
        <w:t>ENCERRADA: permanece consultável para competências passadas.</w:t>
      </w:r>
    </w:p>
    <w:p>
      <w:pPr>
        <w:pStyle w:val="Heading2"/>
        <w:keepNext/>
      </w:pPr>
      <w:r>
        <w:rPr>
          <w:rFonts w:ascii="Calibri" w:hAnsi="Calibri" w:eastAsia="Calibri"/>
          <w:b/>
          <w:color w:val="2E74B5"/>
          <w:sz w:val="26"/>
        </w:rPr>
        <w:t>7.2 Contrato mínimo da regra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130" w:type="dxa"/>
              <w:start w:w="160" w:type="dxa"/>
              <w:bottom w:w="130" w:type="dxa"/>
              <w:end w:w="160" w:type="dxa"/>
            </w:tcMar>
            <w:vAlign w:val="center"/>
            <w:shd w:fill="F7F8FA" w:val="clea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after="0" w:line="240" w:lineRule="auto"/>
            </w:pPr>
            <w:r>
              <w:rPr>
                <w:rFonts w:ascii="Liberation Mono" w:hAnsi="Liberation Mono" w:eastAsia="Liberation Mono"/>
                <w:color w:val="263442"/>
                <w:sz w:val="17"/>
              </w:rPr>
              <w:t>{</w:t>
            </w:r>
            <w:r>
              <w:br/>
            </w:r>
            <w:r>
              <w:rPr>
                <w:rFonts w:ascii="Liberation Mono" w:hAnsi="Liberation Mono" w:eastAsia="Liberation Mono"/>
                <w:color w:val="263442"/>
                <w:sz w:val="17"/>
              </w:rPr>
              <w:t xml:space="preserve">  "rule_id": "BR-SP-CAT42-COMP-001",</w:t>
            </w:r>
            <w:r>
              <w:br/>
            </w:r>
            <w:r>
              <w:rPr>
                <w:rFonts w:ascii="Liberation Mono" w:hAnsi="Liberation Mono" w:eastAsia="Liberation Mono"/>
                <w:color w:val="263442"/>
                <w:sz w:val="17"/>
              </w:rPr>
              <w:t xml:space="preserve">  "version": 3,</w:t>
            </w:r>
            <w:r>
              <w:br/>
            </w:r>
            <w:r>
              <w:rPr>
                <w:rFonts w:ascii="Liberation Mono" w:hAnsi="Liberation Mono" w:eastAsia="Liberation Mono"/>
                <w:color w:val="263442"/>
                <w:sz w:val="17"/>
              </w:rPr>
              <w:t xml:space="preserve">  "jurisdiction": "BR-SP",</w:t>
            </w:r>
            <w:r>
              <w:br/>
            </w:r>
            <w:r>
              <w:rPr>
                <w:rFonts w:ascii="Liberation Mono" w:hAnsi="Liberation Mono" w:eastAsia="Liberation Mono"/>
                <w:color w:val="263442"/>
                <w:sz w:val="17"/>
              </w:rPr>
              <w:t xml:space="preserve">  "effective_from": "2026-01-01",</w:t>
            </w:r>
            <w:r>
              <w:br/>
            </w:r>
            <w:r>
              <w:rPr>
                <w:rFonts w:ascii="Liberation Mono" w:hAnsi="Liberation Mono" w:eastAsia="Liberation Mono"/>
                <w:color w:val="263442"/>
                <w:sz w:val="17"/>
              </w:rPr>
              <w:t xml:space="preserve">  "effective_to": null,</w:t>
            </w:r>
            <w:r>
              <w:br/>
            </w:r>
            <w:r>
              <w:rPr>
                <w:rFonts w:ascii="Liberation Mono" w:hAnsi="Liberation Mono" w:eastAsia="Liberation Mono"/>
                <w:color w:val="263442"/>
                <w:sz w:val="17"/>
              </w:rPr>
              <w:t xml:space="preserve">  "inputs": ["nfe", "efd_icms_ipi"],</w:t>
            </w:r>
            <w:r>
              <w:br/>
            </w:r>
            <w:r>
              <w:rPr>
                <w:rFonts w:ascii="Liberation Mono" w:hAnsi="Liberation Mono" w:eastAsia="Liberation Mono"/>
                <w:color w:val="263442"/>
                <w:sz w:val="17"/>
              </w:rPr>
              <w:t xml:space="preserve">  "severity": "high",</w:t>
            </w:r>
            <w:r>
              <w:br/>
            </w:r>
            <w:r>
              <w:rPr>
                <w:rFonts w:ascii="Liberation Mono" w:hAnsi="Liberation Mono" w:eastAsia="Liberation Mono"/>
                <w:color w:val="263442"/>
                <w:sz w:val="17"/>
              </w:rPr>
              <w:t xml:space="preserve">  "expression": "... expressão declarativa ...",</w:t>
            </w:r>
            <w:r>
              <w:br/>
            </w:r>
            <w:r>
              <w:rPr>
                <w:rFonts w:ascii="Liberation Mono" w:hAnsi="Liberation Mono" w:eastAsia="Liberation Mono"/>
                <w:color w:val="263442"/>
                <w:sz w:val="17"/>
              </w:rPr>
              <w:t xml:space="preserve">  "evidence_fields": ["access_key", "efd_record", "difference"],</w:t>
            </w:r>
            <w:r>
              <w:br/>
            </w:r>
            <w:r>
              <w:rPr>
                <w:rFonts w:ascii="Liberation Mono" w:hAnsi="Liberation Mono" w:eastAsia="Liberation Mono"/>
                <w:color w:val="263442"/>
                <w:sz w:val="17"/>
              </w:rPr>
              <w:t xml:space="preserve">  "source_refs": ["normative-reference-id"],</w:t>
            </w:r>
            <w:r>
              <w:br/>
            </w:r>
            <w:r>
              <w:rPr>
                <w:rFonts w:ascii="Liberation Mono" w:hAnsi="Liberation Mono" w:eastAsia="Liberation Mono"/>
                <w:color w:val="263442"/>
                <w:sz w:val="17"/>
              </w:rPr>
              <w:t xml:space="preserve">  "owner": "tax-content-team",</w:t>
            </w:r>
            <w:r>
              <w:br/>
            </w:r>
            <w:r>
              <w:rPr>
                <w:rFonts w:ascii="Liberation Mono" w:hAnsi="Liberation Mono" w:eastAsia="Liberation Mono"/>
                <w:color w:val="263442"/>
                <w:sz w:val="17"/>
              </w:rPr>
              <w:t xml:space="preserve">  "status": "published"</w:t>
            </w:r>
            <w:r>
              <w:br/>
            </w:r>
            <w:r>
              <w:rPr>
                <w:rFonts w:ascii="Liberation Mono" w:hAnsi="Liberation Mono" w:eastAsia="Liberation Mono"/>
                <w:color w:val="263442"/>
                <w:sz w:val="17"/>
              </w:rPr>
              <w:t>}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Calibri" w:hAnsi="Calibri" w:eastAsia="Calibri"/>
          <w:b/>
          <w:color w:val="2E74B5"/>
          <w:sz w:val="26"/>
        </w:rPr>
        <w:t>7.3 Categorias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300"/>
        <w:gridCol w:w="7060"/>
      </w:tblGrid>
      <w:tr>
        <w:trPr>
          <w:tblHeader w:val="true"/>
          <w:cantSplit/>
        </w:trPr>
        <w:tc>
          <w:tcPr>
            <w:tcW w:type="dxa" w:w="2300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/>
                <w:color w:val="0B2545"/>
                <w:sz w:val="18"/>
              </w:rPr>
              <w:t>Categoria</w:t>
            </w:r>
          </w:p>
        </w:tc>
        <w:tc>
          <w:tcPr>
            <w:tcW w:type="dxa" w:w="7060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/>
                <w:color w:val="0B2545"/>
                <w:sz w:val="18"/>
              </w:rPr>
              <w:t>Exemplos</w:t>
            </w:r>
          </w:p>
        </w:tc>
      </w:tr>
      <w:tr>
        <w:trPr>
          <w:cantSplit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8"/>
              </w:rPr>
              <w:t>Estrutura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8"/>
              </w:rPr>
              <w:t>Schema, encoding, registro obrigatório, formato de chave</w:t>
            </w:r>
          </w:p>
        </w:tc>
      </w:tr>
      <w:tr>
        <w:trPr>
          <w:cantSplit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8"/>
              </w:rPr>
              <w:t>Integridade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8"/>
              </w:rPr>
              <w:t>Hash, assinatura presente, totais internos, sequência e duplicidade</w:t>
            </w:r>
          </w:p>
        </w:tc>
      </w:tr>
      <w:tr>
        <w:trPr>
          <w:cantSplit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8"/>
              </w:rPr>
              <w:t>Completude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8"/>
              </w:rPr>
              <w:t>Documento faltante, evento ausente, lacuna de competência</w:t>
            </w:r>
          </w:p>
        </w:tc>
      </w:tr>
      <w:tr>
        <w:trPr>
          <w:cantSplit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8"/>
              </w:rPr>
              <w:t>Reconciliação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8"/>
              </w:rPr>
              <w:t>XML x EFD x cadastro x apuração x estoque</w:t>
            </w:r>
          </w:p>
        </w:tc>
      </w:tr>
      <w:tr>
        <w:trPr>
          <w:cantSplit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8"/>
              </w:rPr>
              <w:t>Conteúdo fiscal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8"/>
              </w:rPr>
              <w:t>CFOP, CST/CSOSN, alíquota, base e combinações inválidas</w:t>
            </w:r>
          </w:p>
        </w:tc>
      </w:tr>
      <w:tr>
        <w:trPr>
          <w:cantSplit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8"/>
              </w:rPr>
              <w:t>Temporal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8"/>
              </w:rPr>
              <w:t>Vigência, cancelamento, extemporaneidade e períodos fechados</w:t>
            </w:r>
          </w:p>
        </w:tc>
      </w:tr>
      <w:tr>
        <w:trPr>
          <w:cantSplit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8"/>
              </w:rPr>
              <w:t>Oportunidade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8"/>
              </w:rPr>
              <w:t>Elegibilidade e estimativa, sempre identificada como não homologada</w:t>
            </w:r>
          </w:p>
        </w:tc>
      </w:tr>
      <w:tr>
        <w:trPr>
          <w:cantSplit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8"/>
              </w:rPr>
              <w:t>Risco operacional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8"/>
              </w:rPr>
              <w:t>Arquivo corrompido, volume atípico ou parâmetro ausente</w:t>
            </w:r>
          </w:p>
        </w:tc>
      </w:tr>
    </w:tbl>
    <w:p>
      <w:pPr>
        <w:spacing w:after="60"/>
      </w:pPr>
    </w:p>
    <w:p>
      <w:pPr>
        <w:pStyle w:val="Heading2"/>
        <w:keepNext/>
      </w:pPr>
      <w:r>
        <w:rPr>
          <w:rFonts w:ascii="Calibri" w:hAnsi="Calibri" w:eastAsia="Calibri"/>
          <w:b/>
          <w:color w:val="2E74B5"/>
          <w:sz w:val="26"/>
        </w:rPr>
        <w:t>7.4 Reexecução</w:t>
      </w:r>
    </w:p>
    <w:p>
      <w:pPr>
        <w:keepNext w:val="0"/>
        <w:spacing w:before="0" w:after="120" w:line="264" w:lineRule="auto"/>
        <w:jc w:val="left"/>
      </w:pPr>
      <w:r>
        <w:rPr>
          <w:rFonts w:ascii="Calibri" w:hAnsi="Calibri" w:eastAsia="Calibri"/>
          <w:b w:val="0"/>
          <w:i w:val="0"/>
          <w:color w:val="17212B"/>
          <w:sz w:val="22"/>
        </w:rPr>
        <w:t>Toda execução recebe execution_id e input_manifest_hash. Uma reexecução cria novo registro e relaciona o anterior por supersedes_execution_id. A interface mostra diferenças entre versões; nunca reescreve silenciosamente um achado histórico.</w:t>
      </w:r>
    </w:p>
    <w:p>
      <w:pPr>
        <w:pStyle w:val="Heading1"/>
        <w:keepNext/>
      </w:pPr>
      <w:r>
        <w:rPr>
          <w:rFonts w:ascii="Calibri" w:hAnsi="Calibri" w:eastAsia="Calibri"/>
          <w:b/>
          <w:color w:val="2E74B5"/>
          <w:sz w:val="32"/>
        </w:rPr>
        <w:t>8. Dados, APIs e eventos</w:t>
      </w:r>
    </w:p>
    <w:p>
      <w:pPr>
        <w:pStyle w:val="Heading2"/>
        <w:keepNext/>
      </w:pPr>
      <w:r>
        <w:rPr>
          <w:rFonts w:ascii="Calibri" w:hAnsi="Calibri" w:eastAsia="Calibri"/>
          <w:b/>
          <w:color w:val="2E74B5"/>
          <w:sz w:val="26"/>
        </w:rPr>
        <w:t>8.1 Estratégia de persistência</w:t>
      </w:r>
    </w:p>
    <w:p>
      <w:pPr>
        <w:keepNext w:val="0"/>
        <w:spacing w:before="0" w:after="120" w:line="264" w:lineRule="auto"/>
        <w:jc w:val="left"/>
      </w:pPr>
      <w:r>
        <w:rPr>
          <w:rFonts w:ascii="Calibri" w:hAnsi="Calibri" w:eastAsia="Calibri"/>
          <w:b w:val="0"/>
          <w:i w:val="0"/>
          <w:color w:val="17212B"/>
          <w:sz w:val="22"/>
        </w:rPr>
        <w:t>O D1 guarda dados transacionais e índices de consulta. O R2 guarda conteúdo de alto volume. XMLs, EFDs e PDFs não são persistidos como BLOB no D1. Dados de itens podem ser normalizados em JSONL/Parquet no R2 e processados em Container; o D1 recebe somente campos necessários para busca, totais e resultados operacionais.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050"/>
        <w:gridCol w:w="3600"/>
        <w:gridCol w:w="3710"/>
      </w:tblGrid>
      <w:tr>
        <w:trPr>
          <w:tblHeader w:val="true"/>
          <w:cantSplit/>
        </w:trPr>
        <w:tc>
          <w:tcPr>
            <w:tcW w:type="dxa" w:w="2050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/>
                <w:color w:val="0B2545"/>
                <w:sz w:val="18"/>
              </w:rPr>
              <w:t>Armazenamento</w:t>
            </w:r>
          </w:p>
        </w:tc>
        <w:tc>
          <w:tcPr>
            <w:tcW w:type="dxa" w:w="3600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/>
                <w:color w:val="0B2545"/>
                <w:sz w:val="18"/>
              </w:rPr>
              <w:t>Conteúdo</w:t>
            </w:r>
          </w:p>
        </w:tc>
        <w:tc>
          <w:tcPr>
            <w:tcW w:type="dxa" w:w="3710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/>
                <w:color w:val="0B2545"/>
                <w:sz w:val="18"/>
              </w:rPr>
              <w:t>Política</w:t>
            </w:r>
          </w:p>
        </w:tc>
      </w:tr>
      <w:tr>
        <w:trPr>
          <w:cantSplit/>
        </w:trPr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8"/>
              </w:rPr>
              <w:t>D1 controle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8"/>
              </w:rPr>
              <w:t>Tenants, usuários, memberships, planos, registro de shards</w:t>
            </w:r>
          </w:p>
        </w:tc>
        <w:tc>
          <w:tcPr>
            <w:tcW w:type="dxa" w:w="3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8"/>
              </w:rPr>
              <w:t>Pequeno e global; sem dados fiscais detalhados</w:t>
            </w:r>
          </w:p>
        </w:tc>
      </w:tr>
      <w:tr>
        <w:trPr>
          <w:cantSplit/>
        </w:trPr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8"/>
              </w:rPr>
              <w:t>D1 de coorte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8"/>
              </w:rPr>
              <w:t>Clientes, lotes, índices, achados, oportunidades, auditoria</w:t>
            </w:r>
          </w:p>
        </w:tc>
        <w:tc>
          <w:tcPr>
            <w:tcW w:type="dxa" w:w="3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8"/>
              </w:rPr>
              <w:t>tenant_id obrigatório; enterprise pode ter banco dedicado</w:t>
            </w:r>
          </w:p>
        </w:tc>
      </w:tr>
      <w:tr>
        <w:trPr>
          <w:cantSplit/>
        </w:trPr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8"/>
              </w:rPr>
              <w:t>R2 raw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8"/>
              </w:rPr>
              <w:t>Originais recebidos</w:t>
            </w:r>
          </w:p>
        </w:tc>
        <w:tc>
          <w:tcPr>
            <w:tcW w:type="dxa" w:w="3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8"/>
              </w:rPr>
              <w:t>Privado, imutável por política, hash e retenção configurável</w:t>
            </w:r>
          </w:p>
        </w:tc>
      </w:tr>
      <w:tr>
        <w:trPr>
          <w:cantSplit/>
        </w:trPr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8"/>
              </w:rPr>
              <w:t>R2 quarantine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8"/>
              </w:rPr>
              <w:t>Conteúdo suspeito</w:t>
            </w:r>
          </w:p>
        </w:tc>
        <w:tc>
          <w:tcPr>
            <w:tcW w:type="dxa" w:w="3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8"/>
              </w:rPr>
              <w:t>Sem download ao usuário comum; prazo reduzido</w:t>
            </w:r>
          </w:p>
        </w:tc>
      </w:tr>
      <w:tr>
        <w:trPr>
          <w:cantSplit/>
        </w:trPr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8"/>
              </w:rPr>
              <w:t>R2 normalized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8"/>
              </w:rPr>
              <w:t>JSONL/Parquet por lote e competência</w:t>
            </w:r>
          </w:p>
        </w:tc>
        <w:tc>
          <w:tcPr>
            <w:tcW w:type="dxa" w:w="3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8"/>
              </w:rPr>
              <w:t>Versionado pelo schema e parser</w:t>
            </w:r>
          </w:p>
        </w:tc>
      </w:tr>
      <w:tr>
        <w:trPr>
          <w:cantSplit/>
        </w:trPr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8"/>
              </w:rPr>
              <w:t>R2 reports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8"/>
              </w:rPr>
              <w:t>PDF, CSV, ZIP e arquivos fiscais gerados</w:t>
            </w:r>
          </w:p>
        </w:tc>
        <w:tc>
          <w:tcPr>
            <w:tcW w:type="dxa" w:w="3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8"/>
              </w:rPr>
              <w:t>Somente por URL temporária e autorização</w:t>
            </w:r>
          </w:p>
        </w:tc>
      </w:tr>
    </w:tbl>
    <w:p>
      <w:pPr>
        <w:spacing w:after="60"/>
      </w:pPr>
    </w:p>
    <w:p>
      <w:pPr>
        <w:pStyle w:val="Heading2"/>
        <w:keepNext/>
      </w:pPr>
      <w:r>
        <w:rPr>
          <w:rFonts w:ascii="Calibri" w:hAnsi="Calibri" w:eastAsia="Calibri"/>
          <w:b/>
          <w:color w:val="2E74B5"/>
          <w:sz w:val="26"/>
        </w:rPr>
        <w:t>8.2 Entidades principais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3200"/>
        <w:gridCol w:w="3960"/>
      </w:tblGrid>
      <w:tr>
        <w:trPr>
          <w:tblHeader w:val="true"/>
          <w:cantSplit/>
        </w:trPr>
        <w:tc>
          <w:tcPr>
            <w:tcW w:type="dxa" w:w="2200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/>
                <w:color w:val="0B2545"/>
                <w:sz w:val="18"/>
              </w:rPr>
              <w:t>Entidade</w:t>
            </w:r>
          </w:p>
        </w:tc>
        <w:tc>
          <w:tcPr>
            <w:tcW w:type="dxa" w:w="3200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/>
                <w:color w:val="0B2545"/>
                <w:sz w:val="18"/>
              </w:rPr>
              <w:t>Finalidade</w:t>
            </w:r>
          </w:p>
        </w:tc>
        <w:tc>
          <w:tcPr>
            <w:tcW w:type="dxa" w:w="3960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/>
                <w:color w:val="0B2545"/>
                <w:sz w:val="18"/>
              </w:rPr>
              <w:t>Campos-chave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8"/>
              </w:rPr>
              <w:t>organization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8"/>
              </w:rPr>
              <w:t>Escritório contábil/tenant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8"/>
              </w:rPr>
              <w:t>id, legal_name, status, policy_id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8"/>
              </w:rPr>
              <w:t>membership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8"/>
              </w:rPr>
              <w:t>Vínculo usuário-tenant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8"/>
              </w:rPr>
              <w:t>user_id, organization_id, role, scope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8"/>
              </w:rPr>
              <w:t>client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8"/>
              </w:rPr>
              <w:t>Empresa atendida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8"/>
              </w:rPr>
              <w:t>id, organization_id, legal_name, status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8"/>
              </w:rPr>
              <w:t>establishment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8"/>
              </w:rPr>
              <w:t>Estabelecimento fiscal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8"/>
              </w:rPr>
              <w:t>client_id, cnpj, ie, uf, regime, validity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8"/>
              </w:rPr>
              <w:t>fiscal_period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8"/>
              </w:rPr>
              <w:t>Competência controlada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8"/>
              </w:rPr>
              <w:t>establishment_id, year_month, status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8"/>
              </w:rPr>
              <w:t>document_batch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8"/>
              </w:rPr>
              <w:t>Unidade de ingestão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8"/>
              </w:rPr>
              <w:t>period_id, purpose, status, manifest_hash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8"/>
              </w:rPr>
              <w:t>file_object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8"/>
              </w:rPr>
              <w:t>Objeto recebido/gerado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8"/>
              </w:rPr>
              <w:t>r2_key, sha256, size, mime, kind, retention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8"/>
              </w:rPr>
              <w:t>fiscal_document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8"/>
              </w:rPr>
              <w:t>Documento normalizado/indexado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8"/>
              </w:rPr>
              <w:t>type, access_key, dates, totals, source_file_id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8"/>
              </w:rPr>
              <w:t>rule_version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8"/>
              </w:rPr>
              <w:t>Regra imutável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8"/>
              </w:rPr>
              <w:t>rule_id, version, scope, validity, source, status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8"/>
              </w:rPr>
              <w:t>validation_run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8"/>
              </w:rPr>
              <w:t>Execução reproduzível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8"/>
              </w:rPr>
              <w:t>batch_id, ruleset_hash, input_hash, status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8"/>
              </w:rPr>
              <w:t>finding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8"/>
              </w:rPr>
              <w:t>Resultado de regra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8"/>
              </w:rPr>
              <w:t>run_id, rule_version_id, severity, evidence_ref, state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8"/>
              </w:rPr>
              <w:t>credit_opportunity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8"/>
              </w:rPr>
              <w:t>Estimativa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8"/>
              </w:rPr>
              <w:t>module, value, parameters, confidence, approval_state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8"/>
              </w:rPr>
              <w:t>dossier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8"/>
              </w:rPr>
              <w:t>Pacote aprovado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8"/>
              </w:rPr>
              <w:t>opportunity_id, version, manifest_hash, output_refs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8"/>
              </w:rPr>
              <w:t>audit_event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8"/>
              </w:rPr>
              <w:t>Evento de auditoria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8"/>
              </w:rPr>
              <w:t>actor, action, resource, tenant, trace, timestamp</w:t>
            </w:r>
          </w:p>
        </w:tc>
      </w:tr>
    </w:tbl>
    <w:p>
      <w:pPr>
        <w:spacing w:after="60"/>
      </w:pPr>
    </w:p>
    <w:p>
      <w:pPr>
        <w:pStyle w:val="Heading2"/>
        <w:keepNext/>
      </w:pPr>
      <w:r>
        <w:rPr>
          <w:rFonts w:ascii="Calibri" w:hAnsi="Calibri" w:eastAsia="Calibri"/>
          <w:b/>
          <w:color w:val="2E74B5"/>
          <w:sz w:val="26"/>
        </w:rPr>
        <w:t>8.3 Convenção de chaves no R2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130" w:type="dxa"/>
              <w:start w:w="160" w:type="dxa"/>
              <w:bottom w:w="130" w:type="dxa"/>
              <w:end w:w="160" w:type="dxa"/>
            </w:tcMar>
            <w:vAlign w:val="center"/>
            <w:shd w:fill="F7F8FA" w:val="clea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after="0" w:line="240" w:lineRule="auto"/>
            </w:pPr>
            <w:r>
              <w:rPr>
                <w:rFonts w:ascii="Liberation Mono" w:hAnsi="Liberation Mono" w:eastAsia="Liberation Mono"/>
                <w:color w:val="263442"/>
                <w:sz w:val="17"/>
              </w:rPr>
              <w:t>{environment}/{tenant_id}/{client_id}/{establishment_id}/{year}/{month}/</w:t>
            </w:r>
            <w:r>
              <w:br/>
            </w:r>
            <w:r>
              <w:rPr>
                <w:rFonts w:ascii="Liberation Mono" w:hAnsi="Liberation Mono" w:eastAsia="Liberation Mono"/>
                <w:color w:val="263442"/>
                <w:sz w:val="17"/>
              </w:rPr>
              <w:t xml:space="preserve">  raw/{batch_id}/{sha256}.{ext}</w:t>
            </w:r>
            <w:r>
              <w:br/>
            </w:r>
            <w:r>
              <w:rPr>
                <w:rFonts w:ascii="Liberation Mono" w:hAnsi="Liberation Mono" w:eastAsia="Liberation Mono"/>
                <w:color w:val="263442"/>
                <w:sz w:val="17"/>
              </w:rPr>
              <w:t xml:space="preserve">  normalized/{schema_version}/{batch_id}/{partition}.parquet</w:t>
            </w:r>
            <w:r>
              <w:br/>
            </w:r>
            <w:r>
              <w:rPr>
                <w:rFonts w:ascii="Liberation Mono" w:hAnsi="Liberation Mono" w:eastAsia="Liberation Mono"/>
                <w:color w:val="263442"/>
                <w:sz w:val="17"/>
              </w:rPr>
              <w:t xml:space="preserve">  evidence/{validation_run_id}/{finding_id}.json</w:t>
            </w:r>
            <w:r>
              <w:br/>
            </w:r>
            <w:r>
              <w:rPr>
                <w:rFonts w:ascii="Liberation Mono" w:hAnsi="Liberation Mono" w:eastAsia="Liberation Mono"/>
                <w:color w:val="263442"/>
                <w:sz w:val="17"/>
              </w:rPr>
              <w:t xml:space="preserve">  reports/{dossier_id}/{version}/{artifact_name}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Calibri" w:hAnsi="Calibri" w:eastAsia="Calibri"/>
          <w:b/>
          <w:color w:val="2E74B5"/>
          <w:sz w:val="26"/>
        </w:rPr>
        <w:t>8.4 Contrato da API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 w:eastAsia="Calibri"/>
          <w:color w:val="17212B"/>
          <w:sz w:val="22"/>
        </w:rPr>
        <w:t>Base: /v1; JSON UTF-8; datas ISO 8601 UTC; valores monetários em centavos inteiros.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 w:eastAsia="Calibri"/>
          <w:color w:val="17212B"/>
          <w:sz w:val="22"/>
        </w:rPr>
        <w:t>Autorização derivada da sessão; tenant_id de rota deve coincidir com a associação ativa.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 w:eastAsia="Calibri"/>
          <w:color w:val="17212B"/>
          <w:sz w:val="22"/>
        </w:rPr>
        <w:t>POST mutável aceita Idempotency-Key; toda resposta inclui X-Request-Id.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 w:eastAsia="Calibri"/>
          <w:color w:val="17212B"/>
          <w:sz w:val="22"/>
        </w:rPr>
        <w:t>Paginação por cursor opaco; filtros validados por allowlist.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 w:eastAsia="Calibri"/>
          <w:color w:val="17212B"/>
          <w:sz w:val="22"/>
        </w:rPr>
        <w:t>Erros seguem application/problem+json, sem conteúdo fiscal sensível em detail.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 w:eastAsia="Calibri"/>
          <w:color w:val="17212B"/>
          <w:sz w:val="22"/>
        </w:rPr>
        <w:t>Uploads usam sessão e URL temporária; a API não recebe o arquivo grande no mesmo processo.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850"/>
        <w:gridCol w:w="3050"/>
        <w:gridCol w:w="1600"/>
        <w:gridCol w:w="3860"/>
      </w:tblGrid>
      <w:tr>
        <w:trPr>
          <w:tblHeader w:val="true"/>
          <w:cantSplit/>
        </w:trPr>
        <w:tc>
          <w:tcPr>
            <w:tcW w:type="dxa" w:w="850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/>
                <w:color w:val="0B2545"/>
                <w:sz w:val="18"/>
              </w:rPr>
              <w:t>Método</w:t>
            </w:r>
          </w:p>
        </w:tc>
        <w:tc>
          <w:tcPr>
            <w:tcW w:type="dxa" w:w="3050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/>
                <w:color w:val="0B2545"/>
                <w:sz w:val="18"/>
              </w:rPr>
              <w:t>Rota</w:t>
            </w:r>
          </w:p>
        </w:tc>
        <w:tc>
          <w:tcPr>
            <w:tcW w:type="dxa" w:w="1600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/>
                <w:color w:val="0B2545"/>
                <w:sz w:val="18"/>
              </w:rPr>
              <w:t>Papel mínimo</w:t>
            </w:r>
          </w:p>
        </w:tc>
        <w:tc>
          <w:tcPr>
            <w:tcW w:type="dxa" w:w="3860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/>
                <w:color w:val="0B2545"/>
                <w:sz w:val="18"/>
              </w:rPr>
              <w:t>Finalidade</w:t>
            </w:r>
          </w:p>
        </w:tc>
      </w:tr>
      <w:tr>
        <w:trPr>
          <w:cantSplit/>
        </w:trPr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7"/>
              </w:rPr>
              <w:t>POST</w:t>
            </w:r>
          </w:p>
        </w:tc>
        <w:tc>
          <w:tcPr>
            <w:tcW w:type="dxa" w:w="3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7"/>
              </w:rPr>
              <w:t>/v1/organizations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7"/>
              </w:rPr>
              <w:t>org_admin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7"/>
              </w:rPr>
              <w:t>Criar tenant durante provisionamento</w:t>
            </w:r>
          </w:p>
        </w:tc>
      </w:tr>
      <w:tr>
        <w:trPr>
          <w:cantSplit/>
        </w:trPr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7"/>
              </w:rPr>
              <w:t>GET</w:t>
            </w:r>
          </w:p>
        </w:tc>
        <w:tc>
          <w:tcPr>
            <w:tcW w:type="dxa" w:w="3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7"/>
              </w:rPr>
              <w:t>/v1/organizations/{id}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7"/>
              </w:rPr>
              <w:t>member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7"/>
              </w:rPr>
              <w:t>Obter contexto e recursos habilitados</w:t>
            </w:r>
          </w:p>
        </w:tc>
      </w:tr>
      <w:tr>
        <w:trPr>
          <w:cantSplit/>
        </w:trPr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7"/>
              </w:rPr>
              <w:t>POST</w:t>
            </w:r>
          </w:p>
        </w:tc>
        <w:tc>
          <w:tcPr>
            <w:tcW w:type="dxa" w:w="3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7"/>
              </w:rPr>
              <w:t>/v1/organizations/{id}/members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7"/>
              </w:rPr>
              <w:t>org_admin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7"/>
              </w:rPr>
              <w:t>Convidar usuário e definir papel</w:t>
            </w:r>
          </w:p>
        </w:tc>
      </w:tr>
      <w:tr>
        <w:trPr>
          <w:cantSplit/>
        </w:trPr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7"/>
              </w:rPr>
              <w:t>GET</w:t>
            </w:r>
          </w:p>
        </w:tc>
        <w:tc>
          <w:tcPr>
            <w:tcW w:type="dxa" w:w="3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7"/>
              </w:rPr>
              <w:t>/v1/clients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7"/>
              </w:rPr>
              <w:t>member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7"/>
              </w:rPr>
              <w:t>Listar clientes autorizados</w:t>
            </w:r>
          </w:p>
        </w:tc>
      </w:tr>
      <w:tr>
        <w:trPr>
          <w:cantSplit/>
        </w:trPr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7"/>
              </w:rPr>
              <w:t>POST</w:t>
            </w:r>
          </w:p>
        </w:tc>
        <w:tc>
          <w:tcPr>
            <w:tcW w:type="dxa" w:w="3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7"/>
              </w:rPr>
              <w:t>/v1/clients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7"/>
              </w:rPr>
              <w:t>supervisor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7"/>
              </w:rPr>
              <w:t>Cadastrar cliente</w:t>
            </w:r>
          </w:p>
        </w:tc>
      </w:tr>
      <w:tr>
        <w:trPr>
          <w:cantSplit/>
        </w:trPr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7"/>
              </w:rPr>
              <w:t>POST</w:t>
            </w:r>
          </w:p>
        </w:tc>
        <w:tc>
          <w:tcPr>
            <w:tcW w:type="dxa" w:w="3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7"/>
              </w:rPr>
              <w:t>/v1/clients/imports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7"/>
              </w:rPr>
              <w:t>supervisor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7"/>
              </w:rPr>
              <w:t>Iniciar importação CSV</w:t>
            </w:r>
          </w:p>
        </w:tc>
      </w:tr>
      <w:tr>
        <w:trPr>
          <w:cantSplit/>
        </w:trPr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7"/>
              </w:rPr>
              <w:t>POST</w:t>
            </w:r>
          </w:p>
        </w:tc>
        <w:tc>
          <w:tcPr>
            <w:tcW w:type="dxa" w:w="3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7"/>
              </w:rPr>
              <w:t>/v1/establishments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7"/>
              </w:rPr>
              <w:t>analyst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7"/>
              </w:rPr>
              <w:t>Cadastrar estabelecimento e vigência</w:t>
            </w:r>
          </w:p>
        </w:tc>
      </w:tr>
      <w:tr>
        <w:trPr>
          <w:cantSplit/>
        </w:trPr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7"/>
              </w:rPr>
              <w:t>POST</w:t>
            </w:r>
          </w:p>
        </w:tc>
        <w:tc>
          <w:tcPr>
            <w:tcW w:type="dxa" w:w="3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7"/>
              </w:rPr>
              <w:t>/v1/batches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7"/>
              </w:rPr>
              <w:t>analyst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7"/>
              </w:rPr>
              <w:t>Criar lote</w:t>
            </w:r>
          </w:p>
        </w:tc>
      </w:tr>
      <w:tr>
        <w:trPr>
          <w:cantSplit/>
        </w:trPr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7"/>
              </w:rPr>
              <w:t>POST</w:t>
            </w:r>
          </w:p>
        </w:tc>
        <w:tc>
          <w:tcPr>
            <w:tcW w:type="dxa" w:w="3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7"/>
              </w:rPr>
              <w:t>/v1/batches/{id}/uploads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7"/>
              </w:rPr>
              <w:t>analyst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7"/>
              </w:rPr>
              <w:t>Criar sessão de upload direto</w:t>
            </w:r>
          </w:p>
        </w:tc>
      </w:tr>
      <w:tr>
        <w:trPr>
          <w:cantSplit/>
        </w:trPr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7"/>
              </w:rPr>
              <w:t>POST</w:t>
            </w:r>
          </w:p>
        </w:tc>
        <w:tc>
          <w:tcPr>
            <w:tcW w:type="dxa" w:w="3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7"/>
              </w:rPr>
              <w:t>/v1/uploads/{id}/complete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7"/>
              </w:rPr>
              <w:t>analyst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7"/>
              </w:rPr>
              <w:t>Confirmar partes, hash e tamanho</w:t>
            </w:r>
          </w:p>
        </w:tc>
      </w:tr>
      <w:tr>
        <w:trPr>
          <w:cantSplit/>
        </w:trPr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7"/>
              </w:rPr>
              <w:t>POST</w:t>
            </w:r>
          </w:p>
        </w:tc>
        <w:tc>
          <w:tcPr>
            <w:tcW w:type="dxa" w:w="3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7"/>
              </w:rPr>
              <w:t>/v1/batches/{id}/submit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7"/>
              </w:rPr>
              <w:t>analyst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7"/>
              </w:rPr>
              <w:t>Selar manifesto e iniciar processamento</w:t>
            </w:r>
          </w:p>
        </w:tc>
      </w:tr>
      <w:tr>
        <w:trPr>
          <w:cantSplit/>
        </w:trPr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7"/>
              </w:rPr>
              <w:t>GET</w:t>
            </w:r>
          </w:p>
        </w:tc>
        <w:tc>
          <w:tcPr>
            <w:tcW w:type="dxa" w:w="3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7"/>
              </w:rPr>
              <w:t>/v1/batches/{id}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7"/>
              </w:rPr>
              <w:t>scoped_member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7"/>
              </w:rPr>
              <w:t>Consultar progresso e resumo</w:t>
            </w:r>
          </w:p>
        </w:tc>
      </w:tr>
      <w:tr>
        <w:trPr>
          <w:cantSplit/>
        </w:trPr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7"/>
              </w:rPr>
              <w:t>POST</w:t>
            </w:r>
          </w:p>
        </w:tc>
        <w:tc>
          <w:tcPr>
            <w:tcW w:type="dxa" w:w="3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7"/>
              </w:rPr>
              <w:t>/v1/batches/{id}/reprocess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7"/>
              </w:rPr>
              <w:t>supervisor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7"/>
              </w:rPr>
              <w:t>Criar nova execução</w:t>
            </w:r>
          </w:p>
        </w:tc>
      </w:tr>
      <w:tr>
        <w:trPr>
          <w:cantSplit/>
        </w:trPr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7"/>
              </w:rPr>
              <w:t>GET</w:t>
            </w:r>
          </w:p>
        </w:tc>
        <w:tc>
          <w:tcPr>
            <w:tcW w:type="dxa" w:w="3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7"/>
              </w:rPr>
              <w:t>/v1/findings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7"/>
              </w:rPr>
              <w:t>scoped_member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7"/>
              </w:rPr>
              <w:t>Filtrar e paginar achados</w:t>
            </w:r>
          </w:p>
        </w:tc>
      </w:tr>
      <w:tr>
        <w:trPr>
          <w:cantSplit/>
        </w:trPr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7"/>
              </w:rPr>
              <w:t>PATCH</w:t>
            </w:r>
          </w:p>
        </w:tc>
        <w:tc>
          <w:tcPr>
            <w:tcW w:type="dxa" w:w="3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7"/>
              </w:rPr>
              <w:t>/v1/findings/{id}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7"/>
              </w:rPr>
              <w:t>analyst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7"/>
              </w:rPr>
              <w:t>Atribuir ou mudar estado permitido</w:t>
            </w:r>
          </w:p>
        </w:tc>
      </w:tr>
      <w:tr>
        <w:trPr>
          <w:cantSplit/>
        </w:trPr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7"/>
              </w:rPr>
              <w:t>POST</w:t>
            </w:r>
          </w:p>
        </w:tc>
        <w:tc>
          <w:tcPr>
            <w:tcW w:type="dxa" w:w="3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7"/>
              </w:rPr>
              <w:t>/v1/findings/{id}/comments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7"/>
              </w:rPr>
              <w:t>analyst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7"/>
              </w:rPr>
              <w:t>Registrar comentário/evidência</w:t>
            </w:r>
          </w:p>
        </w:tc>
      </w:tr>
      <w:tr>
        <w:trPr>
          <w:cantSplit/>
        </w:trPr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7"/>
              </w:rPr>
              <w:t>GET</w:t>
            </w:r>
          </w:p>
        </w:tc>
        <w:tc>
          <w:tcPr>
            <w:tcW w:type="dxa" w:w="3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7"/>
              </w:rPr>
              <w:t>/v1/opportunities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7"/>
              </w:rPr>
              <w:t>scoped_member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7"/>
              </w:rPr>
              <w:t>Listar estimativas</w:t>
            </w:r>
          </w:p>
        </w:tc>
      </w:tr>
      <w:tr>
        <w:trPr>
          <w:cantSplit/>
        </w:trPr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7"/>
              </w:rPr>
              <w:t>POST</w:t>
            </w:r>
          </w:p>
        </w:tc>
        <w:tc>
          <w:tcPr>
            <w:tcW w:type="dxa" w:w="3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7"/>
              </w:rPr>
              <w:t>/v1/opportunities/{id}/approve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7"/>
              </w:rPr>
              <w:t>supervisor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7"/>
              </w:rPr>
              <w:t>Aprovar memória de cálculo</w:t>
            </w:r>
          </w:p>
        </w:tc>
      </w:tr>
      <w:tr>
        <w:trPr>
          <w:cantSplit/>
        </w:trPr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7"/>
              </w:rPr>
              <w:t>POST</w:t>
            </w:r>
          </w:p>
        </w:tc>
        <w:tc>
          <w:tcPr>
            <w:tcW w:type="dxa" w:w="3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7"/>
              </w:rPr>
              <w:t>/v1/dossiers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7"/>
              </w:rPr>
              <w:t>supervisor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7"/>
              </w:rPr>
              <w:t>Solicitar geração</w:t>
            </w:r>
          </w:p>
        </w:tc>
      </w:tr>
      <w:tr>
        <w:trPr>
          <w:cantSplit/>
        </w:trPr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7"/>
              </w:rPr>
              <w:t>GET</w:t>
            </w:r>
          </w:p>
        </w:tc>
        <w:tc>
          <w:tcPr>
            <w:tcW w:type="dxa" w:w="3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7"/>
              </w:rPr>
              <w:t>/v1/dossiers/{id}/artifacts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7"/>
              </w:rPr>
              <w:t>scoped_member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7"/>
              </w:rPr>
              <w:t>Emitir links temporários</w:t>
            </w:r>
          </w:p>
        </w:tc>
      </w:tr>
      <w:tr>
        <w:trPr>
          <w:cantSplit/>
        </w:trPr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7"/>
              </w:rPr>
              <w:t>GET</w:t>
            </w:r>
          </w:p>
        </w:tc>
        <w:tc>
          <w:tcPr>
            <w:tcW w:type="dxa" w:w="3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7"/>
              </w:rPr>
              <w:t>/v1/audit-events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7"/>
              </w:rPr>
              <w:t>auditor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7"/>
              </w:rPr>
              <w:t>Consultar trilha dentro do escopo</w:t>
            </w:r>
          </w:p>
        </w:tc>
      </w:tr>
    </w:tbl>
    <w:p>
      <w:pPr>
        <w:spacing w:after="60"/>
      </w:pPr>
    </w:p>
    <w:p>
      <w:pPr>
        <w:pStyle w:val="Heading2"/>
        <w:keepNext/>
      </w:pPr>
      <w:r>
        <w:rPr>
          <w:rFonts w:ascii="Calibri" w:hAnsi="Calibri" w:eastAsia="Calibri"/>
          <w:b/>
          <w:color w:val="2E74B5"/>
          <w:sz w:val="26"/>
        </w:rPr>
        <w:t>8.5 Formato de erro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130" w:type="dxa"/>
              <w:start w:w="160" w:type="dxa"/>
              <w:bottom w:w="130" w:type="dxa"/>
              <w:end w:w="160" w:type="dxa"/>
            </w:tcMar>
            <w:vAlign w:val="center"/>
            <w:shd w:fill="F7F8FA" w:val="clea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after="0" w:line="240" w:lineRule="auto"/>
            </w:pPr>
            <w:r>
              <w:rPr>
                <w:rFonts w:ascii="Liberation Mono" w:hAnsi="Liberation Mono" w:eastAsia="Liberation Mono"/>
                <w:color w:val="263442"/>
                <w:sz w:val="17"/>
              </w:rPr>
              <w:t>{</w:t>
            </w:r>
            <w:r>
              <w:br/>
            </w:r>
            <w:r>
              <w:rPr>
                <w:rFonts w:ascii="Liberation Mono" w:hAnsi="Liberation Mono" w:eastAsia="Liberation Mono"/>
                <w:color w:val="263442"/>
                <w:sz w:val="17"/>
              </w:rPr>
              <w:t xml:space="preserve">  "type": "https://produto.exemplo/problems/batch-not-ready",</w:t>
            </w:r>
            <w:r>
              <w:br/>
            </w:r>
            <w:r>
              <w:rPr>
                <w:rFonts w:ascii="Liberation Mono" w:hAnsi="Liberation Mono" w:eastAsia="Liberation Mono"/>
                <w:color w:val="263442"/>
                <w:sz w:val="17"/>
              </w:rPr>
              <w:t xml:space="preserve">  "title": "Lote ainda não pode ser submetido",</w:t>
            </w:r>
            <w:r>
              <w:br/>
            </w:r>
            <w:r>
              <w:rPr>
                <w:rFonts w:ascii="Liberation Mono" w:hAnsi="Liberation Mono" w:eastAsia="Liberation Mono"/>
                <w:color w:val="263442"/>
                <w:sz w:val="17"/>
              </w:rPr>
              <w:t xml:space="preserve">  "status": 409,</w:t>
            </w:r>
            <w:r>
              <w:br/>
            </w:r>
            <w:r>
              <w:rPr>
                <w:rFonts w:ascii="Liberation Mono" w:hAnsi="Liberation Mono" w:eastAsia="Liberation Mono"/>
                <w:color w:val="263442"/>
                <w:sz w:val="17"/>
              </w:rPr>
              <w:t xml:space="preserve">  "code": "BATCH_NOT_READY",</w:t>
            </w:r>
            <w:r>
              <w:br/>
            </w:r>
            <w:r>
              <w:rPr>
                <w:rFonts w:ascii="Liberation Mono" w:hAnsi="Liberation Mono" w:eastAsia="Liberation Mono"/>
                <w:color w:val="263442"/>
                <w:sz w:val="17"/>
              </w:rPr>
              <w:t xml:space="preserve">  "request_id": "req_01J...",</w:t>
            </w:r>
            <w:r>
              <w:br/>
            </w:r>
            <w:r>
              <w:rPr>
                <w:rFonts w:ascii="Liberation Mono" w:hAnsi="Liberation Mono" w:eastAsia="Liberation Mono"/>
                <w:color w:val="263442"/>
                <w:sz w:val="17"/>
              </w:rPr>
              <w:t xml:space="preserve">  "errors": [{"field": "uploads", "reason": "UPLOAD_INCOMPLETE"}]</w:t>
            </w:r>
            <w:r>
              <w:br/>
            </w:r>
            <w:r>
              <w:rPr>
                <w:rFonts w:ascii="Liberation Mono" w:hAnsi="Liberation Mono" w:eastAsia="Liberation Mono"/>
                <w:color w:val="263442"/>
                <w:sz w:val="17"/>
              </w:rPr>
              <w:t>}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Calibri" w:hAnsi="Calibri" w:eastAsia="Calibri"/>
          <w:b/>
          <w:color w:val="2E74B5"/>
          <w:sz w:val="26"/>
        </w:rPr>
        <w:t>8.6 Eventos e filas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3100"/>
        <w:gridCol w:w="1900"/>
        <w:gridCol w:w="4360"/>
      </w:tblGrid>
      <w:tr>
        <w:trPr>
          <w:tblHeader w:val="true"/>
          <w:cantSplit/>
        </w:trPr>
        <w:tc>
          <w:tcPr>
            <w:tcW w:type="dxa" w:w="3100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/>
                <w:color w:val="0B2545"/>
                <w:sz w:val="18"/>
              </w:rPr>
              <w:t>Evento</w:t>
            </w:r>
          </w:p>
        </w:tc>
        <w:tc>
          <w:tcPr>
            <w:tcW w:type="dxa" w:w="1900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/>
                <w:color w:val="0B2545"/>
                <w:sz w:val="18"/>
              </w:rPr>
              <w:t>Fila</w:t>
            </w:r>
          </w:p>
        </w:tc>
        <w:tc>
          <w:tcPr>
            <w:tcW w:type="dxa" w:w="4360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/>
                <w:color w:val="0B2545"/>
                <w:sz w:val="18"/>
              </w:rPr>
              <w:t>Consumidor</w:t>
            </w:r>
          </w:p>
        </w:tc>
      </w:tr>
      <w:tr>
        <w:trPr>
          <w:cantSplit/>
        </w:trPr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8"/>
              </w:rPr>
              <w:t>document.batch.submitted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8"/>
              </w:rPr>
              <w:t>ingestion</w:t>
            </w:r>
          </w:p>
        </w:tc>
        <w:tc>
          <w:tcPr>
            <w:tcW w:type="dxa" w:w="4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8"/>
              </w:rPr>
              <w:t>Iniciar triagem do manifesto</w:t>
            </w:r>
          </w:p>
        </w:tc>
      </w:tr>
      <w:tr>
        <w:trPr>
          <w:cantSplit/>
        </w:trPr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8"/>
              </w:rPr>
              <w:t>file.scan.requested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8"/>
              </w:rPr>
              <w:t>security</w:t>
            </w:r>
          </w:p>
        </w:tc>
        <w:tc>
          <w:tcPr>
            <w:tcW w:type="dxa" w:w="4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8"/>
              </w:rPr>
              <w:t>Verificar malware, tipo e limites</w:t>
            </w:r>
          </w:p>
        </w:tc>
      </w:tr>
      <w:tr>
        <w:trPr>
          <w:cantSplit/>
        </w:trPr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8"/>
              </w:rPr>
              <w:t>file.parse.requested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8"/>
              </w:rPr>
              <w:t>processing</w:t>
            </w:r>
          </w:p>
        </w:tc>
        <w:tc>
          <w:tcPr>
            <w:tcW w:type="dxa" w:w="4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8"/>
              </w:rPr>
              <w:t>Executar parser por tipo e versão</w:t>
            </w:r>
          </w:p>
        </w:tc>
      </w:tr>
      <w:tr>
        <w:trPr>
          <w:cantSplit/>
        </w:trPr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8"/>
              </w:rPr>
              <w:t>batch.normalize.requested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8"/>
              </w:rPr>
              <w:t>processing</w:t>
            </w:r>
          </w:p>
        </w:tc>
        <w:tc>
          <w:tcPr>
            <w:tcW w:type="dxa" w:w="4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8"/>
              </w:rPr>
              <w:t>Gerar partições canônicas</w:t>
            </w:r>
          </w:p>
        </w:tc>
      </w:tr>
      <w:tr>
        <w:trPr>
          <w:cantSplit/>
        </w:trPr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8"/>
              </w:rPr>
              <w:t>validation.run.requested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8"/>
              </w:rPr>
              <w:t>validation</w:t>
            </w:r>
          </w:p>
        </w:tc>
        <w:tc>
          <w:tcPr>
            <w:tcW w:type="dxa" w:w="4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8"/>
              </w:rPr>
              <w:t>Resolver ruleset e executar regras</w:t>
            </w:r>
          </w:p>
        </w:tc>
      </w:tr>
      <w:tr>
        <w:trPr>
          <w:cantSplit/>
        </w:trPr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8"/>
              </w:rPr>
              <w:t>validation.run.completed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8"/>
              </w:rPr>
              <w:t>workflow</w:t>
            </w:r>
          </w:p>
        </w:tc>
        <w:tc>
          <w:tcPr>
            <w:tcW w:type="dxa" w:w="4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8"/>
              </w:rPr>
              <w:t>Consolidar achados e notificar</w:t>
            </w:r>
          </w:p>
        </w:tc>
      </w:tr>
      <w:tr>
        <w:trPr>
          <w:cantSplit/>
        </w:trPr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8"/>
              </w:rPr>
              <w:t>dossier.generate.requested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8"/>
              </w:rPr>
              <w:t>reporting</w:t>
            </w:r>
          </w:p>
        </w:tc>
        <w:tc>
          <w:tcPr>
            <w:tcW w:type="dxa" w:w="4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8"/>
              </w:rPr>
              <w:t>Gerar e assinar manifesto do pacote</w:t>
            </w:r>
          </w:p>
        </w:tc>
      </w:tr>
      <w:tr>
        <w:trPr>
          <w:cantSplit/>
        </w:trPr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8"/>
              </w:rPr>
              <w:t>notification.requested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8"/>
              </w:rPr>
              <w:t>notifications</w:t>
            </w:r>
          </w:p>
        </w:tc>
        <w:tc>
          <w:tcPr>
            <w:tcW w:type="dxa" w:w="4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8"/>
              </w:rPr>
              <w:t>Enviar mensagem sem dados sensíveis</w:t>
            </w:r>
          </w:p>
        </w:tc>
      </w:tr>
    </w:tbl>
    <w:p>
      <w:pPr>
        <w:spacing w:after="60"/>
      </w:pPr>
    </w:p>
    <w:p>
      <w:pPr>
        <w:keepNext w:val="0"/>
        <w:spacing w:before="0" w:after="120" w:line="264" w:lineRule="auto"/>
        <w:jc w:val="left"/>
      </w:pPr>
      <w:r>
        <w:rPr>
          <w:rFonts w:ascii="Calibri" w:hAnsi="Calibri" w:eastAsia="Calibri"/>
          <w:b w:val="0"/>
          <w:i w:val="0"/>
          <w:color w:val="17212B"/>
          <w:sz w:val="22"/>
        </w:rPr>
        <w:t>Envelope obrigatório: event_id, event_type, schema_version, occurred_at, tenant_id, resource_id, trace_id e attempt. Eventos carregam referências; documentos fiscais não trafegam no corpo da fila. Consumidores confirmam somente após persistir resultado e suportam entrega pelo menos uma vez.</w:t>
      </w:r>
    </w:p>
    <w:p>
      <w:pPr>
        <w:pStyle w:val="Heading1"/>
        <w:keepNext/>
      </w:pPr>
      <w:r>
        <w:rPr>
          <w:rFonts w:ascii="Calibri" w:hAnsi="Calibri" w:eastAsia="Calibri"/>
          <w:b/>
          <w:color w:val="2E74B5"/>
          <w:sz w:val="32"/>
        </w:rPr>
        <w:t>9. Segurança, privacidade e conformidade</w:t>
      </w:r>
    </w:p>
    <w:p>
      <w:pPr>
        <w:pStyle w:val="Heading2"/>
        <w:keepNext/>
      </w:pPr>
      <w:r>
        <w:rPr>
          <w:rFonts w:ascii="Calibri" w:hAnsi="Calibri" w:eastAsia="Calibri"/>
          <w:b/>
          <w:color w:val="2E74B5"/>
          <w:sz w:val="26"/>
        </w:rPr>
        <w:t>9.1 Classificação</w:t>
      </w:r>
    </w:p>
    <w:p>
      <w:pPr>
        <w:keepNext w:val="0"/>
        <w:spacing w:before="0" w:after="120" w:line="264" w:lineRule="auto"/>
        <w:jc w:val="left"/>
      </w:pPr>
      <w:r>
        <w:rPr>
          <w:rFonts w:ascii="Calibri" w:hAnsi="Calibri" w:eastAsia="Calibri"/>
          <w:b w:val="0"/>
          <w:i w:val="0"/>
          <w:color w:val="17212B"/>
          <w:sz w:val="22"/>
        </w:rPr>
        <w:t>Documentos fiscais, dados cadastrais, apurações, credenciais de integração e evidências são confidenciais. Certificados A1 e chaves privadas são classificados como segredo crítico e permanecem fora do MVP.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300"/>
        <w:gridCol w:w="7060"/>
      </w:tblGrid>
      <w:tr>
        <w:trPr>
          <w:tblHeader w:val="true"/>
          <w:cantSplit/>
        </w:trPr>
        <w:tc>
          <w:tcPr>
            <w:tcW w:type="dxa" w:w="2300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/>
                <w:color w:val="0B2545"/>
                <w:sz w:val="18"/>
              </w:rPr>
              <w:t>Área</w:t>
            </w:r>
          </w:p>
        </w:tc>
        <w:tc>
          <w:tcPr>
            <w:tcW w:type="dxa" w:w="7060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/>
                <w:color w:val="0B2545"/>
                <w:sz w:val="18"/>
              </w:rPr>
              <w:t>Controle mínimo</w:t>
            </w:r>
          </w:p>
        </w:tc>
      </w:tr>
      <w:tr>
        <w:trPr>
          <w:cantSplit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8"/>
              </w:rPr>
              <w:t>Identidade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8"/>
              </w:rPr>
              <w:t>SSO/OTP via Cloudflare Access ou IdP OIDC; MFA para privilegiados; sessão curta e revogável</w:t>
            </w:r>
          </w:p>
        </w:tc>
      </w:tr>
      <w:tr>
        <w:trPr>
          <w:cantSplit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8"/>
              </w:rPr>
              <w:t>Autorização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8"/>
              </w:rPr>
              <w:t>RBAC + escopo de cliente; negação por padrão; tenant derivado da sessão</w:t>
            </w:r>
          </w:p>
        </w:tc>
      </w:tr>
      <w:tr>
        <w:trPr>
          <w:cantSplit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8"/>
              </w:rPr>
              <w:t>Objetos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8"/>
              </w:rPr>
              <w:t>Buckets privados; URL temporária; chave segregada; hash; política contra sobrescrita</w:t>
            </w:r>
          </w:p>
        </w:tc>
      </w:tr>
      <w:tr>
        <w:trPr>
          <w:cantSplit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8"/>
              </w:rPr>
              <w:t>Aplicação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8"/>
              </w:rPr>
              <w:t>Validação de entrada, proteção CSRF, CSP, rate limit, headers seguros e dependências fixadas</w:t>
            </w:r>
          </w:p>
        </w:tc>
      </w:tr>
      <w:tr>
        <w:trPr>
          <w:cantSplit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8"/>
              </w:rPr>
              <w:t>XML/ZIP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8"/>
              </w:rPr>
              <w:t>XXE desabilitado, limite de profundidade/tamanho, proteção contra zip bomb e path traversal</w:t>
            </w:r>
          </w:p>
        </w:tc>
      </w:tr>
      <w:tr>
        <w:trPr>
          <w:cantSplit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8"/>
              </w:rPr>
              <w:t>Segredos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8"/>
              </w:rPr>
              <w:t>Secrets/bindings; rotação; nenhuma credencial em código, D1, logs ou eventos</w:t>
            </w:r>
          </w:p>
        </w:tc>
      </w:tr>
      <w:tr>
        <w:trPr>
          <w:cantSplit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8"/>
              </w:rPr>
              <w:t>Suporte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8"/>
              </w:rPr>
              <w:t>Acesso just-in-time, aprovação, duração máxima e auditoria; conteúdo mascarado por padrão</w:t>
            </w:r>
          </w:p>
        </w:tc>
      </w:tr>
      <w:tr>
        <w:trPr>
          <w:cantSplit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8"/>
              </w:rPr>
              <w:t>Auditoria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8"/>
              </w:rPr>
              <w:t>Eventos append-only, correlação, exportação e alerta para ações privilegiadas</w:t>
            </w:r>
          </w:p>
        </w:tc>
      </w:tr>
      <w:tr>
        <w:trPr>
          <w:cantSplit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8"/>
              </w:rPr>
              <w:t>Rede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8"/>
              </w:rPr>
              <w:t>TLS; WAF; endpoints internos protegidos; saída externa por allowlist quando aplicável</w:t>
            </w:r>
          </w:p>
        </w:tc>
      </w:tr>
      <w:tr>
        <w:trPr>
          <w:cantSplit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8"/>
              </w:rPr>
              <w:t>Desenvolvimento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8"/>
              </w:rPr>
              <w:t>SAST, dependabot/equivalente, revisão de código, segredo scan e SBOM de release</w:t>
            </w:r>
          </w:p>
        </w:tc>
      </w:tr>
    </w:tbl>
    <w:p>
      <w:pPr>
        <w:spacing w:after="60"/>
      </w:pP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150" w:type="dxa"/>
              <w:start w:w="190" w:type="dxa"/>
              <w:bottom w:w="150" w:type="dxa"/>
              <w:end w:w="190" w:type="dxa"/>
            </w:tcMar>
            <w:vAlign w:val="center"/>
            <w:shd w:fill="FDEEEE" w:val="clear"/>
            <w:tcBorders>
              <w:top w:val="nil" w:sz="0" w:space="0" w:color="FDEEEE"/>
              <w:start w:val="single" w:sz="24" w:space="0" w:color="9B1C1C"/>
              <w:bottom w:val="nil" w:sz="0" w:space="0" w:color="FDEEEE"/>
              <w:end w:val="nil" w:sz="0" w:space="0" w:color="FDEEEE"/>
            </w:tcBorders>
          </w:tcPr>
          <w:p>
            <w:pPr>
              <w:spacing w:after="40" w:line="259" w:lineRule="auto"/>
            </w:pPr>
            <w:r>
              <w:rPr>
                <w:rFonts w:ascii="Calibri" w:hAnsi="Calibri" w:eastAsia="Calibri"/>
                <w:b/>
                <w:color w:val="9B1C1C"/>
                <w:sz w:val="18"/>
              </w:rPr>
              <w:t xml:space="preserve">CERTIFICADO A1  </w:t>
            </w:r>
            <w:r>
              <w:rPr>
                <w:rFonts w:ascii="Calibri" w:hAnsi="Calibri" w:eastAsia="Calibri"/>
                <w:color w:val="17212B"/>
                <w:sz w:val="21"/>
              </w:rPr>
              <w:t>O MVP não recebe PFX, senha ou chave privada. Uma fase futura deverá escolher entre conector local e serviço de assinatura isolado. A decisão exigirá threat model, avaliação de mTLS, segregação por tenant, rotação, resposta a incidente e parecer jurídico/contratual.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Calibri" w:hAnsi="Calibri" w:eastAsia="Calibri"/>
          <w:b/>
          <w:color w:val="2E74B5"/>
          <w:sz w:val="26"/>
        </w:rPr>
        <w:t>9.2 LGPD e localização</w:t>
      </w:r>
    </w:p>
    <w:p>
      <w:pPr>
        <w:pStyle w:val="ListBullet"/>
        <w:spacing w:after="100" w:line="280" w:lineRule="auto"/>
        <w:ind w:left="720" w:hanging="360"/>
      </w:pPr>
      <w:r>
        <w:rPr>
          <w:rFonts w:ascii="Calibri" w:hAnsi="Calibri" w:eastAsia="Calibri"/>
          <w:color w:val="17212B"/>
          <w:sz w:val="22"/>
        </w:rPr>
        <w:t>Definir, por contrato, papéis de controlador e operador para escritório, cliente e plataforma.</w:t>
      </w:r>
    </w:p>
    <w:p>
      <w:pPr>
        <w:pStyle w:val="ListBullet"/>
        <w:spacing w:after="100" w:line="280" w:lineRule="auto"/>
        <w:ind w:left="720" w:hanging="360"/>
      </w:pPr>
      <w:r>
        <w:rPr>
          <w:rFonts w:ascii="Calibri" w:hAnsi="Calibri" w:eastAsia="Calibri"/>
          <w:color w:val="17212B"/>
          <w:sz w:val="22"/>
        </w:rPr>
        <w:t>Registrar finalidade, base legal, categorias de dados, suboperadores, retenção e processo de atendimento a titulares.</w:t>
      </w:r>
    </w:p>
    <w:p>
      <w:pPr>
        <w:pStyle w:val="ListBullet"/>
        <w:spacing w:after="100" w:line="280" w:lineRule="auto"/>
        <w:ind w:left="720" w:hanging="360"/>
      </w:pPr>
      <w:r>
        <w:rPr>
          <w:rFonts w:ascii="Calibri" w:hAnsi="Calibri" w:eastAsia="Calibri"/>
          <w:color w:val="17212B"/>
          <w:sz w:val="22"/>
        </w:rPr>
        <w:t>Minimizar dados pessoais; relatórios devem ocultar CPF e outros identificadores quando desnecessários.</w:t>
      </w:r>
    </w:p>
    <w:p>
      <w:pPr>
        <w:pStyle w:val="ListBullet"/>
        <w:spacing w:after="100" w:line="280" w:lineRule="auto"/>
        <w:ind w:left="720" w:hanging="360"/>
      </w:pPr>
      <w:r>
        <w:rPr>
          <w:rFonts w:ascii="Calibri" w:hAnsi="Calibri" w:eastAsia="Calibri"/>
          <w:color w:val="17212B"/>
          <w:sz w:val="22"/>
        </w:rPr>
        <w:t>Executar avaliação sobre transferência internacional e termos do fornecedor antes da produção.</w:t>
      </w:r>
    </w:p>
    <w:p>
      <w:pPr>
        <w:pStyle w:val="ListBullet"/>
        <w:spacing w:after="100" w:line="280" w:lineRule="auto"/>
        <w:ind w:left="720" w:hanging="360"/>
      </w:pPr>
      <w:r>
        <w:rPr>
          <w:rFonts w:ascii="Calibri" w:hAnsi="Calibri" w:eastAsia="Calibri"/>
          <w:color w:val="17212B"/>
          <w:sz w:val="22"/>
        </w:rPr>
        <w:t>D1 não oferece primário na América do Sul na data-base; latência e residência devem ser decisões formais de arquitetura.</w:t>
      </w:r>
    </w:p>
    <w:p>
      <w:pPr>
        <w:pStyle w:val="ListBullet"/>
        <w:spacing w:after="100" w:line="280" w:lineRule="auto"/>
        <w:ind w:left="720" w:hanging="360"/>
      </w:pPr>
      <w:r>
        <w:rPr>
          <w:rFonts w:ascii="Calibri" w:hAnsi="Calibri" w:eastAsia="Calibri"/>
          <w:color w:val="17212B"/>
          <w:sz w:val="22"/>
        </w:rPr>
        <w:t>A retenção será configurável por classe documental e obrigação; nenhuma regra fixa de cinco anos será aplicada sem validação jurídica.</w:t>
      </w:r>
    </w:p>
    <w:p>
      <w:pPr>
        <w:pStyle w:val="Heading2"/>
        <w:keepNext/>
      </w:pPr>
      <w:r>
        <w:rPr>
          <w:rFonts w:ascii="Calibri" w:hAnsi="Calibri" w:eastAsia="Calibri"/>
          <w:b/>
          <w:color w:val="2E74B5"/>
          <w:sz w:val="26"/>
        </w:rPr>
        <w:t>9.3 Auditoria obrigatória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 w:eastAsia="Calibri"/>
          <w:color w:val="17212B"/>
          <w:sz w:val="22"/>
        </w:rPr>
        <w:t>Login, falha de login, troca de tenant e encerramento de sessão.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 w:eastAsia="Calibri"/>
          <w:color w:val="17212B"/>
          <w:sz w:val="22"/>
        </w:rPr>
        <w:t>Criação, alteração ou remoção lógica de cliente, estabelecimento e usuário.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 w:eastAsia="Calibri"/>
          <w:color w:val="17212B"/>
          <w:sz w:val="22"/>
        </w:rPr>
        <w:t>Upload, download, exportação, quarentena e alteração de retenção.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 w:eastAsia="Calibri"/>
          <w:color w:val="17212B"/>
          <w:sz w:val="22"/>
        </w:rPr>
        <w:t>Publicação/suspensão de regra, execução e reexecução.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 w:eastAsia="Calibri"/>
          <w:color w:val="17212B"/>
          <w:sz w:val="22"/>
        </w:rPr>
        <w:t>Mudança de estado de achado, aprovação de oportunidade e geração de dossiê.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 w:eastAsia="Calibri"/>
          <w:color w:val="17212B"/>
          <w:sz w:val="22"/>
        </w:rPr>
        <w:t>Concessão e uso de acesso de suporte.</w:t>
      </w:r>
    </w:p>
    <w:p>
      <w:pPr>
        <w:pStyle w:val="Heading1"/>
        <w:keepNext/>
      </w:pPr>
      <w:r>
        <w:rPr>
          <w:rFonts w:ascii="Calibri" w:hAnsi="Calibri" w:eastAsia="Calibri"/>
          <w:b/>
          <w:color w:val="2E74B5"/>
          <w:sz w:val="32"/>
        </w:rPr>
        <w:t>10. Requisitos não funcionais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050"/>
        <w:gridCol w:w="1750"/>
        <w:gridCol w:w="3800"/>
        <w:gridCol w:w="2760"/>
      </w:tblGrid>
      <w:tr>
        <w:trPr>
          <w:tblHeader w:val="true"/>
          <w:cantSplit/>
        </w:trPr>
        <w:tc>
          <w:tcPr>
            <w:tcW w:type="dxa" w:w="1050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/>
                <w:color w:val="0B2545"/>
                <w:sz w:val="18"/>
              </w:rPr>
              <w:t>ID</w:t>
            </w:r>
          </w:p>
        </w:tc>
        <w:tc>
          <w:tcPr>
            <w:tcW w:type="dxa" w:w="1750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/>
                <w:color w:val="0B2545"/>
                <w:sz w:val="18"/>
              </w:rPr>
              <w:t>Atributo</w:t>
            </w:r>
          </w:p>
        </w:tc>
        <w:tc>
          <w:tcPr>
            <w:tcW w:type="dxa" w:w="3800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/>
                <w:color w:val="0B2545"/>
                <w:sz w:val="18"/>
              </w:rPr>
              <w:t>Meta</w:t>
            </w:r>
          </w:p>
        </w:tc>
        <w:tc>
          <w:tcPr>
            <w:tcW w:type="dxa" w:w="2760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/>
                <w:color w:val="0B2545"/>
                <w:sz w:val="18"/>
              </w:rPr>
              <w:t>Verificação</w:t>
            </w:r>
          </w:p>
        </w:tc>
      </w:tr>
      <w:tr>
        <w:trPr>
          <w:cantSplit/>
        </w:trP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7"/>
              </w:rPr>
              <w:t>NFR-001</w:t>
            </w:r>
          </w:p>
        </w:tc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7"/>
              </w:rPr>
              <w:t>Disponibilidade</w:t>
            </w:r>
          </w:p>
        </w:tc>
        <w:tc>
          <w:tcPr>
            <w:tcW w:type="dxa" w:w="3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7"/>
              </w:rPr>
              <w:t>99,5% mensal no piloto; alvo 99,9% após hardening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7"/>
              </w:rPr>
              <w:t>Monitor sintético e relatório mensal</w:t>
            </w:r>
          </w:p>
        </w:tc>
      </w:tr>
      <w:tr>
        <w:trPr>
          <w:cantSplit/>
        </w:trP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7"/>
              </w:rPr>
              <w:t>NFR-002</w:t>
            </w:r>
          </w:p>
        </w:tc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7"/>
              </w:rPr>
              <w:t>Latência API</w:t>
            </w:r>
          </w:p>
        </w:tc>
        <w:tc>
          <w:tcPr>
            <w:tcW w:type="dxa" w:w="3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7"/>
              </w:rPr>
              <w:t>p95 &lt;= 400 ms para consultas simples, excluindo download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7"/>
              </w:rPr>
              <w:t>Teste em produção controlada</w:t>
            </w:r>
          </w:p>
        </w:tc>
      </w:tr>
      <w:tr>
        <w:trPr>
          <w:cantSplit/>
        </w:trP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7"/>
              </w:rPr>
              <w:t>NFR-003</w:t>
            </w:r>
          </w:p>
        </w:tc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7"/>
              </w:rPr>
              <w:t>Processamento</w:t>
            </w:r>
          </w:p>
        </w:tc>
        <w:tc>
          <w:tcPr>
            <w:tcW w:type="dxa" w:w="3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7"/>
              </w:rPr>
              <w:t>p95 &lt;= 15 min para lote de referência sem fila acumulada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7"/>
              </w:rPr>
              <w:t>Teste de carga com corpus anonimizado</w:t>
            </w:r>
          </w:p>
        </w:tc>
      </w:tr>
      <w:tr>
        <w:trPr>
          <w:cantSplit/>
        </w:trP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7"/>
              </w:rPr>
              <w:t>NFR-004</w:t>
            </w:r>
          </w:p>
        </w:tc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7"/>
              </w:rPr>
              <w:t>Confiabilidade</w:t>
            </w:r>
          </w:p>
        </w:tc>
        <w:tc>
          <w:tcPr>
            <w:tcW w:type="dxa" w:w="3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7"/>
              </w:rPr>
              <w:t>Nenhuma perda silenciosa; DLQ e reconciliação diária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7"/>
              </w:rPr>
              <w:t>Teste de falha e relatório de órfãos</w:t>
            </w:r>
          </w:p>
        </w:tc>
      </w:tr>
      <w:tr>
        <w:trPr>
          <w:cantSplit/>
        </w:trP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7"/>
              </w:rPr>
              <w:t>NFR-005</w:t>
            </w:r>
          </w:p>
        </w:tc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7"/>
              </w:rPr>
              <w:t>Idempotência</w:t>
            </w:r>
          </w:p>
        </w:tc>
        <w:tc>
          <w:tcPr>
            <w:tcW w:type="dxa" w:w="3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7"/>
              </w:rPr>
              <w:t>Reentrega não duplica efeitos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7"/>
              </w:rPr>
              <w:t>Testes repetindo cada evento &gt;= 3 vezes</w:t>
            </w:r>
          </w:p>
        </w:tc>
      </w:tr>
      <w:tr>
        <w:trPr>
          <w:cantSplit/>
        </w:trP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7"/>
              </w:rPr>
              <w:t>NFR-006</w:t>
            </w:r>
          </w:p>
        </w:tc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7"/>
              </w:rPr>
              <w:t>Escalabilidade</w:t>
            </w:r>
          </w:p>
        </w:tc>
        <w:tc>
          <w:tcPr>
            <w:tcW w:type="dxa" w:w="3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7"/>
              </w:rPr>
              <w:t>Particionar jobs acima de 1 GB ou 10 mil documentos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7"/>
              </w:rPr>
              <w:t>Teste de partição e retomada</w:t>
            </w:r>
          </w:p>
        </w:tc>
      </w:tr>
      <w:tr>
        <w:trPr>
          <w:cantSplit/>
        </w:trP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7"/>
              </w:rPr>
              <w:t>NFR-007</w:t>
            </w:r>
          </w:p>
        </w:tc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7"/>
              </w:rPr>
              <w:t>RPO</w:t>
            </w:r>
          </w:p>
        </w:tc>
        <w:tc>
          <w:tcPr>
            <w:tcW w:type="dxa" w:w="3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7"/>
              </w:rPr>
              <w:t>&lt;= 15 min para metadados críticos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7"/>
              </w:rPr>
              <w:t>Teste de restauração e reconciliação com R2</w:t>
            </w:r>
          </w:p>
        </w:tc>
      </w:tr>
      <w:tr>
        <w:trPr>
          <w:cantSplit/>
        </w:trP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7"/>
              </w:rPr>
              <w:t>NFR-008</w:t>
            </w:r>
          </w:p>
        </w:tc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7"/>
              </w:rPr>
              <w:t>RTO</w:t>
            </w:r>
          </w:p>
        </w:tc>
        <w:tc>
          <w:tcPr>
            <w:tcW w:type="dxa" w:w="3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7"/>
              </w:rPr>
              <w:t>&lt;= 4 h para serviço crítico do piloto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7"/>
              </w:rPr>
              <w:t>Exercício de recuperação</w:t>
            </w:r>
          </w:p>
        </w:tc>
      </w:tr>
      <w:tr>
        <w:trPr>
          <w:cantSplit/>
        </w:trP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7"/>
              </w:rPr>
              <w:t>NFR-009</w:t>
            </w:r>
          </w:p>
        </w:tc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7"/>
              </w:rPr>
              <w:t>Acessibilidade</w:t>
            </w:r>
          </w:p>
        </w:tc>
        <w:tc>
          <w:tcPr>
            <w:tcW w:type="dxa" w:w="3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7"/>
              </w:rPr>
              <w:t>Fluxos principais navegáveis por teclado; contraste AA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7"/>
              </w:rPr>
              <w:t>Auditoria automatizada e manual</w:t>
            </w:r>
          </w:p>
        </w:tc>
      </w:tr>
      <w:tr>
        <w:trPr>
          <w:cantSplit/>
        </w:trP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7"/>
              </w:rPr>
              <w:t>NFR-010</w:t>
            </w:r>
          </w:p>
        </w:tc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7"/>
              </w:rPr>
              <w:t>Compatibilidade</w:t>
            </w:r>
          </w:p>
        </w:tc>
        <w:tc>
          <w:tcPr>
            <w:tcW w:type="dxa" w:w="3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7"/>
              </w:rPr>
              <w:t>2 versões atuais de Chrome, Edge e Firefox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7"/>
              </w:rPr>
              <w:t>Matriz E2E</w:t>
            </w:r>
          </w:p>
        </w:tc>
      </w:tr>
      <w:tr>
        <w:trPr>
          <w:cantSplit/>
        </w:trP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7"/>
              </w:rPr>
              <w:t>NFR-011</w:t>
            </w:r>
          </w:p>
        </w:tc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7"/>
              </w:rPr>
              <w:t>Observabilidade</w:t>
            </w:r>
          </w:p>
        </w:tc>
        <w:tc>
          <w:tcPr>
            <w:tcW w:type="dxa" w:w="3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7"/>
              </w:rPr>
              <w:t>100% dos jobs com trace_id e métricas de duração/resultado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7"/>
              </w:rPr>
              <w:t>Consulta por lote no painel operacional</w:t>
            </w:r>
          </w:p>
        </w:tc>
      </w:tr>
      <w:tr>
        <w:trPr>
          <w:cantSplit/>
        </w:trP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7"/>
              </w:rPr>
              <w:t>NFR-012</w:t>
            </w:r>
          </w:p>
        </w:tc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7"/>
              </w:rPr>
              <w:t>Privacidade</w:t>
            </w:r>
          </w:p>
        </w:tc>
        <w:tc>
          <w:tcPr>
            <w:tcW w:type="dxa" w:w="3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7"/>
              </w:rPr>
              <w:t>Nenhum conteúdo fiscal em logs operacionais padrão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7"/>
              </w:rPr>
              <w:t>Teste e revisão de amostras</w:t>
            </w:r>
          </w:p>
        </w:tc>
      </w:tr>
    </w:tbl>
    <w:p>
      <w:pPr>
        <w:spacing w:after="60"/>
      </w:pPr>
    </w:p>
    <w:p>
      <w:pPr>
        <w:pStyle w:val="Heading1"/>
        <w:keepNext/>
      </w:pPr>
      <w:r>
        <w:rPr>
          <w:rFonts w:ascii="Calibri" w:hAnsi="Calibri" w:eastAsia="Calibri"/>
          <w:b/>
          <w:color w:val="2E74B5"/>
          <w:sz w:val="32"/>
        </w:rPr>
        <w:t>11. Implantação e operação</w:t>
      </w:r>
    </w:p>
    <w:p>
      <w:pPr>
        <w:pStyle w:val="Heading2"/>
        <w:keepNext/>
      </w:pPr>
      <w:r>
        <w:rPr>
          <w:rFonts w:ascii="Calibri" w:hAnsi="Calibri" w:eastAsia="Calibri"/>
          <w:b/>
          <w:color w:val="2E74B5"/>
          <w:sz w:val="26"/>
        </w:rPr>
        <w:t>11.1 Ambientes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300"/>
        <w:gridCol w:w="7060"/>
      </w:tblGrid>
      <w:tr>
        <w:trPr>
          <w:tblHeader w:val="true"/>
          <w:cantSplit/>
        </w:trPr>
        <w:tc>
          <w:tcPr>
            <w:tcW w:type="dxa" w:w="2300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/>
                <w:color w:val="0B2545"/>
                <w:sz w:val="18"/>
              </w:rPr>
              <w:t>Ambiente</w:t>
            </w:r>
          </w:p>
        </w:tc>
        <w:tc>
          <w:tcPr>
            <w:tcW w:type="dxa" w:w="7060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/>
                <w:color w:val="0B2545"/>
                <w:sz w:val="18"/>
              </w:rPr>
              <w:t>Política</w:t>
            </w:r>
          </w:p>
        </w:tc>
      </w:tr>
      <w:tr>
        <w:trPr>
          <w:cantSplit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8"/>
              </w:rPr>
              <w:t>Desenvolvimento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8"/>
              </w:rPr>
              <w:t>Dados sintéticos; recursos mínimos; deploy por branch</w:t>
            </w:r>
          </w:p>
        </w:tc>
      </w:tr>
      <w:tr>
        <w:trPr>
          <w:cantSplit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8"/>
              </w:rPr>
              <w:t>Homologação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8"/>
              </w:rPr>
              <w:t>Estrutura equivalente à produção; corpus anonimizado; integrações sandbox</w:t>
            </w:r>
          </w:p>
        </w:tc>
      </w:tr>
      <w:tr>
        <w:trPr>
          <w:cantSplit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8"/>
              </w:rPr>
              <w:t>Produção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8"/>
              </w:rPr>
              <w:t>Conta/projeto isolado; aprovação; backups; alertas; acesso restrito</w:t>
            </w:r>
          </w:p>
        </w:tc>
      </w:tr>
    </w:tbl>
    <w:p>
      <w:pPr>
        <w:spacing w:after="60"/>
      </w:pPr>
    </w:p>
    <w:p>
      <w:pPr>
        <w:pStyle w:val="Heading2"/>
        <w:keepNext/>
      </w:pPr>
      <w:r>
        <w:rPr>
          <w:rFonts w:ascii="Calibri" w:hAnsi="Calibri" w:eastAsia="Calibri"/>
          <w:b/>
          <w:color w:val="2E74B5"/>
          <w:sz w:val="26"/>
        </w:rPr>
        <w:t>11.2 Unidades de implantação</w:t>
      </w:r>
    </w:p>
    <w:p>
      <w:pPr>
        <w:pStyle w:val="ListBullet"/>
        <w:spacing w:after="100" w:line="280" w:lineRule="auto"/>
        <w:ind w:left="720" w:hanging="360"/>
      </w:pPr>
      <w:r>
        <w:rPr>
          <w:rFonts w:ascii="Calibri" w:hAnsi="Calibri" w:eastAsia="Calibri"/>
          <w:color w:val="17212B"/>
          <w:sz w:val="22"/>
        </w:rPr>
        <w:t>fiscal-web: aplicação estática e shell do portal.</w:t>
      </w:r>
    </w:p>
    <w:p>
      <w:pPr>
        <w:pStyle w:val="ListBullet"/>
        <w:spacing w:after="100" w:line="280" w:lineRule="auto"/>
        <w:ind w:left="720" w:hanging="360"/>
      </w:pPr>
      <w:r>
        <w:rPr>
          <w:rFonts w:ascii="Calibri" w:hAnsi="Calibri" w:eastAsia="Calibri"/>
          <w:color w:val="17212B"/>
          <w:sz w:val="22"/>
        </w:rPr>
        <w:t>fiscal-api: API pública, autorização e operações de metadados.</w:t>
      </w:r>
    </w:p>
    <w:p>
      <w:pPr>
        <w:pStyle w:val="ListBullet"/>
        <w:spacing w:after="100" w:line="280" w:lineRule="auto"/>
        <w:ind w:left="720" w:hanging="360"/>
      </w:pPr>
      <w:r>
        <w:rPr>
          <w:rFonts w:ascii="Calibri" w:hAnsi="Calibri" w:eastAsia="Calibri"/>
          <w:color w:val="17212B"/>
          <w:sz w:val="22"/>
        </w:rPr>
        <w:t>fiscal-events: consumidores de filas, webhooks internos e notificações.</w:t>
      </w:r>
    </w:p>
    <w:p>
      <w:pPr>
        <w:pStyle w:val="ListBullet"/>
        <w:spacing w:after="100" w:line="280" w:lineRule="auto"/>
        <w:ind w:left="720" w:hanging="360"/>
      </w:pPr>
      <w:r>
        <w:rPr>
          <w:rFonts w:ascii="Calibri" w:hAnsi="Calibri" w:eastAsia="Calibri"/>
          <w:color w:val="17212B"/>
          <w:sz w:val="22"/>
        </w:rPr>
        <w:t>fiscal-workflows: orquestrações duráveis por lote e dossiê.</w:t>
      </w:r>
    </w:p>
    <w:p>
      <w:pPr>
        <w:pStyle w:val="ListBullet"/>
        <w:spacing w:after="100" w:line="280" w:lineRule="auto"/>
        <w:ind w:left="720" w:hanging="360"/>
      </w:pPr>
      <w:r>
        <w:rPr>
          <w:rFonts w:ascii="Calibri" w:hAnsi="Calibri" w:eastAsia="Calibri"/>
          <w:color w:val="17212B"/>
          <w:sz w:val="22"/>
        </w:rPr>
        <w:t>fiscal-processing: imagem de Container versionada para parsers e regras pesadas.</w:t>
      </w:r>
    </w:p>
    <w:p>
      <w:pPr>
        <w:pStyle w:val="ListBullet"/>
        <w:spacing w:after="100" w:line="280" w:lineRule="auto"/>
        <w:ind w:left="720" w:hanging="360"/>
      </w:pPr>
      <w:r>
        <w:rPr>
          <w:rFonts w:ascii="Calibri" w:hAnsi="Calibri" w:eastAsia="Calibri"/>
          <w:color w:val="17212B"/>
          <w:sz w:val="22"/>
        </w:rPr>
        <w:t>fiscal-admin: console interno protegido por Access e política separada.</w:t>
      </w:r>
    </w:p>
    <w:p>
      <w:pPr>
        <w:pStyle w:val="Heading2"/>
        <w:keepNext/>
      </w:pPr>
      <w:r>
        <w:rPr>
          <w:rFonts w:ascii="Calibri" w:hAnsi="Calibri" w:eastAsia="Calibri"/>
          <w:b/>
          <w:color w:val="2E74B5"/>
          <w:sz w:val="26"/>
        </w:rPr>
        <w:t>11.3 Infraestrutura como código e release</w:t>
      </w:r>
    </w:p>
    <w:p>
      <w:pPr>
        <w:pStyle w:val="ListBullet"/>
        <w:spacing w:after="100" w:line="280" w:lineRule="auto"/>
        <w:ind w:left="720" w:hanging="360"/>
      </w:pPr>
      <w:r>
        <w:rPr>
          <w:rFonts w:ascii="Calibri" w:hAnsi="Calibri" w:eastAsia="Calibri"/>
          <w:color w:val="17212B"/>
          <w:sz w:val="22"/>
        </w:rPr>
        <w:t>Wrangler e configuração declarativa versionam Workers, bindings, Queues, Workflows e D1.</w:t>
      </w:r>
    </w:p>
    <w:p>
      <w:pPr>
        <w:pStyle w:val="ListBullet"/>
        <w:spacing w:after="100" w:line="280" w:lineRule="auto"/>
        <w:ind w:left="720" w:hanging="360"/>
      </w:pPr>
      <w:r>
        <w:rPr>
          <w:rFonts w:ascii="Calibri" w:hAnsi="Calibri" w:eastAsia="Calibri"/>
          <w:color w:val="17212B"/>
          <w:sz w:val="22"/>
        </w:rPr>
        <w:t>Migrações D1 são monotônicas, testadas em cópia e aplicadas antes do código dependente.</w:t>
      </w:r>
    </w:p>
    <w:p>
      <w:pPr>
        <w:pStyle w:val="ListBullet"/>
        <w:spacing w:after="100" w:line="280" w:lineRule="auto"/>
        <w:ind w:left="720" w:hanging="360"/>
      </w:pPr>
      <w:r>
        <w:rPr>
          <w:rFonts w:ascii="Calibri" w:hAnsi="Calibri" w:eastAsia="Calibri"/>
          <w:color w:val="17212B"/>
          <w:sz w:val="22"/>
        </w:rPr>
        <w:t>Imagens de Container são identificadas por digest; produção não usa tag mutável latest.</w:t>
      </w:r>
    </w:p>
    <w:p>
      <w:pPr>
        <w:pStyle w:val="ListBullet"/>
        <w:spacing w:after="100" w:line="280" w:lineRule="auto"/>
        <w:ind w:left="720" w:hanging="360"/>
      </w:pPr>
      <w:r>
        <w:rPr>
          <w:rFonts w:ascii="Calibri" w:hAnsi="Calibri" w:eastAsia="Calibri"/>
          <w:color w:val="17212B"/>
          <w:sz w:val="22"/>
        </w:rPr>
        <w:t>Feature flags separam deploy de ativação; regras tributárias têm release próprio.</w:t>
      </w:r>
    </w:p>
    <w:p>
      <w:pPr>
        <w:pStyle w:val="ListBullet"/>
        <w:spacing w:after="100" w:line="280" w:lineRule="auto"/>
        <w:ind w:left="720" w:hanging="360"/>
      </w:pPr>
      <w:r>
        <w:rPr>
          <w:rFonts w:ascii="Calibri" w:hAnsi="Calibri" w:eastAsia="Calibri"/>
          <w:color w:val="17212B"/>
          <w:sz w:val="22"/>
        </w:rPr>
        <w:t>Deploy gradual e rollback automático são acionados por erro, latência ou fila anormais.</w:t>
      </w:r>
    </w:p>
    <w:p>
      <w:pPr>
        <w:pStyle w:val="ListBullet"/>
        <w:spacing w:after="100" w:line="280" w:lineRule="auto"/>
        <w:ind w:left="720" w:hanging="360"/>
      </w:pPr>
      <w:r>
        <w:rPr>
          <w:rFonts w:ascii="Calibri" w:hAnsi="Calibri" w:eastAsia="Calibri"/>
          <w:color w:val="17212B"/>
          <w:sz w:val="22"/>
        </w:rPr>
        <w:t>Segredos entram somente pelo mecanismo de secrets; pipelines não os imprimem.</w:t>
      </w:r>
    </w:p>
    <w:p>
      <w:pPr>
        <w:pStyle w:val="Heading2"/>
        <w:keepNext/>
      </w:pPr>
      <w:r>
        <w:rPr>
          <w:rFonts w:ascii="Calibri" w:hAnsi="Calibri" w:eastAsia="Calibri"/>
          <w:b/>
          <w:color w:val="2E74B5"/>
          <w:sz w:val="26"/>
        </w:rPr>
        <w:t>11.4 Observabilidade</w:t>
      </w:r>
    </w:p>
    <w:p>
      <w:pPr>
        <w:keepNext w:val="0"/>
        <w:spacing w:before="0" w:after="120" w:line="264" w:lineRule="auto"/>
        <w:jc w:val="left"/>
      </w:pPr>
      <w:r>
        <w:rPr>
          <w:rFonts w:ascii="Calibri" w:hAnsi="Calibri" w:eastAsia="Calibri"/>
          <w:b w:val="0"/>
          <w:i w:val="0"/>
          <w:color w:val="17212B"/>
          <w:sz w:val="22"/>
        </w:rPr>
        <w:t>Logs serão estruturados e conterão request_id, trace_id, tenant_id tokenizado, component, operation, duration_ms, result e error_code. É proibido registrar XML, conteúdo de campo fiscal, token, URL assinada ou credencial. Métricas mínimas: uploads, bytes, jobs, tempo por fase, falhas por parser/regra, DLQ, achados por severidade, dossiês e custo estimado por tenant.</w:t>
      </w:r>
    </w:p>
    <w:p>
      <w:pPr>
        <w:pStyle w:val="Heading2"/>
        <w:keepNext/>
      </w:pPr>
      <w:r>
        <w:rPr>
          <w:rFonts w:ascii="Calibri" w:hAnsi="Calibri" w:eastAsia="Calibri"/>
          <w:b/>
          <w:color w:val="2E74B5"/>
          <w:sz w:val="26"/>
        </w:rPr>
        <w:t>11.5 Alertas operacionais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 w:eastAsia="Calibri"/>
          <w:color w:val="17212B"/>
          <w:sz w:val="22"/>
        </w:rPr>
        <w:t>DLQ com mensagem ou crescimento contínuo da fila.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 w:eastAsia="Calibri"/>
          <w:color w:val="17212B"/>
          <w:sz w:val="22"/>
        </w:rPr>
        <w:t>Taxa de falha por parser/regra acima do baseline.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 w:eastAsia="Calibri"/>
          <w:color w:val="17212B"/>
          <w:sz w:val="22"/>
        </w:rPr>
        <w:t>Lote sem progresso além do limite da fase.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 w:eastAsia="Calibri"/>
          <w:color w:val="17212B"/>
          <w:sz w:val="22"/>
        </w:rPr>
        <w:t>Aumento de 401/403/429/5xx, latência ou custo.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 w:eastAsia="Calibri"/>
          <w:color w:val="17212B"/>
          <w:sz w:val="22"/>
        </w:rPr>
        <w:t>Tentativa de acesso cruzado entre tenants ou download negado repetidamente.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 w:eastAsia="Calibri"/>
          <w:color w:val="17212B"/>
          <w:sz w:val="22"/>
        </w:rPr>
        <w:t>Publicação/suspensão de regra e uso de acesso de suporte.</w:t>
      </w:r>
    </w:p>
    <w:p>
      <w:pPr>
        <w:pStyle w:val="Heading1"/>
        <w:keepNext/>
      </w:pPr>
      <w:r>
        <w:rPr>
          <w:rFonts w:ascii="Calibri" w:hAnsi="Calibri" w:eastAsia="Calibri"/>
          <w:b/>
          <w:color w:val="2E74B5"/>
          <w:sz w:val="32"/>
        </w:rPr>
        <w:t>12. Estratégia de testes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5200"/>
        <w:gridCol w:w="2360"/>
      </w:tblGrid>
      <w:tr>
        <w:trPr>
          <w:tblHeader w:val="true"/>
          <w:cantSplit/>
        </w:trPr>
        <w:tc>
          <w:tcPr>
            <w:tcW w:type="dxa" w:w="1800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/>
                <w:color w:val="0B2545"/>
                <w:sz w:val="18"/>
              </w:rPr>
              <w:t>Camada</w:t>
            </w:r>
          </w:p>
        </w:tc>
        <w:tc>
          <w:tcPr>
            <w:tcW w:type="dxa" w:w="5200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/>
                <w:color w:val="0B2545"/>
                <w:sz w:val="18"/>
              </w:rPr>
              <w:t>Cobertura</w:t>
            </w:r>
          </w:p>
        </w:tc>
        <w:tc>
          <w:tcPr>
            <w:tcW w:type="dxa" w:w="2360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/>
                <w:color w:val="0B2545"/>
                <w:sz w:val="18"/>
              </w:rPr>
              <w:t>Momento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8"/>
              </w:rPr>
              <w:t>Unitário</w:t>
            </w:r>
          </w:p>
        </w:tc>
        <w:tc>
          <w:tcPr>
            <w:tcW w:type="dxa" w:w="5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8"/>
              </w:rPr>
              <w:t>Domínio, autorização, parsers pequenos e expressões de regra</w:t>
            </w:r>
          </w:p>
        </w:tc>
        <w:tc>
          <w:tcPr>
            <w:tcW w:type="dxa" w:w="2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8"/>
              </w:rPr>
              <w:t>A cada commit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8"/>
              </w:rPr>
              <w:t>Golden files</w:t>
            </w:r>
          </w:p>
        </w:tc>
        <w:tc>
          <w:tcPr>
            <w:tcW w:type="dxa" w:w="5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8"/>
              </w:rPr>
              <w:t>Entradas fiscais conhecidas e saídas aprovadas por especialista</w:t>
            </w:r>
          </w:p>
        </w:tc>
        <w:tc>
          <w:tcPr>
            <w:tcW w:type="dxa" w:w="2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8"/>
              </w:rPr>
              <w:t>A cada mudança de parser/regra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8"/>
              </w:rPr>
              <w:t>Contrato</w:t>
            </w:r>
          </w:p>
        </w:tc>
        <w:tc>
          <w:tcPr>
            <w:tcW w:type="dxa" w:w="5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8"/>
              </w:rPr>
              <w:t>API, evento, schema canônico e compatibilidade retroativa</w:t>
            </w:r>
          </w:p>
        </w:tc>
        <w:tc>
          <w:tcPr>
            <w:tcW w:type="dxa" w:w="2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8"/>
              </w:rPr>
              <w:t>Pipeline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8"/>
              </w:rPr>
              <w:t>Integração</w:t>
            </w:r>
          </w:p>
        </w:tc>
        <w:tc>
          <w:tcPr>
            <w:tcW w:type="dxa" w:w="5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8"/>
              </w:rPr>
              <w:t>Workers, D1, R2, Queues, Workflows e Container</w:t>
            </w:r>
          </w:p>
        </w:tc>
        <w:tc>
          <w:tcPr>
            <w:tcW w:type="dxa" w:w="2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8"/>
              </w:rPr>
              <w:t>Pipeline e homologação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8"/>
              </w:rPr>
              <w:t>E2E</w:t>
            </w:r>
          </w:p>
        </w:tc>
        <w:tc>
          <w:tcPr>
            <w:tcW w:type="dxa" w:w="5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8"/>
              </w:rPr>
              <w:t>Onboarding até dossiê, incluindo papéis</w:t>
            </w:r>
          </w:p>
        </w:tc>
        <w:tc>
          <w:tcPr>
            <w:tcW w:type="dxa" w:w="2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8"/>
              </w:rPr>
              <w:t>Release candidate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8"/>
              </w:rPr>
              <w:t>Isolamento</w:t>
            </w:r>
          </w:p>
        </w:tc>
        <w:tc>
          <w:tcPr>
            <w:tcW w:type="dxa" w:w="5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8"/>
              </w:rPr>
              <w:t>Acesso cruzado, enumeração de IDs e URLs expiradas</w:t>
            </w:r>
          </w:p>
        </w:tc>
        <w:tc>
          <w:tcPr>
            <w:tcW w:type="dxa" w:w="2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8"/>
              </w:rPr>
              <w:t>Pipeline e pentest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8"/>
              </w:rPr>
              <w:t>Carga</w:t>
            </w:r>
          </w:p>
        </w:tc>
        <w:tc>
          <w:tcPr>
            <w:tcW w:type="dxa" w:w="5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8"/>
              </w:rPr>
              <w:t>Lote de referência, concorrência e backlog</w:t>
            </w:r>
          </w:p>
        </w:tc>
        <w:tc>
          <w:tcPr>
            <w:tcW w:type="dxa" w:w="2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8"/>
              </w:rPr>
              <w:t>Antes do piloto e trimestral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8"/>
              </w:rPr>
              <w:t>Resiliência</w:t>
            </w:r>
          </w:p>
        </w:tc>
        <w:tc>
          <w:tcPr>
            <w:tcW w:type="dxa" w:w="5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8"/>
              </w:rPr>
              <w:t>Reentrega, timeout, crash de Container, DLQ e retomada</w:t>
            </w:r>
          </w:p>
        </w:tc>
        <w:tc>
          <w:tcPr>
            <w:tcW w:type="dxa" w:w="2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8"/>
              </w:rPr>
              <w:t>Antes de produção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8"/>
              </w:rPr>
              <w:t>Segurança</w:t>
            </w:r>
          </w:p>
        </w:tc>
        <w:tc>
          <w:tcPr>
            <w:tcW w:type="dxa" w:w="5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8"/>
              </w:rPr>
              <w:t>SAST, dependências, segredos, DAST e upload malicioso</w:t>
            </w:r>
          </w:p>
        </w:tc>
        <w:tc>
          <w:tcPr>
            <w:tcW w:type="dxa" w:w="2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8"/>
              </w:rPr>
              <w:t>Contínuo + release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8"/>
              </w:rPr>
              <w:t>Fiscal</w:t>
            </w:r>
          </w:p>
        </w:tc>
        <w:tc>
          <w:tcPr>
            <w:tcW w:type="dxa" w:w="5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8"/>
              </w:rPr>
              <w:t>Casos positivos, negativos, fronteira e retroatividade</w:t>
            </w:r>
          </w:p>
        </w:tc>
        <w:tc>
          <w:tcPr>
            <w:tcW w:type="dxa" w:w="2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8"/>
              </w:rPr>
              <w:t>Aprovação da regra</w:t>
            </w:r>
          </w:p>
        </w:tc>
      </w:tr>
    </w:tbl>
    <w:p>
      <w:pPr>
        <w:spacing w:after="60"/>
      </w:pPr>
    </w:p>
    <w:p>
      <w:pPr>
        <w:pStyle w:val="Heading2"/>
        <w:keepNext/>
      </w:pPr>
      <w:r>
        <w:rPr>
          <w:rFonts w:ascii="Calibri" w:hAnsi="Calibri" w:eastAsia="Calibri"/>
          <w:b/>
          <w:color w:val="2E74B5"/>
          <w:sz w:val="26"/>
        </w:rPr>
        <w:t>12.1 Corpus fiscal</w:t>
      </w:r>
    </w:p>
    <w:p>
      <w:pPr>
        <w:keepNext w:val="0"/>
        <w:spacing w:before="0" w:after="120" w:line="264" w:lineRule="auto"/>
        <w:jc w:val="left"/>
      </w:pPr>
      <w:r>
        <w:rPr>
          <w:rFonts w:ascii="Calibri" w:hAnsi="Calibri" w:eastAsia="Calibri"/>
          <w:b w:val="0"/>
          <w:i w:val="0"/>
          <w:color w:val="17212B"/>
          <w:sz w:val="22"/>
        </w:rPr>
        <w:t>O corpus de teste será versionado e anonimizado. Cada regra publicada deve possuir ao menos: caso que dispara; caso semelhante que não dispara; campos ausentes; valores-limite; documento cancelado quando aplicável; competência anterior e posterior à vigência; e resultado esperado assinado pelo revisor fiscal.</w:t>
      </w:r>
    </w:p>
    <w:p>
      <w:pPr>
        <w:pStyle w:val="Heading1"/>
        <w:keepNext/>
      </w:pPr>
      <w:r>
        <w:rPr>
          <w:rFonts w:ascii="Calibri" w:hAnsi="Calibri" w:eastAsia="Calibri"/>
          <w:b/>
          <w:color w:val="2E74B5"/>
          <w:sz w:val="32"/>
        </w:rPr>
        <w:t>13. Critérios de aceite do MVP</w:t>
      </w:r>
    </w:p>
    <w:p>
      <w:pPr>
        <w:pStyle w:val="ListBullet"/>
        <w:spacing w:after="100" w:line="280" w:lineRule="auto"/>
        <w:ind w:left="720" w:hanging="360"/>
      </w:pPr>
      <w:r>
        <w:rPr>
          <w:rFonts w:ascii="Calibri" w:hAnsi="Calibri" w:eastAsia="Calibri"/>
          <w:color w:val="17212B"/>
          <w:sz w:val="22"/>
        </w:rPr>
        <w:t>Um administrador cria o escritório, convida usuários e limita cada pessoa aos clientes corretos.</w:t>
      </w:r>
    </w:p>
    <w:p>
      <w:pPr>
        <w:pStyle w:val="ListBullet"/>
        <w:spacing w:after="100" w:line="280" w:lineRule="auto"/>
        <w:ind w:left="720" w:hanging="360"/>
      </w:pPr>
      <w:r>
        <w:rPr>
          <w:rFonts w:ascii="Calibri" w:hAnsi="Calibri" w:eastAsia="Calibri"/>
          <w:color w:val="17212B"/>
          <w:sz w:val="22"/>
        </w:rPr>
        <w:t>Um analista cadastra cliente/estabelecimento/competência e importa cadastro em massa com relatório de erro.</w:t>
      </w:r>
    </w:p>
    <w:p>
      <w:pPr>
        <w:pStyle w:val="ListBullet"/>
        <w:spacing w:after="100" w:line="280" w:lineRule="auto"/>
        <w:ind w:left="720" w:hanging="360"/>
      </w:pPr>
      <w:r>
        <w:rPr>
          <w:rFonts w:ascii="Calibri" w:hAnsi="Calibri" w:eastAsia="Calibri"/>
          <w:color w:val="17212B"/>
          <w:sz w:val="22"/>
        </w:rPr>
        <w:t>Um lote com XML e EFD é enviado diretamente ao R2, selado e processado sem bloquear a interface.</w:t>
      </w:r>
    </w:p>
    <w:p>
      <w:pPr>
        <w:pStyle w:val="ListBullet"/>
        <w:spacing w:after="100" w:line="280" w:lineRule="auto"/>
        <w:ind w:left="720" w:hanging="360"/>
      </w:pPr>
      <w:r>
        <w:rPr>
          <w:rFonts w:ascii="Calibri" w:hAnsi="Calibri" w:eastAsia="Calibri"/>
          <w:color w:val="17212B"/>
          <w:sz w:val="22"/>
        </w:rPr>
        <w:t>Arquivos duplicados, incompatíveis, corrompidos, maliciosos ou excessivos recebem tratamento determinístico.</w:t>
      </w:r>
    </w:p>
    <w:p>
      <w:pPr>
        <w:pStyle w:val="ListBullet"/>
        <w:spacing w:after="100" w:line="280" w:lineRule="auto"/>
        <w:ind w:left="720" w:hanging="360"/>
      </w:pPr>
      <w:r>
        <w:rPr>
          <w:rFonts w:ascii="Calibri" w:hAnsi="Calibri" w:eastAsia="Calibri"/>
          <w:color w:val="17212B"/>
          <w:sz w:val="22"/>
        </w:rPr>
        <w:t>O sistema normaliza documentos do corpus, reconcilia XML x EFD e apresenta achados com evidência.</w:t>
      </w:r>
    </w:p>
    <w:p>
      <w:pPr>
        <w:pStyle w:val="ListBullet"/>
        <w:spacing w:after="100" w:line="280" w:lineRule="auto"/>
        <w:ind w:left="720" w:hanging="360"/>
      </w:pPr>
      <w:r>
        <w:rPr>
          <w:rFonts w:ascii="Calibri" w:hAnsi="Calibri" w:eastAsia="Calibri"/>
          <w:color w:val="17212B"/>
          <w:sz w:val="22"/>
        </w:rPr>
        <w:t>O usuário atribui, comenta, resolve e reprocessa; o histórico anterior permanece disponível.</w:t>
      </w:r>
    </w:p>
    <w:p>
      <w:pPr>
        <w:pStyle w:val="ListBullet"/>
        <w:spacing w:after="100" w:line="280" w:lineRule="auto"/>
        <w:ind w:left="720" w:hanging="360"/>
      </w:pPr>
      <w:r>
        <w:rPr>
          <w:rFonts w:ascii="Calibri" w:hAnsi="Calibri" w:eastAsia="Calibri"/>
          <w:color w:val="17212B"/>
          <w:sz w:val="22"/>
        </w:rPr>
        <w:t>Uma oportunidade piloto CAT 42/SP apresenta memória de cálculo, parâmetros e aviso de não homologação.</w:t>
      </w:r>
    </w:p>
    <w:p>
      <w:pPr>
        <w:pStyle w:val="ListBullet"/>
        <w:spacing w:after="100" w:line="280" w:lineRule="auto"/>
        <w:ind w:left="720" w:hanging="360"/>
      </w:pPr>
      <w:r>
        <w:rPr>
          <w:rFonts w:ascii="Calibri" w:hAnsi="Calibri" w:eastAsia="Calibri"/>
          <w:color w:val="17212B"/>
          <w:sz w:val="22"/>
        </w:rPr>
        <w:t>Um supervisor aprova e gera relatório executivo, relatório técnico, CSV e pacote de evidências.</w:t>
      </w:r>
    </w:p>
    <w:p>
      <w:pPr>
        <w:pStyle w:val="ListBullet"/>
        <w:spacing w:after="100" w:line="280" w:lineRule="auto"/>
        <w:ind w:left="720" w:hanging="360"/>
      </w:pPr>
      <w:r>
        <w:rPr>
          <w:rFonts w:ascii="Calibri" w:hAnsi="Calibri" w:eastAsia="Calibri"/>
          <w:color w:val="17212B"/>
          <w:sz w:val="22"/>
        </w:rPr>
        <w:t>Cada ação crítica aparece na trilha com ator, tenant, recurso, data e correlação.</w:t>
      </w:r>
    </w:p>
    <w:p>
      <w:pPr>
        <w:pStyle w:val="ListBullet"/>
        <w:spacing w:after="100" w:line="280" w:lineRule="auto"/>
        <w:ind w:left="720" w:hanging="360"/>
      </w:pPr>
      <w:r>
        <w:rPr>
          <w:rFonts w:ascii="Calibri" w:hAnsi="Calibri" w:eastAsia="Calibri"/>
          <w:color w:val="17212B"/>
          <w:sz w:val="22"/>
        </w:rPr>
        <w:t>Testes de isolamento não conseguem ler, listar, inferir ou baixar recurso de outro tenant.</w:t>
      </w:r>
    </w:p>
    <w:p>
      <w:pPr>
        <w:pStyle w:val="ListBullet"/>
        <w:spacing w:after="100" w:line="280" w:lineRule="auto"/>
        <w:ind w:left="720" w:hanging="360"/>
      </w:pPr>
      <w:r>
        <w:rPr>
          <w:rFonts w:ascii="Calibri" w:hAnsi="Calibri" w:eastAsia="Calibri"/>
          <w:color w:val="17212B"/>
          <w:sz w:val="22"/>
        </w:rPr>
        <w:t>Falhas simuladas produzem retentativa, DLQ e retomada sem duplicidade ou perda silenciosa.</w:t>
      </w:r>
    </w:p>
    <w:p>
      <w:pPr>
        <w:pStyle w:val="ListBullet"/>
        <w:spacing w:after="100" w:line="280" w:lineRule="auto"/>
        <w:ind w:left="720" w:hanging="360"/>
      </w:pPr>
      <w:r>
        <w:rPr>
          <w:rFonts w:ascii="Calibri" w:hAnsi="Calibri" w:eastAsia="Calibri"/>
          <w:color w:val="17212B"/>
          <w:sz w:val="22"/>
        </w:rPr>
        <w:t>A documentação operacional permite implantar, restaurar, reprocessar e investigar um lote.</w:t>
      </w:r>
    </w:p>
    <w:p>
      <w:pPr>
        <w:pStyle w:val="Heading2"/>
        <w:keepNext/>
      </w:pPr>
      <w:r>
        <w:rPr>
          <w:rFonts w:ascii="Calibri" w:hAnsi="Calibri" w:eastAsia="Calibri"/>
          <w:b/>
          <w:color w:val="2E74B5"/>
          <w:sz w:val="26"/>
        </w:rPr>
        <w:t>13.1 Definition of Done por história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 w:eastAsia="Calibri"/>
          <w:color w:val="17212B"/>
          <w:sz w:val="22"/>
        </w:rPr>
        <w:t>Critério funcional automatizado e revisão de produto.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 w:eastAsia="Calibri"/>
          <w:color w:val="17212B"/>
          <w:sz w:val="22"/>
        </w:rPr>
        <w:t>Autorização e isolamento testados para todos os papéis afetados.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 w:eastAsia="Calibri"/>
          <w:color w:val="17212B"/>
          <w:sz w:val="22"/>
        </w:rPr>
        <w:t>Logs sem dados sensíveis e métricas/alertas definidos quando aplicável.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 w:eastAsia="Calibri"/>
          <w:color w:val="17212B"/>
          <w:sz w:val="22"/>
        </w:rPr>
        <w:t>Migração, rollback e compatibilidade avaliados.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 w:eastAsia="Calibri"/>
          <w:color w:val="17212B"/>
          <w:sz w:val="22"/>
        </w:rPr>
        <w:t>Texto de interface em português revisado; estados de vazio, erro e carregamento incluídos.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 w:eastAsia="Calibri"/>
          <w:color w:val="17212B"/>
          <w:sz w:val="22"/>
        </w:rPr>
        <w:t>Documentação de suporte e decisão arquitetural atualizada.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 w:eastAsia="Calibri"/>
          <w:color w:val="17212B"/>
          <w:sz w:val="22"/>
        </w:rPr>
        <w:t>Para regra fiscal: fonte, vigência, owner, revisor e golden files aprovados.</w:t>
      </w:r>
    </w:p>
    <w:p>
      <w:pPr>
        <w:pStyle w:val="Heading1"/>
        <w:keepNext/>
      </w:pPr>
      <w:r>
        <w:rPr>
          <w:rFonts w:ascii="Calibri" w:hAnsi="Calibri" w:eastAsia="Calibri"/>
          <w:b/>
          <w:color w:val="2E74B5"/>
          <w:sz w:val="32"/>
        </w:rPr>
        <w:t>14. Sequência recomendada de entrega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500"/>
        <w:gridCol w:w="6860"/>
      </w:tblGrid>
      <w:tr>
        <w:trPr>
          <w:tblHeader w:val="true"/>
          <w:cantSplit/>
        </w:trPr>
        <w:tc>
          <w:tcPr>
            <w:tcW w:type="dxa" w:w="2500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/>
                <w:color w:val="0B2545"/>
                <w:sz w:val="18"/>
              </w:rPr>
              <w:t>Fase</w:t>
            </w:r>
          </w:p>
        </w:tc>
        <w:tc>
          <w:tcPr>
            <w:tcW w:type="dxa" w:w="6860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/>
                <w:color w:val="0B2545"/>
                <w:sz w:val="18"/>
              </w:rPr>
              <w:t>Resultado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8"/>
              </w:rPr>
              <w:t>Fase 0 - Descoberta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8"/>
              </w:rPr>
              <w:t>Validar fluxos com 3-5 escritórios; selecionar corpus e regra CAT 42 piloto; fechar threat model.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8"/>
              </w:rPr>
              <w:t>Fase 1 - Fundação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8"/>
              </w:rPr>
              <w:t>Tenancy, identidade, D1/R2, auditoria, CI/CD, ambientes e esqueleto do portal.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8"/>
              </w:rPr>
              <w:t>Fase 2 - Ingestão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8"/>
              </w:rPr>
              <w:t>Upload direto, manifesto, triagem, quarentena, parsers e normalização.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8"/>
              </w:rPr>
              <w:t>Fase 3 - Validação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8"/>
              </w:rPr>
              <w:t>Catálogo de regras, execução, achados, filtros, comentários e reprocessamento.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8"/>
              </w:rPr>
              <w:t>Fase 4 - Oportunidade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8"/>
              </w:rPr>
              <w:t>Cálculo piloto CAT 42/SP, aprovação, relatórios e dossiê.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8"/>
              </w:rPr>
              <w:t>Fase 5 - Piloto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8"/>
              </w:rPr>
              <w:t>Onboarding assistido, carga, segurança, recuperação, observabilidade e correções.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8"/>
              </w:rPr>
              <w:t>Fase 6 - Expansão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8"/>
              </w:rPr>
              <w:t>Novos módulos estaduais, conectores ERP e decisão sobre mensageria/A1.</w:t>
            </w:r>
          </w:p>
        </w:tc>
      </w:tr>
    </w:tbl>
    <w:p>
      <w:pPr>
        <w:spacing w:after="60"/>
      </w:pPr>
    </w:p>
    <w:p>
      <w:pPr>
        <w:keepNext w:val="0"/>
        <w:spacing w:before="0" w:after="120" w:line="264" w:lineRule="auto"/>
        <w:jc w:val="left"/>
      </w:pPr>
      <w:r>
        <w:rPr>
          <w:rFonts w:ascii="Calibri" w:hAnsi="Calibri" w:eastAsia="Calibri"/>
          <w:b w:val="0"/>
          <w:i w:val="0"/>
          <w:color w:val="17212B"/>
          <w:sz w:val="22"/>
        </w:rPr>
        <w:t>Estimativas de prazo e equipe devem ser produzidas após a Fase 0. O documento não presume quantidade de desenvolvedores nem disponibilidade de especialista fiscal.</w:t>
      </w:r>
    </w:p>
    <w:p>
      <w:pPr>
        <w:pStyle w:val="Heading1"/>
        <w:keepNext/>
      </w:pPr>
      <w:r>
        <w:rPr>
          <w:rFonts w:ascii="Calibri" w:hAnsi="Calibri" w:eastAsia="Calibri"/>
          <w:b/>
          <w:color w:val="2E74B5"/>
          <w:sz w:val="32"/>
        </w:rPr>
        <w:t>15. Decisões pendentes antes do desenvolvimento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00"/>
        <w:gridCol w:w="1800"/>
        <w:gridCol w:w="4900"/>
        <w:gridCol w:w="1760"/>
      </w:tblGrid>
      <w:tr>
        <w:trPr>
          <w:tblHeader w:val="true"/>
          <w:cantSplit/>
        </w:trPr>
        <w:tc>
          <w:tcPr>
            <w:tcW w:type="dxa" w:w="900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/>
                <w:color w:val="0B2545"/>
                <w:sz w:val="18"/>
              </w:rPr>
              <w:t>ID</w:t>
            </w:r>
          </w:p>
        </w:tc>
        <w:tc>
          <w:tcPr>
            <w:tcW w:type="dxa" w:w="1800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/>
                <w:color w:val="0B2545"/>
                <w:sz w:val="18"/>
              </w:rPr>
              <w:t>Tema</w:t>
            </w:r>
          </w:p>
        </w:tc>
        <w:tc>
          <w:tcPr>
            <w:tcW w:type="dxa" w:w="4900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/>
                <w:color w:val="0B2545"/>
                <w:sz w:val="18"/>
              </w:rPr>
              <w:t>Decisão necessária</w:t>
            </w:r>
          </w:p>
        </w:tc>
        <w:tc>
          <w:tcPr>
            <w:tcW w:type="dxa" w:w="1760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/>
                <w:color w:val="0B2545"/>
                <w:sz w:val="18"/>
              </w:rPr>
              <w:t>Dono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7"/>
              </w:rPr>
              <w:t>OD-01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7"/>
              </w:rPr>
              <w:t>Módulo fiscal inicial</w:t>
            </w:r>
          </w:p>
        </w:tc>
        <w:tc>
          <w:tcPr>
            <w:tcW w:type="dxa" w:w="4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7"/>
              </w:rPr>
              <w:t>Confirmar CAT 42/SP e segmentos do piloto</w:t>
            </w:r>
          </w:p>
        </w:tc>
        <w:tc>
          <w:tcPr>
            <w:tcW w:type="dxa" w:w="1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7"/>
              </w:rPr>
              <w:t>Produto + Fiscal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7"/>
              </w:rPr>
              <w:t>OD-02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7"/>
              </w:rPr>
              <w:t>Identidade</w:t>
            </w:r>
          </w:p>
        </w:tc>
        <w:tc>
          <w:tcPr>
            <w:tcW w:type="dxa" w:w="4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7"/>
              </w:rPr>
              <w:t>Access com IdP corporativo versus CIAM dedicado</w:t>
            </w:r>
          </w:p>
        </w:tc>
        <w:tc>
          <w:tcPr>
            <w:tcW w:type="dxa" w:w="1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7"/>
              </w:rPr>
              <w:t>Segurança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7"/>
              </w:rPr>
              <w:t>OD-03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7"/>
              </w:rPr>
              <w:t>Tenancy D1</w:t>
            </w:r>
          </w:p>
        </w:tc>
        <w:tc>
          <w:tcPr>
            <w:tcW w:type="dxa" w:w="4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7"/>
              </w:rPr>
              <w:t>Coorte por banco, dedicado enterprise e gatilho de shard</w:t>
            </w:r>
          </w:p>
        </w:tc>
        <w:tc>
          <w:tcPr>
            <w:tcW w:type="dxa" w:w="1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7"/>
              </w:rPr>
              <w:t>Arquitetura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7"/>
              </w:rPr>
              <w:t>OD-04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7"/>
              </w:rPr>
              <w:t>Data location</w:t>
            </w:r>
          </w:p>
        </w:tc>
        <w:tc>
          <w:tcPr>
            <w:tcW w:type="dxa" w:w="4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7"/>
              </w:rPr>
              <w:t>Latência, transferência internacional e contrato</w:t>
            </w:r>
          </w:p>
        </w:tc>
        <w:tc>
          <w:tcPr>
            <w:tcW w:type="dxa" w:w="1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7"/>
              </w:rPr>
              <w:t>Jurídico + Segurança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7"/>
              </w:rPr>
              <w:t>OD-05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7"/>
              </w:rPr>
              <w:t>Malware scan</w:t>
            </w:r>
          </w:p>
        </w:tc>
        <w:tc>
          <w:tcPr>
            <w:tcW w:type="dxa" w:w="4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7"/>
              </w:rPr>
              <w:t>Engine, atualizações e execução no Container</w:t>
            </w:r>
          </w:p>
        </w:tc>
        <w:tc>
          <w:tcPr>
            <w:tcW w:type="dxa" w:w="1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7"/>
              </w:rPr>
              <w:t>Segurança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7"/>
              </w:rPr>
              <w:t>OD-06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7"/>
              </w:rPr>
              <w:t>Formato canônico</w:t>
            </w:r>
          </w:p>
        </w:tc>
        <w:tc>
          <w:tcPr>
            <w:tcW w:type="dxa" w:w="4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7"/>
              </w:rPr>
              <w:t>Campos mínimos e estratégia Parquet/JSONL</w:t>
            </w:r>
          </w:p>
        </w:tc>
        <w:tc>
          <w:tcPr>
            <w:tcW w:type="dxa" w:w="1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7"/>
              </w:rPr>
              <w:t>Dados + Fiscal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7"/>
              </w:rPr>
              <w:t>OD-07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7"/>
              </w:rPr>
              <w:t>Catálogo de regras</w:t>
            </w:r>
          </w:p>
        </w:tc>
        <w:tc>
          <w:tcPr>
            <w:tcW w:type="dxa" w:w="4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7"/>
              </w:rPr>
              <w:t>DSL declarativa versus módulos de código assinados</w:t>
            </w:r>
          </w:p>
        </w:tc>
        <w:tc>
          <w:tcPr>
            <w:tcW w:type="dxa" w:w="1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7"/>
              </w:rPr>
              <w:t>Arquitetura + Fiscal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7"/>
              </w:rPr>
              <w:t>OD-08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7"/>
              </w:rPr>
              <w:t>E-mail</w:t>
            </w:r>
          </w:p>
        </w:tc>
        <w:tc>
          <w:tcPr>
            <w:tcW w:type="dxa" w:w="4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7"/>
              </w:rPr>
              <w:t>Fornecedor transacional e requisitos de entrega</w:t>
            </w:r>
          </w:p>
        </w:tc>
        <w:tc>
          <w:tcPr>
            <w:tcW w:type="dxa" w:w="1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7"/>
              </w:rPr>
              <w:t>Produto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7"/>
              </w:rPr>
              <w:t>OD-09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7"/>
              </w:rPr>
              <w:t>White label</w:t>
            </w:r>
          </w:p>
        </w:tc>
        <w:tc>
          <w:tcPr>
            <w:tcW w:type="dxa" w:w="4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7"/>
              </w:rPr>
              <w:t>Domínio, marca e relatórios por escritório</w:t>
            </w:r>
          </w:p>
        </w:tc>
        <w:tc>
          <w:tcPr>
            <w:tcW w:type="dxa" w:w="1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7"/>
              </w:rPr>
              <w:t>Comercial + Produto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7"/>
              </w:rPr>
              <w:t>OD-10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7"/>
              </w:rPr>
              <w:t>Retenção</w:t>
            </w:r>
          </w:p>
        </w:tc>
        <w:tc>
          <w:tcPr>
            <w:tcW w:type="dxa" w:w="4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7"/>
              </w:rPr>
              <w:t>Classes, prazos, legal hold e descarte</w:t>
            </w:r>
          </w:p>
        </w:tc>
        <w:tc>
          <w:tcPr>
            <w:tcW w:type="dxa" w:w="1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7"/>
              </w:rPr>
              <w:t>Jurídico + Fiscal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7"/>
              </w:rPr>
              <w:t>OD-11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7"/>
              </w:rPr>
              <w:t>A1 futuro</w:t>
            </w:r>
          </w:p>
        </w:tc>
        <w:tc>
          <w:tcPr>
            <w:tcW w:type="dxa" w:w="4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7"/>
              </w:rPr>
              <w:t>Conector local versus cofre/assinador</w:t>
            </w:r>
          </w:p>
        </w:tc>
        <w:tc>
          <w:tcPr>
            <w:tcW w:type="dxa" w:w="1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7"/>
              </w:rPr>
              <w:t>Segurança + Arquitetura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7"/>
              </w:rPr>
              <w:t>OD-12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7"/>
              </w:rPr>
              <w:t>Integração com bolsa</w:t>
            </w:r>
          </w:p>
        </w:tc>
        <w:tc>
          <w:tcPr>
            <w:tcW w:type="dxa" w:w="4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7"/>
              </w:rPr>
              <w:t>Consentimento, dados mínimos e critérios de elegibilidade</w:t>
            </w:r>
          </w:p>
        </w:tc>
        <w:tc>
          <w:tcPr>
            <w:tcW w:type="dxa" w:w="1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7"/>
              </w:rPr>
              <w:t>Produto + Jurídico</w:t>
            </w:r>
          </w:p>
        </w:tc>
      </w:tr>
    </w:tbl>
    <w:p>
      <w:pPr>
        <w:spacing w:after="60"/>
      </w:pPr>
    </w:p>
    <w:p>
      <w:r>
        <w:br w:type="page"/>
      </w:r>
    </w:p>
    <w:p>
      <w:pPr>
        <w:pStyle w:val="Heading1"/>
        <w:keepNext/>
      </w:pPr>
      <w:r>
        <w:rPr>
          <w:rFonts w:ascii="Calibri" w:hAnsi="Calibri" w:eastAsia="Calibri"/>
          <w:b/>
          <w:color w:val="2E74B5"/>
          <w:sz w:val="32"/>
        </w:rPr>
        <w:t>Apêndice A - Matriz de requisitos funcionais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00"/>
        <w:gridCol w:w="1350"/>
        <w:gridCol w:w="3030"/>
        <w:gridCol w:w="1050"/>
        <w:gridCol w:w="3030"/>
      </w:tblGrid>
      <w:tr>
        <w:trPr>
          <w:tblHeader w:val="true"/>
          <w:cantSplit/>
        </w:trPr>
        <w:tc>
          <w:tcPr>
            <w:tcW w:type="dxa" w:w="900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/>
                <w:color w:val="0B2545"/>
                <w:sz w:val="18"/>
              </w:rPr>
              <w:t>ID</w:t>
            </w:r>
          </w:p>
        </w:tc>
        <w:tc>
          <w:tcPr>
            <w:tcW w:type="dxa" w:w="1350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/>
                <w:color w:val="0B2545"/>
                <w:sz w:val="18"/>
              </w:rPr>
              <w:t>Domínio</w:t>
            </w:r>
          </w:p>
        </w:tc>
        <w:tc>
          <w:tcPr>
            <w:tcW w:type="dxa" w:w="3030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/>
                <w:color w:val="0B2545"/>
                <w:sz w:val="18"/>
              </w:rPr>
              <w:t>Requisito</w:t>
            </w:r>
          </w:p>
        </w:tc>
        <w:tc>
          <w:tcPr>
            <w:tcW w:type="dxa" w:w="1050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/>
                <w:color w:val="0B2545"/>
                <w:sz w:val="18"/>
              </w:rPr>
              <w:t>Prioridade</w:t>
            </w:r>
          </w:p>
        </w:tc>
        <w:tc>
          <w:tcPr>
            <w:tcW w:type="dxa" w:w="3030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/>
                <w:color w:val="0B2545"/>
                <w:sz w:val="18"/>
              </w:rPr>
              <w:t>Aceite resumido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6"/>
              </w:rPr>
              <w:t>FR-001</w:t>
            </w:r>
          </w:p>
        </w:tc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6"/>
              </w:rPr>
              <w:t>Tenancy</w:t>
            </w:r>
          </w:p>
        </w:tc>
        <w:tc>
          <w:tcPr>
            <w:tcW w:type="dxa" w:w="30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6"/>
              </w:rPr>
              <w:t>Criar, suspender e reativar tenant.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6"/>
              </w:rPr>
              <w:t>Must</w:t>
            </w:r>
          </w:p>
        </w:tc>
        <w:tc>
          <w:tcPr>
            <w:tcW w:type="dxa" w:w="30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6"/>
              </w:rPr>
              <w:t>Estado aplicado a novos acessos e jobs.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6"/>
              </w:rPr>
              <w:t>FR-002</w:t>
            </w:r>
          </w:p>
        </w:tc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6"/>
              </w:rPr>
              <w:t>Tenancy</w:t>
            </w:r>
          </w:p>
        </w:tc>
        <w:tc>
          <w:tcPr>
            <w:tcW w:type="dxa" w:w="30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6"/>
              </w:rPr>
              <w:t>Derivar tenant da sessão autenticada.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6"/>
              </w:rPr>
              <w:t>Must</w:t>
            </w:r>
          </w:p>
        </w:tc>
        <w:tc>
          <w:tcPr>
            <w:tcW w:type="dxa" w:w="30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6"/>
              </w:rPr>
              <w:t>Tenant divergente retorna 403 e gera auditoria.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6"/>
              </w:rPr>
              <w:t>FR-003</w:t>
            </w:r>
          </w:p>
        </w:tc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6"/>
              </w:rPr>
              <w:t>Acesso</w:t>
            </w:r>
          </w:p>
        </w:tc>
        <w:tc>
          <w:tcPr>
            <w:tcW w:type="dxa" w:w="30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6"/>
              </w:rPr>
              <w:t>Convidar usuário com papel e escopo.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6"/>
              </w:rPr>
              <w:t>Must</w:t>
            </w:r>
          </w:p>
        </w:tc>
        <w:tc>
          <w:tcPr>
            <w:tcW w:type="dxa" w:w="30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6"/>
              </w:rPr>
              <w:t>Convite expira e não concede acesso antes do aceite.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6"/>
              </w:rPr>
              <w:t>FR-004</w:t>
            </w:r>
          </w:p>
        </w:tc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6"/>
              </w:rPr>
              <w:t>Acesso</w:t>
            </w:r>
          </w:p>
        </w:tc>
        <w:tc>
          <w:tcPr>
            <w:tcW w:type="dxa" w:w="30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6"/>
              </w:rPr>
              <w:t>Revogar sessão e membership.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6"/>
              </w:rPr>
              <w:t>Must</w:t>
            </w:r>
          </w:p>
        </w:tc>
        <w:tc>
          <w:tcPr>
            <w:tcW w:type="dxa" w:w="30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6"/>
              </w:rPr>
              <w:t>Revogação bloqueia novas chamadas imediatamente.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6"/>
              </w:rPr>
              <w:t>FR-005</w:t>
            </w:r>
          </w:p>
        </w:tc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6"/>
              </w:rPr>
              <w:t>Acesso</w:t>
            </w:r>
          </w:p>
        </w:tc>
        <w:tc>
          <w:tcPr>
            <w:tcW w:type="dxa" w:w="30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6"/>
              </w:rPr>
              <w:t>Exigir MFA para papel privilegiado.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6"/>
              </w:rPr>
              <w:t>Must</w:t>
            </w:r>
          </w:p>
        </w:tc>
        <w:tc>
          <w:tcPr>
            <w:tcW w:type="dxa" w:w="30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6"/>
              </w:rPr>
              <w:t>Login sem sinal de MFA é negado.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6"/>
              </w:rPr>
              <w:t>FR-006</w:t>
            </w:r>
          </w:p>
        </w:tc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6"/>
              </w:rPr>
              <w:t>Clientes</w:t>
            </w:r>
          </w:p>
        </w:tc>
        <w:tc>
          <w:tcPr>
            <w:tcW w:type="dxa" w:w="30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6"/>
              </w:rPr>
              <w:t>Cadastrar cliente e estabelecimento com vigência.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6"/>
              </w:rPr>
              <w:t>Must</w:t>
            </w:r>
          </w:p>
        </w:tc>
        <w:tc>
          <w:tcPr>
            <w:tcW w:type="dxa" w:w="30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6"/>
              </w:rPr>
              <w:t>CNPJ validado; sobreposição incompatível é rejeitada.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6"/>
              </w:rPr>
              <w:t>FR-007</w:t>
            </w:r>
          </w:p>
        </w:tc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6"/>
              </w:rPr>
              <w:t>Clientes</w:t>
            </w:r>
          </w:p>
        </w:tc>
        <w:tc>
          <w:tcPr>
            <w:tcW w:type="dxa" w:w="30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6"/>
              </w:rPr>
              <w:t>Importar clientes por CSV.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6"/>
              </w:rPr>
              <w:t>Should</w:t>
            </w:r>
          </w:p>
        </w:tc>
        <w:tc>
          <w:tcPr>
            <w:tcW w:type="dxa" w:w="30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6"/>
              </w:rPr>
              <w:t>Prévia, validação e relatório por linha.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6"/>
              </w:rPr>
              <w:t>FR-008</w:t>
            </w:r>
          </w:p>
        </w:tc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6"/>
              </w:rPr>
              <w:t>Clientes</w:t>
            </w:r>
          </w:p>
        </w:tc>
        <w:tc>
          <w:tcPr>
            <w:tcW w:type="dxa" w:w="30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6"/>
              </w:rPr>
              <w:t>Atribuir responsáveis e tags.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6"/>
              </w:rPr>
              <w:t>Should</w:t>
            </w:r>
          </w:p>
        </w:tc>
        <w:tc>
          <w:tcPr>
            <w:tcW w:type="dxa" w:w="30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6"/>
              </w:rPr>
              <w:t>Filtros e painel respeitam atribuição.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6"/>
              </w:rPr>
              <w:t>FR-009</w:t>
            </w:r>
          </w:p>
        </w:tc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6"/>
              </w:rPr>
              <w:t>Competência</w:t>
            </w:r>
          </w:p>
        </w:tc>
        <w:tc>
          <w:tcPr>
            <w:tcW w:type="dxa" w:w="30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6"/>
              </w:rPr>
              <w:t>Abrir, fechar e reabrir período com permissão.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6"/>
              </w:rPr>
              <w:t>Must</w:t>
            </w:r>
          </w:p>
        </w:tc>
        <w:tc>
          <w:tcPr>
            <w:tcW w:type="dxa" w:w="30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6"/>
              </w:rPr>
              <w:t>Reabertura exige justificativa e auditoria.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6"/>
              </w:rPr>
              <w:t>FR-010</w:t>
            </w:r>
          </w:p>
        </w:tc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6"/>
              </w:rPr>
              <w:t>Upload</w:t>
            </w:r>
          </w:p>
        </w:tc>
        <w:tc>
          <w:tcPr>
            <w:tcW w:type="dxa" w:w="30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6"/>
              </w:rPr>
              <w:t>Criar lote e sessões de upload retomável.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6"/>
              </w:rPr>
              <w:t>Must</w:t>
            </w:r>
          </w:p>
        </w:tc>
        <w:tc>
          <w:tcPr>
            <w:tcW w:type="dxa" w:w="30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6"/>
              </w:rPr>
              <w:t>Upload pode continuar sem reenviar partes concluídas.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6"/>
              </w:rPr>
              <w:t>FR-011</w:t>
            </w:r>
          </w:p>
        </w:tc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6"/>
              </w:rPr>
              <w:t>Upload</w:t>
            </w:r>
          </w:p>
        </w:tc>
        <w:tc>
          <w:tcPr>
            <w:tcW w:type="dxa" w:w="30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6"/>
              </w:rPr>
              <w:t>Enviar arquivo diretamente ao R2.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6"/>
              </w:rPr>
              <w:t>Must</w:t>
            </w:r>
          </w:p>
        </w:tc>
        <w:tc>
          <w:tcPr>
            <w:tcW w:type="dxa" w:w="30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6"/>
              </w:rPr>
              <w:t>API Worker não mantém arquivo grande em memória.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6"/>
              </w:rPr>
              <w:t>FR-012</w:t>
            </w:r>
          </w:p>
        </w:tc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6"/>
              </w:rPr>
              <w:t>Upload</w:t>
            </w:r>
          </w:p>
        </w:tc>
        <w:tc>
          <w:tcPr>
            <w:tcW w:type="dxa" w:w="30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6"/>
              </w:rPr>
              <w:t>Validar tamanho, tipo real e hash.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6"/>
              </w:rPr>
              <w:t>Must</w:t>
            </w:r>
          </w:p>
        </w:tc>
        <w:tc>
          <w:tcPr>
            <w:tcW w:type="dxa" w:w="30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6"/>
              </w:rPr>
              <w:t>Divergência bloqueia submissão.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6"/>
              </w:rPr>
              <w:t>FR-013</w:t>
            </w:r>
          </w:p>
        </w:tc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6"/>
              </w:rPr>
              <w:t>Upload</w:t>
            </w:r>
          </w:p>
        </w:tc>
        <w:tc>
          <w:tcPr>
            <w:tcW w:type="dxa" w:w="30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6"/>
              </w:rPr>
              <w:t>Detectar duplicidade por tenant/contexto.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6"/>
              </w:rPr>
              <w:t>Must</w:t>
            </w:r>
          </w:p>
        </w:tc>
        <w:tc>
          <w:tcPr>
            <w:tcW w:type="dxa" w:w="30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6"/>
              </w:rPr>
              <w:t>Usuário recebe referência do original existente.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6"/>
              </w:rPr>
              <w:t>FR-014</w:t>
            </w:r>
          </w:p>
        </w:tc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6"/>
              </w:rPr>
              <w:t>Segurança</w:t>
            </w:r>
          </w:p>
        </w:tc>
        <w:tc>
          <w:tcPr>
            <w:tcW w:type="dxa" w:w="30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6"/>
              </w:rPr>
              <w:t>Colocar arquivo suspeito em quarentena.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6"/>
              </w:rPr>
              <w:t>Must</w:t>
            </w:r>
          </w:p>
        </w:tc>
        <w:tc>
          <w:tcPr>
            <w:tcW w:type="dxa" w:w="30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6"/>
              </w:rPr>
              <w:t>Download comum é bloqueado e alerta é emitido.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6"/>
              </w:rPr>
              <w:t>FR-015</w:t>
            </w:r>
          </w:p>
        </w:tc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6"/>
              </w:rPr>
              <w:t>Lote</w:t>
            </w:r>
          </w:p>
        </w:tc>
        <w:tc>
          <w:tcPr>
            <w:tcW w:type="dxa" w:w="30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6"/>
              </w:rPr>
              <w:t>Selar manifesto imutável.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6"/>
              </w:rPr>
              <w:t>Must</w:t>
            </w:r>
          </w:p>
        </w:tc>
        <w:tc>
          <w:tcPr>
            <w:tcW w:type="dxa" w:w="30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6"/>
              </w:rPr>
              <w:t>Mudança posterior exige novo lote/versão.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6"/>
              </w:rPr>
              <w:t>FR-016</w:t>
            </w:r>
          </w:p>
        </w:tc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6"/>
              </w:rPr>
              <w:t>Parsing</w:t>
            </w:r>
          </w:p>
        </w:tc>
        <w:tc>
          <w:tcPr>
            <w:tcW w:type="dxa" w:w="30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6"/>
              </w:rPr>
              <w:t>Identificar formato e versão.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6"/>
              </w:rPr>
              <w:t>Must</w:t>
            </w:r>
          </w:p>
        </w:tc>
        <w:tc>
          <w:tcPr>
            <w:tcW w:type="dxa" w:w="30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6"/>
              </w:rPr>
              <w:t>Formato desconhecido gera falha explicável.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6"/>
              </w:rPr>
              <w:t>FR-017</w:t>
            </w:r>
          </w:p>
        </w:tc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6"/>
              </w:rPr>
              <w:t>Parsing</w:t>
            </w:r>
          </w:p>
        </w:tc>
        <w:tc>
          <w:tcPr>
            <w:tcW w:type="dxa" w:w="30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6"/>
              </w:rPr>
              <w:t>Processar NF-e XML.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6"/>
              </w:rPr>
              <w:t>Must</w:t>
            </w:r>
          </w:p>
        </w:tc>
        <w:tc>
          <w:tcPr>
            <w:tcW w:type="dxa" w:w="30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6"/>
              </w:rPr>
              <w:t>Corpus suportado atinge &gt;=99,5% de parse.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6"/>
              </w:rPr>
              <w:t>FR-018</w:t>
            </w:r>
          </w:p>
        </w:tc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6"/>
              </w:rPr>
              <w:t>Parsing</w:t>
            </w:r>
          </w:p>
        </w:tc>
        <w:tc>
          <w:tcPr>
            <w:tcW w:type="dxa" w:w="30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6"/>
              </w:rPr>
              <w:t>Processar EFD ICMS/IPI piloto.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6"/>
              </w:rPr>
              <w:t>Must</w:t>
            </w:r>
          </w:p>
        </w:tc>
        <w:tc>
          <w:tcPr>
            <w:tcW w:type="dxa" w:w="30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6"/>
              </w:rPr>
              <w:t>Registros selecionados preservam origem e linha.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6"/>
              </w:rPr>
              <w:t>FR-019</w:t>
            </w:r>
          </w:p>
        </w:tc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6"/>
              </w:rPr>
              <w:t>Parsing</w:t>
            </w:r>
          </w:p>
        </w:tc>
        <w:tc>
          <w:tcPr>
            <w:tcW w:type="dxa" w:w="30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6"/>
              </w:rPr>
              <w:t>Isolar falha por arquivo/partição.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6"/>
              </w:rPr>
              <w:t>Must</w:t>
            </w:r>
          </w:p>
        </w:tc>
        <w:tc>
          <w:tcPr>
            <w:tcW w:type="dxa" w:w="30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6"/>
              </w:rPr>
              <w:t>Lote conclui como parcial quando possível.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6"/>
              </w:rPr>
              <w:t>FR-020</w:t>
            </w:r>
          </w:p>
        </w:tc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6"/>
              </w:rPr>
              <w:t>Normalização</w:t>
            </w:r>
          </w:p>
        </w:tc>
        <w:tc>
          <w:tcPr>
            <w:tcW w:type="dxa" w:w="30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6"/>
              </w:rPr>
              <w:t>Gerar esquema canônico versionado.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6"/>
              </w:rPr>
              <w:t>Must</w:t>
            </w:r>
          </w:p>
        </w:tc>
        <w:tc>
          <w:tcPr>
            <w:tcW w:type="dxa" w:w="30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6"/>
              </w:rPr>
              <w:t>Output registra parser e schema_version.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6"/>
              </w:rPr>
              <w:t>FR-021</w:t>
            </w:r>
          </w:p>
        </w:tc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6"/>
              </w:rPr>
              <w:t>Reconciliação</w:t>
            </w:r>
          </w:p>
        </w:tc>
        <w:tc>
          <w:tcPr>
            <w:tcW w:type="dxa" w:w="30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6"/>
              </w:rPr>
              <w:t>Relacionar XML e EFD por chave.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6"/>
              </w:rPr>
              <w:t>Must</w:t>
            </w:r>
          </w:p>
        </w:tc>
        <w:tc>
          <w:tcPr>
            <w:tcW w:type="dxa" w:w="30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6"/>
              </w:rPr>
              <w:t>Ausência, duplicidade e divergência são distinguíveis.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6"/>
              </w:rPr>
              <w:t>FR-022</w:t>
            </w:r>
          </w:p>
        </w:tc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6"/>
              </w:rPr>
              <w:t>Regras</w:t>
            </w:r>
          </w:p>
        </w:tc>
        <w:tc>
          <w:tcPr>
            <w:tcW w:type="dxa" w:w="30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6"/>
              </w:rPr>
              <w:t>Resolver ruleset por contexto e vigência.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6"/>
              </w:rPr>
              <w:t>Must</w:t>
            </w:r>
          </w:p>
        </w:tc>
        <w:tc>
          <w:tcPr>
            <w:tcW w:type="dxa" w:w="30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6"/>
              </w:rPr>
              <w:t>Execução registra hash do conjunto.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6"/>
              </w:rPr>
              <w:t>FR-023</w:t>
            </w:r>
          </w:p>
        </w:tc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6"/>
              </w:rPr>
              <w:t>Regras</w:t>
            </w:r>
          </w:p>
        </w:tc>
        <w:tc>
          <w:tcPr>
            <w:tcW w:type="dxa" w:w="30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6"/>
              </w:rPr>
              <w:t>Executar regra determinística.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6"/>
              </w:rPr>
              <w:t>Must</w:t>
            </w:r>
          </w:p>
        </w:tc>
        <w:tc>
          <w:tcPr>
            <w:tcW w:type="dxa" w:w="30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6"/>
              </w:rPr>
              <w:t>Mesma entrada/versão produz mesma saída.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6"/>
              </w:rPr>
              <w:t>FR-024</w:t>
            </w:r>
          </w:p>
        </w:tc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6"/>
              </w:rPr>
              <w:t>Regras</w:t>
            </w:r>
          </w:p>
        </w:tc>
        <w:tc>
          <w:tcPr>
            <w:tcW w:type="dxa" w:w="30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6"/>
              </w:rPr>
              <w:t>Publicar regra com dupla revisão.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6"/>
              </w:rPr>
              <w:t>Must</w:t>
            </w:r>
          </w:p>
        </w:tc>
        <w:tc>
          <w:tcPr>
            <w:tcW w:type="dxa" w:w="30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6"/>
              </w:rPr>
              <w:t>Sem owner, fonte, vigência e testes, publicação falha.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6"/>
              </w:rPr>
              <w:t>FR-025</w:t>
            </w:r>
          </w:p>
        </w:tc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6"/>
              </w:rPr>
              <w:t>Regras</w:t>
            </w:r>
          </w:p>
        </w:tc>
        <w:tc>
          <w:tcPr>
            <w:tcW w:type="dxa" w:w="30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6"/>
              </w:rPr>
              <w:t>Suspender regra imediatamente.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6"/>
              </w:rPr>
              <w:t>Must</w:t>
            </w:r>
          </w:p>
        </w:tc>
        <w:tc>
          <w:tcPr>
            <w:tcW w:type="dxa" w:w="30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6"/>
              </w:rPr>
              <w:t>Novas execuções não incluem a regra; histórico preservado.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6"/>
              </w:rPr>
              <w:t>FR-026</w:t>
            </w:r>
          </w:p>
        </w:tc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6"/>
              </w:rPr>
              <w:t>Achados</w:t>
            </w:r>
          </w:p>
        </w:tc>
        <w:tc>
          <w:tcPr>
            <w:tcW w:type="dxa" w:w="30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6"/>
              </w:rPr>
              <w:t>Criar achado com evidência e severidade.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6"/>
              </w:rPr>
              <w:t>Must</w:t>
            </w:r>
          </w:p>
        </w:tc>
        <w:tc>
          <w:tcPr>
            <w:tcW w:type="dxa" w:w="30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6"/>
              </w:rPr>
              <w:t>Link abre origem autorizada e regra executada.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6"/>
              </w:rPr>
              <w:t>FR-027</w:t>
            </w:r>
          </w:p>
        </w:tc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6"/>
              </w:rPr>
              <w:t>Achados</w:t>
            </w:r>
          </w:p>
        </w:tc>
        <w:tc>
          <w:tcPr>
            <w:tcW w:type="dxa" w:w="30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6"/>
              </w:rPr>
              <w:t>Filtrar e exportar lista.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6"/>
              </w:rPr>
              <w:t>Must</w:t>
            </w:r>
          </w:p>
        </w:tc>
        <w:tc>
          <w:tcPr>
            <w:tcW w:type="dxa" w:w="30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6"/>
              </w:rPr>
              <w:t>Filtro respeita escopo e exportação é auditada.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6"/>
              </w:rPr>
              <w:t>FR-028</w:t>
            </w:r>
          </w:p>
        </w:tc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6"/>
              </w:rPr>
              <w:t>Achados</w:t>
            </w:r>
          </w:p>
        </w:tc>
        <w:tc>
          <w:tcPr>
            <w:tcW w:type="dxa" w:w="30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6"/>
              </w:rPr>
              <w:t>Atribuir responsável e prazo.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6"/>
              </w:rPr>
              <w:t>Should</w:t>
            </w:r>
          </w:p>
        </w:tc>
        <w:tc>
          <w:tcPr>
            <w:tcW w:type="dxa" w:w="30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6"/>
              </w:rPr>
              <w:t>Notificação é enviada sem conteúdo sensível.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6"/>
              </w:rPr>
              <w:t>FR-029</w:t>
            </w:r>
          </w:p>
        </w:tc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6"/>
              </w:rPr>
              <w:t>Achados</w:t>
            </w:r>
          </w:p>
        </w:tc>
        <w:tc>
          <w:tcPr>
            <w:tcW w:type="dxa" w:w="30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6"/>
              </w:rPr>
              <w:t>Registrar comentário e anexo.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6"/>
              </w:rPr>
              <w:t>Must</w:t>
            </w:r>
          </w:p>
        </w:tc>
        <w:tc>
          <w:tcPr>
            <w:tcW w:type="dxa" w:w="30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6"/>
              </w:rPr>
              <w:t>Histórico imutável e autor identificado.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6"/>
              </w:rPr>
              <w:t>FR-030</w:t>
            </w:r>
          </w:p>
        </w:tc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6"/>
              </w:rPr>
              <w:t>Achados</w:t>
            </w:r>
          </w:p>
        </w:tc>
        <w:tc>
          <w:tcPr>
            <w:tcW w:type="dxa" w:w="30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6"/>
              </w:rPr>
              <w:t>Marcar falso positivo com motivo.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6"/>
              </w:rPr>
              <w:t>Must</w:t>
            </w:r>
          </w:p>
        </w:tc>
        <w:tc>
          <w:tcPr>
            <w:tcW w:type="dxa" w:w="30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6"/>
              </w:rPr>
              <w:t>Supervisor aprova e regra/versão ficam vinculadas.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6"/>
              </w:rPr>
              <w:t>FR-031</w:t>
            </w:r>
          </w:p>
        </w:tc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6"/>
              </w:rPr>
              <w:t>Reexecução</w:t>
            </w:r>
          </w:p>
        </w:tc>
        <w:tc>
          <w:tcPr>
            <w:tcW w:type="dxa" w:w="30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6"/>
              </w:rPr>
              <w:t>Criar nova execução sem apagar anterior.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6"/>
              </w:rPr>
              <w:t>Must</w:t>
            </w:r>
          </w:p>
        </w:tc>
        <w:tc>
          <w:tcPr>
            <w:tcW w:type="dxa" w:w="30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6"/>
              </w:rPr>
              <w:t>Interface compara resultados.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6"/>
              </w:rPr>
              <w:t>FR-032</w:t>
            </w:r>
          </w:p>
        </w:tc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6"/>
              </w:rPr>
              <w:t>Oportunidade</w:t>
            </w:r>
          </w:p>
        </w:tc>
        <w:tc>
          <w:tcPr>
            <w:tcW w:type="dxa" w:w="30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6"/>
              </w:rPr>
              <w:t>Calcular estimativa CAT 42 piloto.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6"/>
              </w:rPr>
              <w:t>Must</w:t>
            </w:r>
          </w:p>
        </w:tc>
        <w:tc>
          <w:tcPr>
            <w:tcW w:type="dxa" w:w="30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6"/>
              </w:rPr>
              <w:t>Memória, parâmetros e itens são exportáveis.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6"/>
              </w:rPr>
              <w:t>FR-033</w:t>
            </w:r>
          </w:p>
        </w:tc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6"/>
              </w:rPr>
              <w:t>Oportunidade</w:t>
            </w:r>
          </w:p>
        </w:tc>
        <w:tc>
          <w:tcPr>
            <w:tcW w:type="dxa" w:w="30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6"/>
              </w:rPr>
              <w:t>Exibir aviso de não homologação.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6"/>
              </w:rPr>
              <w:t>Must</w:t>
            </w:r>
          </w:p>
        </w:tc>
        <w:tc>
          <w:tcPr>
            <w:tcW w:type="dxa" w:w="30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6"/>
              </w:rPr>
              <w:t>Aviso aparece em tela e artefatos.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6"/>
              </w:rPr>
              <w:t>FR-034</w:t>
            </w:r>
          </w:p>
        </w:tc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6"/>
              </w:rPr>
              <w:t>Aprovação</w:t>
            </w:r>
          </w:p>
        </w:tc>
        <w:tc>
          <w:tcPr>
            <w:tcW w:type="dxa" w:w="30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6"/>
              </w:rPr>
              <w:t>Exigir supervisor para materialidade configurada.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6"/>
              </w:rPr>
              <w:t>Must</w:t>
            </w:r>
          </w:p>
        </w:tc>
        <w:tc>
          <w:tcPr>
            <w:tcW w:type="dxa" w:w="30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6"/>
              </w:rPr>
              <w:t>Sem aprovação, dossiê final não é gerado.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6"/>
              </w:rPr>
              <w:t>FR-035</w:t>
            </w:r>
          </w:p>
        </w:tc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6"/>
              </w:rPr>
              <w:t>Dossiê</w:t>
            </w:r>
          </w:p>
        </w:tc>
        <w:tc>
          <w:tcPr>
            <w:tcW w:type="dxa" w:w="30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6"/>
              </w:rPr>
              <w:t>Gerar relatório executivo e técnico.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6"/>
              </w:rPr>
              <w:t>Must</w:t>
            </w:r>
          </w:p>
        </w:tc>
        <w:tc>
          <w:tcPr>
            <w:tcW w:type="dxa" w:w="30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6"/>
              </w:rPr>
              <w:t>Artefatos referenciam versão e manifesto.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6"/>
              </w:rPr>
              <w:t>FR-036</w:t>
            </w:r>
          </w:p>
        </w:tc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6"/>
              </w:rPr>
              <w:t>Dossiê</w:t>
            </w:r>
          </w:p>
        </w:tc>
        <w:tc>
          <w:tcPr>
            <w:tcW w:type="dxa" w:w="30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6"/>
              </w:rPr>
              <w:t>Gerar CSV/ZIP de evidências.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6"/>
              </w:rPr>
              <w:t>Must</w:t>
            </w:r>
          </w:p>
        </w:tc>
        <w:tc>
          <w:tcPr>
            <w:tcW w:type="dxa" w:w="30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6"/>
              </w:rPr>
              <w:t>Hash do pacote e inventário acompanham download.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6"/>
              </w:rPr>
              <w:t>FR-037</w:t>
            </w:r>
          </w:p>
        </w:tc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6"/>
              </w:rPr>
              <w:t>Dossiê</w:t>
            </w:r>
          </w:p>
        </w:tc>
        <w:tc>
          <w:tcPr>
            <w:tcW w:type="dxa" w:w="30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6"/>
              </w:rPr>
              <w:t>Gerar arquivo fiscal piloto sem transmitir.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6"/>
              </w:rPr>
              <w:t>Should</w:t>
            </w:r>
          </w:p>
        </w:tc>
        <w:tc>
          <w:tcPr>
            <w:tcW w:type="dxa" w:w="30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6"/>
              </w:rPr>
              <w:t>Validador local/externo não acusa erro estrutural.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6"/>
              </w:rPr>
              <w:t>FR-038</w:t>
            </w:r>
          </w:p>
        </w:tc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6"/>
              </w:rPr>
              <w:t>Notificação</w:t>
            </w:r>
          </w:p>
        </w:tc>
        <w:tc>
          <w:tcPr>
            <w:tcW w:type="dxa" w:w="30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6"/>
              </w:rPr>
              <w:t>Notificar conclusão, falha e atribuição.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6"/>
              </w:rPr>
              <w:t>Should</w:t>
            </w:r>
          </w:p>
        </w:tc>
        <w:tc>
          <w:tcPr>
            <w:tcW w:type="dxa" w:w="30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6"/>
              </w:rPr>
              <w:t>Preferências e opt-out operacional são respeitados.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6"/>
              </w:rPr>
              <w:t>FR-039</w:t>
            </w:r>
          </w:p>
        </w:tc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6"/>
              </w:rPr>
              <w:t>Auditoria</w:t>
            </w:r>
          </w:p>
        </w:tc>
        <w:tc>
          <w:tcPr>
            <w:tcW w:type="dxa" w:w="30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6"/>
              </w:rPr>
              <w:t>Registrar ações críticas.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6"/>
              </w:rPr>
              <w:t>Must</w:t>
            </w:r>
          </w:p>
        </w:tc>
        <w:tc>
          <w:tcPr>
            <w:tcW w:type="dxa" w:w="30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6"/>
              </w:rPr>
              <w:t>Consulta retorna ator, ação, recurso, data e trace.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6"/>
              </w:rPr>
              <w:t>FR-040</w:t>
            </w:r>
          </w:p>
        </w:tc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6"/>
              </w:rPr>
              <w:t>Suporte</w:t>
            </w:r>
          </w:p>
        </w:tc>
        <w:tc>
          <w:tcPr>
            <w:tcW w:type="dxa" w:w="30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6"/>
              </w:rPr>
              <w:t>Conceder acesso temporário aprovado.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6"/>
              </w:rPr>
              <w:t>Must</w:t>
            </w:r>
          </w:p>
        </w:tc>
        <w:tc>
          <w:tcPr>
            <w:tcW w:type="dxa" w:w="30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6"/>
              </w:rPr>
              <w:t>Expira automaticamente e toda consulta é registrada.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6"/>
              </w:rPr>
              <w:t>FR-041</w:t>
            </w:r>
          </w:p>
        </w:tc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6"/>
              </w:rPr>
              <w:t>Operação</w:t>
            </w:r>
          </w:p>
        </w:tc>
        <w:tc>
          <w:tcPr>
            <w:tcW w:type="dxa" w:w="30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6"/>
              </w:rPr>
              <w:t>Reprocessar mensagem da DLQ.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6"/>
              </w:rPr>
              <w:t>Must</w:t>
            </w:r>
          </w:p>
        </w:tc>
        <w:tc>
          <w:tcPr>
            <w:tcW w:type="dxa" w:w="30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6"/>
              </w:rPr>
              <w:t>Ação exige papel privilegiado e idempotência.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6"/>
              </w:rPr>
              <w:t>FR-042</w:t>
            </w:r>
          </w:p>
        </w:tc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6"/>
              </w:rPr>
              <w:t>Operação</w:t>
            </w:r>
          </w:p>
        </w:tc>
        <w:tc>
          <w:tcPr>
            <w:tcW w:type="dxa" w:w="30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6"/>
              </w:rPr>
              <w:t>Cancelar job seguro.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6"/>
              </w:rPr>
              <w:t>Should</w:t>
            </w:r>
          </w:p>
        </w:tc>
        <w:tc>
          <w:tcPr>
            <w:tcW w:type="dxa" w:w="30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6"/>
              </w:rPr>
              <w:t>Partes concluídas preservadas; estado consistente.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6"/>
              </w:rPr>
              <w:t>FR-043</w:t>
            </w:r>
          </w:p>
        </w:tc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6"/>
              </w:rPr>
              <w:t>Busca</w:t>
            </w:r>
          </w:p>
        </w:tc>
        <w:tc>
          <w:tcPr>
            <w:tcW w:type="dxa" w:w="30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6"/>
              </w:rPr>
              <w:t>Buscar documento por chave, período e participante.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6"/>
              </w:rPr>
              <w:t>Must</w:t>
            </w:r>
          </w:p>
        </w:tc>
        <w:tc>
          <w:tcPr>
            <w:tcW w:type="dxa" w:w="30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6"/>
              </w:rPr>
              <w:t>Resultados limitados ao escopo autorizado.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6"/>
              </w:rPr>
              <w:t>FR-044</w:t>
            </w:r>
          </w:p>
        </w:tc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6"/>
              </w:rPr>
              <w:t>Relatórios</w:t>
            </w:r>
          </w:p>
        </w:tc>
        <w:tc>
          <w:tcPr>
            <w:tcW w:type="dxa" w:w="30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6"/>
              </w:rPr>
              <w:t>Gerar painel por cliente e competência.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6"/>
              </w:rPr>
              <w:t>Should</w:t>
            </w:r>
          </w:p>
        </w:tc>
        <w:tc>
          <w:tcPr>
            <w:tcW w:type="dxa" w:w="30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6"/>
              </w:rPr>
              <w:t>Totais conciliam com execuções subjacentes.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6"/>
              </w:rPr>
              <w:t>FR-045</w:t>
            </w:r>
          </w:p>
        </w:tc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6"/>
              </w:rPr>
              <w:t>Exportação</w:t>
            </w:r>
          </w:p>
        </w:tc>
        <w:tc>
          <w:tcPr>
            <w:tcW w:type="dxa" w:w="30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6"/>
              </w:rPr>
              <w:t>Emitir URL temporária de download.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6"/>
              </w:rPr>
              <w:t>Must</w:t>
            </w:r>
          </w:p>
        </w:tc>
        <w:tc>
          <w:tcPr>
            <w:tcW w:type="dxa" w:w="30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6"/>
              </w:rPr>
              <w:t>Expira, é escopada e gera auditoria.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6"/>
              </w:rPr>
              <w:t>FR-046</w:t>
            </w:r>
          </w:p>
        </w:tc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6"/>
              </w:rPr>
              <w:t>Privacidade</w:t>
            </w:r>
          </w:p>
        </w:tc>
        <w:tc>
          <w:tcPr>
            <w:tcW w:type="dxa" w:w="30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6"/>
              </w:rPr>
              <w:t>Aplicar política de retenção e legal hold.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6"/>
              </w:rPr>
              <w:t>Should</w:t>
            </w:r>
          </w:p>
        </w:tc>
        <w:tc>
          <w:tcPr>
            <w:tcW w:type="dxa" w:w="30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6"/>
              </w:rPr>
              <w:t>Objeto sob hold não pode ser descartado.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6"/>
              </w:rPr>
              <w:t>FR-047</w:t>
            </w:r>
          </w:p>
        </w:tc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6"/>
              </w:rPr>
              <w:t>Admin</w:t>
            </w:r>
          </w:p>
        </w:tc>
        <w:tc>
          <w:tcPr>
            <w:tcW w:type="dxa" w:w="30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6"/>
              </w:rPr>
              <w:t>Configurar limites por tenant.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6"/>
              </w:rPr>
              <w:t>Should</w:t>
            </w:r>
          </w:p>
        </w:tc>
        <w:tc>
          <w:tcPr>
            <w:tcW w:type="dxa" w:w="30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6"/>
              </w:rPr>
              <w:t>Novos uploads/jobs respeitam a política.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6"/>
              </w:rPr>
              <w:t>FR-048</w:t>
            </w:r>
          </w:p>
        </w:tc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6"/>
              </w:rPr>
              <w:t>Admin</w:t>
            </w:r>
          </w:p>
        </w:tc>
        <w:tc>
          <w:tcPr>
            <w:tcW w:type="dxa" w:w="30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6"/>
              </w:rPr>
              <w:t>Ativar módulo por feature flag.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6"/>
              </w:rPr>
              <w:t>Must</w:t>
            </w:r>
          </w:p>
        </w:tc>
        <w:tc>
          <w:tcPr>
            <w:tcW w:type="dxa" w:w="30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6"/>
              </w:rPr>
              <w:t>Código implantado não expõe função desabilitada.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6"/>
              </w:rPr>
              <w:t>FR-049</w:t>
            </w:r>
          </w:p>
        </w:tc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6"/>
              </w:rPr>
              <w:t>Integração</w:t>
            </w:r>
          </w:p>
        </w:tc>
        <w:tc>
          <w:tcPr>
            <w:tcW w:type="dxa" w:w="30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6"/>
              </w:rPr>
              <w:t>Publicar webhook assinado futuro.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6"/>
              </w:rPr>
              <w:t>Could</w:t>
            </w:r>
          </w:p>
        </w:tc>
        <w:tc>
          <w:tcPr>
            <w:tcW w:type="dxa" w:w="30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6"/>
              </w:rPr>
              <w:t>Entrega tem assinatura, retry e idempotência.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6"/>
              </w:rPr>
              <w:t>FR-050</w:t>
            </w:r>
          </w:p>
        </w:tc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6"/>
              </w:rPr>
              <w:t>Marketplace</w:t>
            </w:r>
          </w:p>
        </w:tc>
        <w:tc>
          <w:tcPr>
            <w:tcW w:type="dxa" w:w="30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6"/>
              </w:rPr>
              <w:t>Exportar passaporte fiscal mediante consentimento.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6"/>
              </w:rPr>
              <w:t>Could</w:t>
            </w:r>
          </w:p>
        </w:tc>
        <w:tc>
          <w:tcPr>
            <w:tcW w:type="dxa" w:w="30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6"/>
              </w:rPr>
              <w:t>Somente dados mínimos e dossiê aprovado; fora do MVP.</w:t>
            </w:r>
          </w:p>
        </w:tc>
      </w:tr>
    </w:tbl>
    <w:p>
      <w:pPr>
        <w:spacing w:after="60"/>
      </w:pPr>
    </w:p>
    <w:p>
      <w:r>
        <w:br w:type="page"/>
      </w:r>
    </w:p>
    <w:p>
      <w:pPr>
        <w:pStyle w:val="Heading1"/>
        <w:keepNext/>
      </w:pPr>
      <w:r>
        <w:rPr>
          <w:rFonts w:ascii="Calibri" w:hAnsi="Calibri" w:eastAsia="Calibri"/>
          <w:b/>
          <w:color w:val="2E74B5"/>
          <w:sz w:val="32"/>
        </w:rPr>
        <w:t>Apêndice B - Catálogo inicial de validações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50"/>
        <w:gridCol w:w="1350"/>
        <w:gridCol w:w="3800"/>
        <w:gridCol w:w="1300"/>
        <w:gridCol w:w="1960"/>
      </w:tblGrid>
      <w:tr>
        <w:trPr>
          <w:tblHeader w:val="true"/>
          <w:cantSplit/>
        </w:trPr>
        <w:tc>
          <w:tcPr>
            <w:tcW w:type="dxa" w:w="950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/>
                <w:color w:val="0B2545"/>
                <w:sz w:val="18"/>
              </w:rPr>
              <w:t>ID</w:t>
            </w:r>
          </w:p>
        </w:tc>
        <w:tc>
          <w:tcPr>
            <w:tcW w:type="dxa" w:w="1350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/>
                <w:color w:val="0B2545"/>
                <w:sz w:val="18"/>
              </w:rPr>
              <w:t>Grupo</w:t>
            </w:r>
          </w:p>
        </w:tc>
        <w:tc>
          <w:tcPr>
            <w:tcW w:type="dxa" w:w="3800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/>
                <w:color w:val="0B2545"/>
                <w:sz w:val="18"/>
              </w:rPr>
              <w:t>Validação</w:t>
            </w:r>
          </w:p>
        </w:tc>
        <w:tc>
          <w:tcPr>
            <w:tcW w:type="dxa" w:w="1300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/>
                <w:color w:val="0B2545"/>
                <w:sz w:val="18"/>
              </w:rPr>
              <w:t>Severidade</w:t>
            </w:r>
          </w:p>
        </w:tc>
        <w:tc>
          <w:tcPr>
            <w:tcW w:type="dxa" w:w="1960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/>
                <w:color w:val="0B2545"/>
                <w:sz w:val="18"/>
              </w:rPr>
              <w:t>Tratamento</w:t>
            </w:r>
          </w:p>
        </w:tc>
      </w:tr>
      <w:tr>
        <w:trPr>
          <w:cantSplit/>
        </w:trPr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7"/>
              </w:rPr>
              <w:t>VAL-001</w:t>
            </w:r>
          </w:p>
        </w:tc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7"/>
              </w:rPr>
              <w:t>Arquivo</w:t>
            </w:r>
          </w:p>
        </w:tc>
        <w:tc>
          <w:tcPr>
            <w:tcW w:type="dxa" w:w="3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7"/>
              </w:rPr>
              <w:t>Extensão e MIME incompatíveis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7"/>
              </w:rPr>
              <w:t>Alta</w:t>
            </w:r>
          </w:p>
        </w:tc>
        <w:tc>
          <w:tcPr>
            <w:tcW w:type="dxa" w:w="1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7"/>
              </w:rPr>
              <w:t>Quarentena</w:t>
            </w:r>
          </w:p>
        </w:tc>
      </w:tr>
      <w:tr>
        <w:trPr>
          <w:cantSplit/>
        </w:trPr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7"/>
              </w:rPr>
              <w:t>VAL-002</w:t>
            </w:r>
          </w:p>
        </w:tc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7"/>
              </w:rPr>
              <w:t>Arquivo</w:t>
            </w:r>
          </w:p>
        </w:tc>
        <w:tc>
          <w:tcPr>
            <w:tcW w:type="dxa" w:w="3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7"/>
              </w:rPr>
              <w:t>Hash já recebido no mesmo contexto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7"/>
              </w:rPr>
              <w:t>Info</w:t>
            </w:r>
          </w:p>
        </w:tc>
        <w:tc>
          <w:tcPr>
            <w:tcW w:type="dxa" w:w="1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7"/>
              </w:rPr>
              <w:t>Vincular duplicata</w:t>
            </w:r>
          </w:p>
        </w:tc>
      </w:tr>
      <w:tr>
        <w:trPr>
          <w:cantSplit/>
        </w:trPr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7"/>
              </w:rPr>
              <w:t>VAL-003</w:t>
            </w:r>
          </w:p>
        </w:tc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7"/>
              </w:rPr>
              <w:t>XML</w:t>
            </w:r>
          </w:p>
        </w:tc>
        <w:tc>
          <w:tcPr>
            <w:tcW w:type="dxa" w:w="3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7"/>
              </w:rPr>
              <w:t>XML malformado ou com entidade externa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7"/>
              </w:rPr>
              <w:t>Crítica</w:t>
            </w:r>
          </w:p>
        </w:tc>
        <w:tc>
          <w:tcPr>
            <w:tcW w:type="dxa" w:w="1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7"/>
              </w:rPr>
              <w:t>Rejeitar parsing</w:t>
            </w:r>
          </w:p>
        </w:tc>
      </w:tr>
      <w:tr>
        <w:trPr>
          <w:cantSplit/>
        </w:trPr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7"/>
              </w:rPr>
              <w:t>VAL-004</w:t>
            </w:r>
          </w:p>
        </w:tc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7"/>
              </w:rPr>
              <w:t>NF-e</w:t>
            </w:r>
          </w:p>
        </w:tc>
        <w:tc>
          <w:tcPr>
            <w:tcW w:type="dxa" w:w="3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7"/>
              </w:rPr>
              <w:t>Chave de acesso inválida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7"/>
              </w:rPr>
              <w:t>Crítica</w:t>
            </w:r>
          </w:p>
        </w:tc>
        <w:tc>
          <w:tcPr>
            <w:tcW w:type="dxa" w:w="1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7"/>
              </w:rPr>
              <w:t>Bloquear documento</w:t>
            </w:r>
          </w:p>
        </w:tc>
      </w:tr>
      <w:tr>
        <w:trPr>
          <w:cantSplit/>
        </w:trPr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7"/>
              </w:rPr>
              <w:t>VAL-005</w:t>
            </w:r>
          </w:p>
        </w:tc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7"/>
              </w:rPr>
              <w:t>NF-e</w:t>
            </w:r>
          </w:p>
        </w:tc>
        <w:tc>
          <w:tcPr>
            <w:tcW w:type="dxa" w:w="3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7"/>
              </w:rPr>
              <w:t>Emitente/destinatário incompatível com carteira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7"/>
              </w:rPr>
              <w:t>Alta</w:t>
            </w:r>
          </w:p>
        </w:tc>
        <w:tc>
          <w:tcPr>
            <w:tcW w:type="dxa" w:w="1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7"/>
              </w:rPr>
              <w:t>Revisar vínculo</w:t>
            </w:r>
          </w:p>
        </w:tc>
      </w:tr>
      <w:tr>
        <w:trPr>
          <w:cantSplit/>
        </w:trPr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7"/>
              </w:rPr>
              <w:t>VAL-006</w:t>
            </w:r>
          </w:p>
        </w:tc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7"/>
              </w:rPr>
              <w:t>NF-e</w:t>
            </w:r>
          </w:p>
        </w:tc>
        <w:tc>
          <w:tcPr>
            <w:tcW w:type="dxa" w:w="3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7"/>
              </w:rPr>
              <w:t>Duplicidade de chave com conteúdo divergente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7"/>
              </w:rPr>
              <w:t>Crítica</w:t>
            </w:r>
          </w:p>
        </w:tc>
        <w:tc>
          <w:tcPr>
            <w:tcW w:type="dxa" w:w="1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7"/>
              </w:rPr>
              <w:t>Investigar origem</w:t>
            </w:r>
          </w:p>
        </w:tc>
      </w:tr>
      <w:tr>
        <w:trPr>
          <w:cantSplit/>
        </w:trPr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7"/>
              </w:rPr>
              <w:t>VAL-007</w:t>
            </w:r>
          </w:p>
        </w:tc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7"/>
              </w:rPr>
              <w:t>NF-e</w:t>
            </w:r>
          </w:p>
        </w:tc>
        <w:tc>
          <w:tcPr>
            <w:tcW w:type="dxa" w:w="3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7"/>
              </w:rPr>
              <w:t>Total dos itens difere do total esperado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7"/>
              </w:rPr>
              <w:t>Alta</w:t>
            </w:r>
          </w:p>
        </w:tc>
        <w:tc>
          <w:tcPr>
            <w:tcW w:type="dxa" w:w="1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7"/>
              </w:rPr>
              <w:t>Conferir campos</w:t>
            </w:r>
          </w:p>
        </w:tc>
      </w:tr>
      <w:tr>
        <w:trPr>
          <w:cantSplit/>
        </w:trPr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7"/>
              </w:rPr>
              <w:t>VAL-008</w:t>
            </w:r>
          </w:p>
        </w:tc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7"/>
              </w:rPr>
              <w:t>NF-e</w:t>
            </w:r>
          </w:p>
        </w:tc>
        <w:tc>
          <w:tcPr>
            <w:tcW w:type="dxa" w:w="3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7"/>
              </w:rPr>
              <w:t>Evento de cancelamento não refletido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7"/>
              </w:rPr>
              <w:t>Alta</w:t>
            </w:r>
          </w:p>
        </w:tc>
        <w:tc>
          <w:tcPr>
            <w:tcW w:type="dxa" w:w="1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7"/>
              </w:rPr>
              <w:t>Atualizar evento/EFD</w:t>
            </w:r>
          </w:p>
        </w:tc>
      </w:tr>
      <w:tr>
        <w:trPr>
          <w:cantSplit/>
        </w:trPr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7"/>
              </w:rPr>
              <w:t>VAL-009</w:t>
            </w:r>
          </w:p>
        </w:tc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7"/>
              </w:rPr>
              <w:t>EFD</w:t>
            </w:r>
          </w:p>
        </w:tc>
        <w:tc>
          <w:tcPr>
            <w:tcW w:type="dxa" w:w="3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7"/>
              </w:rPr>
              <w:t>Período do arquivo diverge da competência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7"/>
              </w:rPr>
              <w:t>Crítica</w:t>
            </w:r>
          </w:p>
        </w:tc>
        <w:tc>
          <w:tcPr>
            <w:tcW w:type="dxa" w:w="1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7"/>
              </w:rPr>
              <w:t>Reclassificar/rejeitar</w:t>
            </w:r>
          </w:p>
        </w:tc>
      </w:tr>
      <w:tr>
        <w:trPr>
          <w:cantSplit/>
        </w:trPr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7"/>
              </w:rPr>
              <w:t>VAL-010</w:t>
            </w:r>
          </w:p>
        </w:tc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7"/>
              </w:rPr>
              <w:t>EFD</w:t>
            </w:r>
          </w:p>
        </w:tc>
        <w:tc>
          <w:tcPr>
            <w:tcW w:type="dxa" w:w="3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7"/>
              </w:rPr>
              <w:t>CNPJ/IE divergem do estabelecimento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7"/>
              </w:rPr>
              <w:t>Crítica</w:t>
            </w:r>
          </w:p>
        </w:tc>
        <w:tc>
          <w:tcPr>
            <w:tcW w:type="dxa" w:w="1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7"/>
              </w:rPr>
              <w:t>Rejeitar contexto</w:t>
            </w:r>
          </w:p>
        </w:tc>
      </w:tr>
      <w:tr>
        <w:trPr>
          <w:cantSplit/>
        </w:trPr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7"/>
              </w:rPr>
              <w:t>VAL-011</w:t>
            </w:r>
          </w:p>
        </w:tc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7"/>
              </w:rPr>
              <w:t>EFD</w:t>
            </w:r>
          </w:p>
        </w:tc>
        <w:tc>
          <w:tcPr>
            <w:tcW w:type="dxa" w:w="3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7"/>
              </w:rPr>
              <w:t>Registro obrigatório ausente no perfil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7"/>
              </w:rPr>
              <w:t>Alta</w:t>
            </w:r>
          </w:p>
        </w:tc>
        <w:tc>
          <w:tcPr>
            <w:tcW w:type="dxa" w:w="1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7"/>
              </w:rPr>
              <w:t>Revisar geração</w:t>
            </w:r>
          </w:p>
        </w:tc>
      </w:tr>
      <w:tr>
        <w:trPr>
          <w:cantSplit/>
        </w:trPr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7"/>
              </w:rPr>
              <w:t>VAL-012</w:t>
            </w:r>
          </w:p>
        </w:tc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7"/>
              </w:rPr>
              <w:t>Cruzamento</w:t>
            </w:r>
          </w:p>
        </w:tc>
        <w:tc>
          <w:tcPr>
            <w:tcW w:type="dxa" w:w="3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7"/>
              </w:rPr>
              <w:t>NF-e presente no XML e ausente na EFD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7"/>
              </w:rPr>
              <w:t>Alta</w:t>
            </w:r>
          </w:p>
        </w:tc>
        <w:tc>
          <w:tcPr>
            <w:tcW w:type="dxa" w:w="1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7"/>
              </w:rPr>
              <w:t>Revisar escrituração</w:t>
            </w:r>
          </w:p>
        </w:tc>
      </w:tr>
      <w:tr>
        <w:trPr>
          <w:cantSplit/>
        </w:trPr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7"/>
              </w:rPr>
              <w:t>VAL-013</w:t>
            </w:r>
          </w:p>
        </w:tc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7"/>
              </w:rPr>
              <w:t>Cruzamento</w:t>
            </w:r>
          </w:p>
        </w:tc>
        <w:tc>
          <w:tcPr>
            <w:tcW w:type="dxa" w:w="3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7"/>
              </w:rPr>
              <w:t>NF-e na EFD sem XML correspondente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7"/>
              </w:rPr>
              <w:t>Alta</w:t>
            </w:r>
          </w:p>
        </w:tc>
        <w:tc>
          <w:tcPr>
            <w:tcW w:type="dxa" w:w="1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7"/>
              </w:rPr>
              <w:t>Solicitar documento</w:t>
            </w:r>
          </w:p>
        </w:tc>
      </w:tr>
      <w:tr>
        <w:trPr>
          <w:cantSplit/>
        </w:trPr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7"/>
              </w:rPr>
              <w:t>VAL-014</w:t>
            </w:r>
          </w:p>
        </w:tc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7"/>
              </w:rPr>
              <w:t>Cruzamento</w:t>
            </w:r>
          </w:p>
        </w:tc>
        <w:tc>
          <w:tcPr>
            <w:tcW w:type="dxa" w:w="3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7"/>
              </w:rPr>
              <w:t>Valor/base/imposto divergente entre XML e EFD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7"/>
              </w:rPr>
              <w:t>Alta</w:t>
            </w:r>
          </w:p>
        </w:tc>
        <w:tc>
          <w:tcPr>
            <w:tcW w:type="dxa" w:w="1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7"/>
              </w:rPr>
              <w:t>Conferir lançamento</w:t>
            </w:r>
          </w:p>
        </w:tc>
      </w:tr>
      <w:tr>
        <w:trPr>
          <w:cantSplit/>
        </w:trPr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7"/>
              </w:rPr>
              <w:t>VAL-015</w:t>
            </w:r>
          </w:p>
        </w:tc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7"/>
              </w:rPr>
              <w:t>Cadastro</w:t>
            </w:r>
          </w:p>
        </w:tc>
        <w:tc>
          <w:tcPr>
            <w:tcW w:type="dxa" w:w="3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7"/>
              </w:rPr>
              <w:t>CFOP incompatível com direção/UF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7"/>
              </w:rPr>
              <w:t>Média</w:t>
            </w:r>
          </w:p>
        </w:tc>
        <w:tc>
          <w:tcPr>
            <w:tcW w:type="dxa" w:w="1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7"/>
              </w:rPr>
              <w:t>Revisar classificação</w:t>
            </w:r>
          </w:p>
        </w:tc>
      </w:tr>
      <w:tr>
        <w:trPr>
          <w:cantSplit/>
        </w:trPr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7"/>
              </w:rPr>
              <w:t>VAL-016</w:t>
            </w:r>
          </w:p>
        </w:tc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7"/>
              </w:rPr>
              <w:t>Cadastro</w:t>
            </w:r>
          </w:p>
        </w:tc>
        <w:tc>
          <w:tcPr>
            <w:tcW w:type="dxa" w:w="3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7"/>
              </w:rPr>
              <w:t>CST/CSOSN incompatível com regime informado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7"/>
              </w:rPr>
              <w:t>Alta</w:t>
            </w:r>
          </w:p>
        </w:tc>
        <w:tc>
          <w:tcPr>
            <w:tcW w:type="dxa" w:w="1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7"/>
              </w:rPr>
              <w:t>Revisar regra fiscal</w:t>
            </w:r>
          </w:p>
        </w:tc>
      </w:tr>
      <w:tr>
        <w:trPr>
          <w:cantSplit/>
        </w:trPr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7"/>
              </w:rPr>
              <w:t>VAL-017</w:t>
            </w:r>
          </w:p>
        </w:tc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7"/>
              </w:rPr>
              <w:t>Temporal</w:t>
            </w:r>
          </w:p>
        </w:tc>
        <w:tc>
          <w:tcPr>
            <w:tcW w:type="dxa" w:w="3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7"/>
              </w:rPr>
              <w:t>Documento fora do período sem tratamento extemporâneo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7"/>
              </w:rPr>
              <w:t>Média</w:t>
            </w:r>
          </w:p>
        </w:tc>
        <w:tc>
          <w:tcPr>
            <w:tcW w:type="dxa" w:w="1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7"/>
              </w:rPr>
              <w:t>Classificar período</w:t>
            </w:r>
          </w:p>
        </w:tc>
      </w:tr>
      <w:tr>
        <w:trPr>
          <w:cantSplit/>
        </w:trPr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7"/>
              </w:rPr>
              <w:t>VAL-018</w:t>
            </w:r>
          </w:p>
        </w:tc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7"/>
              </w:rPr>
              <w:t>CAT 42</w:t>
            </w:r>
          </w:p>
        </w:tc>
        <w:tc>
          <w:tcPr>
            <w:tcW w:type="dxa" w:w="3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7"/>
              </w:rPr>
              <w:t>Saldo inicial ou produto sem parametrização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7"/>
              </w:rPr>
              <w:t>Alta</w:t>
            </w:r>
          </w:p>
        </w:tc>
        <w:tc>
          <w:tcPr>
            <w:tcW w:type="dxa" w:w="1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7"/>
              </w:rPr>
              <w:t>Completar cadastro</w:t>
            </w:r>
          </w:p>
        </w:tc>
      </w:tr>
      <w:tr>
        <w:trPr>
          <w:cantSplit/>
        </w:trPr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7"/>
              </w:rPr>
              <w:t>VAL-019</w:t>
            </w:r>
          </w:p>
        </w:tc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7"/>
              </w:rPr>
              <w:t>CAT 42</w:t>
            </w:r>
          </w:p>
        </w:tc>
        <w:tc>
          <w:tcPr>
            <w:tcW w:type="dxa" w:w="3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7"/>
              </w:rPr>
              <w:t>Base ICMS-ST ausente/inconsistente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7"/>
              </w:rPr>
              <w:t>Alta</w:t>
            </w:r>
          </w:p>
        </w:tc>
        <w:tc>
          <w:tcPr>
            <w:tcW w:type="dxa" w:w="1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7"/>
              </w:rPr>
              <w:t>Completar evidência</w:t>
            </w:r>
          </w:p>
        </w:tc>
      </w:tr>
      <w:tr>
        <w:trPr>
          <w:cantSplit/>
        </w:trPr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7"/>
              </w:rPr>
              <w:t>VAL-020</w:t>
            </w:r>
          </w:p>
        </w:tc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7"/>
              </w:rPr>
              <w:t>CAT 42</w:t>
            </w:r>
          </w:p>
        </w:tc>
        <w:tc>
          <w:tcPr>
            <w:tcW w:type="dxa" w:w="3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7"/>
              </w:rPr>
              <w:t>Estimativa sem todos os documentos requeridos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7"/>
              </w:rPr>
              <w:t>Crítica</w:t>
            </w:r>
          </w:p>
        </w:tc>
        <w:tc>
          <w:tcPr>
            <w:tcW w:type="dxa" w:w="1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7"/>
              </w:rPr>
              <w:t>Impedir aprovação</w:t>
            </w:r>
          </w:p>
        </w:tc>
      </w:tr>
    </w:tbl>
    <w:p>
      <w:pPr>
        <w:spacing w:after="60"/>
      </w:pPr>
    </w:p>
    <w:p>
      <w:pPr>
        <w:keepNext w:val="0"/>
        <w:spacing w:before="0" w:after="120" w:line="264" w:lineRule="auto"/>
        <w:jc w:val="left"/>
      </w:pPr>
      <w:r>
        <w:rPr>
          <w:rFonts w:ascii="Calibri" w:hAnsi="Calibri" w:eastAsia="Calibri"/>
          <w:b w:val="0"/>
          <w:i/>
          <w:color w:val="5F6B76"/>
          <w:sz w:val="22"/>
        </w:rPr>
        <w:t>Este catálogo é ilustrativo. Nenhuma validação de conteúdo fiscal entra em produção sem fonte normativa, vigência, responsável, revisor e testes de fronteira aprovados.</w:t>
      </w:r>
    </w:p>
    <w:p>
      <w:r>
        <w:br w:type="page"/>
      </w:r>
    </w:p>
    <w:p>
      <w:pPr>
        <w:pStyle w:val="Heading1"/>
        <w:keepNext/>
      </w:pPr>
      <w:r>
        <w:rPr>
          <w:rFonts w:ascii="Calibri" w:hAnsi="Calibri" w:eastAsia="Calibri"/>
          <w:b/>
          <w:color w:val="2E74B5"/>
          <w:sz w:val="32"/>
        </w:rPr>
        <w:t>Apêndice C - Glossário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300"/>
        <w:gridCol w:w="7060"/>
      </w:tblGrid>
      <w:tr>
        <w:trPr>
          <w:tblHeader w:val="true"/>
          <w:cantSplit/>
        </w:trPr>
        <w:tc>
          <w:tcPr>
            <w:tcW w:type="dxa" w:w="2300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/>
                <w:color w:val="0B2545"/>
                <w:sz w:val="18"/>
              </w:rPr>
              <w:t>Termo</w:t>
            </w:r>
          </w:p>
        </w:tc>
        <w:tc>
          <w:tcPr>
            <w:tcW w:type="dxa" w:w="7060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/>
                <w:color w:val="0B2545"/>
                <w:sz w:val="18"/>
              </w:rPr>
              <w:t>Definição</w:t>
            </w:r>
          </w:p>
        </w:tc>
      </w:tr>
      <w:tr>
        <w:trPr>
          <w:cantSplit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8"/>
              </w:rPr>
              <w:t>Achado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8"/>
              </w:rPr>
              <w:t>Resultado de uma regra aplicado a uma execução e sustentado por evidência.</w:t>
            </w:r>
          </w:p>
        </w:tc>
      </w:tr>
      <w:tr>
        <w:trPr>
          <w:cantSplit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8"/>
              </w:rPr>
              <w:t>Competência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8"/>
              </w:rPr>
              <w:t>Período fiscal explícito ao qual documentos e apurações são associados.</w:t>
            </w:r>
          </w:p>
        </w:tc>
      </w:tr>
      <w:tr>
        <w:trPr>
          <w:cantSplit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8"/>
              </w:rPr>
              <w:t>Dossiê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8"/>
              </w:rPr>
              <w:t>Pacote versionado de relatórios, memória de cálculo, evidências e manifesto.</w:t>
            </w:r>
          </w:p>
        </w:tc>
      </w:tr>
      <w:tr>
        <w:trPr>
          <w:cantSplit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8"/>
              </w:rPr>
              <w:t>EFD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8"/>
              </w:rPr>
              <w:t>Escrituração Fiscal Digital; no MVP, foco em EFD ICMS/IPI.</w:t>
            </w:r>
          </w:p>
        </w:tc>
      </w:tr>
      <w:tr>
        <w:trPr>
          <w:cantSplit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8"/>
              </w:rPr>
              <w:t>Evidência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8"/>
              </w:rPr>
              <w:t>Campo, linha, documento, cálculo ou referência que permite reproduzir o resultado.</w:t>
            </w:r>
          </w:p>
        </w:tc>
      </w:tr>
      <w:tr>
        <w:trPr>
          <w:cantSplit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8"/>
              </w:rPr>
              <w:t>Lote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8"/>
              </w:rPr>
              <w:t>Conjunto imutável de entradas submetidas conjuntamente para processamento.</w:t>
            </w:r>
          </w:p>
        </w:tc>
      </w:tr>
      <w:tr>
        <w:trPr>
          <w:cantSplit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8"/>
              </w:rPr>
              <w:t>Manifesto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8"/>
              </w:rPr>
              <w:t>Inventário com arquivos, hashes, tamanhos, contexto e versão do lote/dossiê.</w:t>
            </w:r>
          </w:p>
        </w:tc>
      </w:tr>
      <w:tr>
        <w:trPr>
          <w:cantSplit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8"/>
              </w:rPr>
              <w:t>Oportunidade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8"/>
              </w:rPr>
              <w:t>Estimativa técnica sujeita a revisão e eventual homologação por autoridade competente.</w:t>
            </w:r>
          </w:p>
        </w:tc>
      </w:tr>
      <w:tr>
        <w:trPr>
          <w:cantSplit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8"/>
              </w:rPr>
              <w:t>Regra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8"/>
              </w:rPr>
              <w:t>Lógica versionada, com escopo e vigência, que gera resultado determinístico.</w:t>
            </w:r>
          </w:p>
        </w:tc>
      </w:tr>
      <w:tr>
        <w:trPr>
          <w:cantSplit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8"/>
              </w:rPr>
              <w:t>Ruleset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8"/>
              </w:rPr>
              <w:t>Conjunto exato de versões de regras resolvido para uma execução.</w:t>
            </w:r>
          </w:p>
        </w:tc>
      </w:tr>
      <w:tr>
        <w:trPr>
          <w:cantSplit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8"/>
              </w:rPr>
              <w:t>Tenant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9D2DC"/>
              <w:start w:val="single" w:sz="4" w:space="0" w:color="C9D2DC"/>
              <w:bottom w:val="single" w:sz="4" w:space="0" w:color="C9D2DC"/>
              <w:end w:val="single" w:sz="4" w:space="0" w:color="C9D2DC"/>
            </w:tcBorders>
          </w:tcPr>
          <w:p>
            <w:pPr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 w:val="0"/>
                <w:color w:val="17212B"/>
                <w:sz w:val="18"/>
              </w:rPr>
              <w:t>Escritório contábil isolado logicamente na plataforma.</w:t>
            </w:r>
          </w:p>
        </w:tc>
      </w:tr>
    </w:tbl>
    <w:p>
      <w:pPr>
        <w:spacing w:after="60"/>
      </w:pPr>
    </w:p>
    <w:p>
      <w:r>
        <w:br w:type="page"/>
      </w:r>
    </w:p>
    <w:p>
      <w:pPr>
        <w:pStyle w:val="Heading1"/>
        <w:keepNext/>
      </w:pPr>
      <w:r>
        <w:rPr>
          <w:rFonts w:ascii="Calibri" w:hAnsi="Calibri" w:eastAsia="Calibri"/>
          <w:b/>
          <w:color w:val="2E74B5"/>
          <w:sz w:val="32"/>
        </w:rPr>
        <w:t>Referências técnicas</w:t>
      </w:r>
    </w:p>
    <w:p>
      <w:pPr>
        <w:keepNext w:val="0"/>
        <w:spacing w:before="0" w:after="120" w:line="264" w:lineRule="auto"/>
        <w:jc w:val="left"/>
      </w:pPr>
      <w:r>
        <w:rPr>
          <w:rFonts w:ascii="Calibri" w:hAnsi="Calibri" w:eastAsia="Calibri"/>
          <w:b w:val="0"/>
          <w:i/>
          <w:color w:val="5F6B76"/>
          <w:sz w:val="22"/>
        </w:rPr>
        <w:t>Fontes consultadas em 6 de setembro de 2026. Limites e disponibilidade de produtos devem ser reconfirmados antes da implantação.</w:t>
      </w:r>
    </w:p>
    <w:p>
      <w:pPr>
        <w:pStyle w:val="ListBullet"/>
        <w:spacing w:after="100" w:line="264" w:lineRule="auto"/>
        <w:ind w:left="720" w:hanging="360"/>
      </w:pPr>
      <w:hyperlink r:id="rId11">
        <w:r>
          <w:rPr>
            <w:rFonts w:ascii="Calibri" w:hAnsi="Calibri"/>
            <w:color w:val="2E74B5"/>
            <w:u w:val="single"/>
          </w:rPr>
          <w:t>Cloudflare Workers - visão geral</w:t>
        </w:r>
      </w:hyperlink>
    </w:p>
    <w:p>
      <w:pPr>
        <w:pStyle w:val="ListBullet"/>
        <w:spacing w:after="100" w:line="264" w:lineRule="auto"/>
        <w:ind w:left="720" w:hanging="360"/>
      </w:pPr>
      <w:hyperlink r:id="rId12">
        <w:r>
          <w:rPr>
            <w:rFonts w:ascii="Calibri" w:hAnsi="Calibri"/>
            <w:color w:val="2E74B5"/>
            <w:u w:val="single"/>
          </w:rPr>
          <w:t>Cloudflare Workers - limites</w:t>
        </w:r>
      </w:hyperlink>
    </w:p>
    <w:p>
      <w:pPr>
        <w:pStyle w:val="ListBullet"/>
        <w:spacing w:after="100" w:line="264" w:lineRule="auto"/>
        <w:ind w:left="720" w:hanging="360"/>
      </w:pPr>
      <w:hyperlink r:id="rId13">
        <w:r>
          <w:rPr>
            <w:rFonts w:ascii="Calibri" w:hAnsi="Calibri"/>
            <w:color w:val="2E74B5"/>
            <w:u w:val="single"/>
          </w:rPr>
          <w:t>Cloudflare D1 - limites</w:t>
        </w:r>
      </w:hyperlink>
    </w:p>
    <w:p>
      <w:pPr>
        <w:pStyle w:val="ListBullet"/>
        <w:spacing w:after="100" w:line="264" w:lineRule="auto"/>
        <w:ind w:left="720" w:hanging="360"/>
      </w:pPr>
      <w:hyperlink r:id="rId14">
        <w:r>
          <w:rPr>
            <w:rFonts w:ascii="Calibri" w:hAnsi="Calibri"/>
            <w:color w:val="2E74B5"/>
            <w:u w:val="single"/>
          </w:rPr>
          <w:t>Cloudflare D1 - localização de dados</w:t>
        </w:r>
      </w:hyperlink>
    </w:p>
    <w:p>
      <w:pPr>
        <w:pStyle w:val="ListBullet"/>
        <w:spacing w:after="100" w:line="264" w:lineRule="auto"/>
        <w:ind w:left="720" w:hanging="360"/>
      </w:pPr>
      <w:hyperlink r:id="rId15">
        <w:r>
          <w:rPr>
            <w:rFonts w:ascii="Calibri" w:hAnsi="Calibri"/>
            <w:color w:val="2E74B5"/>
            <w:u w:val="single"/>
          </w:rPr>
          <w:t>Cloudflare R2 - limites</w:t>
        </w:r>
      </w:hyperlink>
    </w:p>
    <w:p>
      <w:pPr>
        <w:pStyle w:val="ListBullet"/>
        <w:spacing w:after="100" w:line="264" w:lineRule="auto"/>
        <w:ind w:left="720" w:hanging="360"/>
      </w:pPr>
      <w:hyperlink r:id="rId16">
        <w:r>
          <w:rPr>
            <w:rFonts w:ascii="Calibri" w:hAnsi="Calibri"/>
            <w:color w:val="2E74B5"/>
            <w:u w:val="single"/>
          </w:rPr>
          <w:t>Cloudflare R2 - localização de dados</w:t>
        </w:r>
      </w:hyperlink>
    </w:p>
    <w:p>
      <w:pPr>
        <w:pStyle w:val="ListBullet"/>
        <w:spacing w:after="100" w:line="264" w:lineRule="auto"/>
        <w:ind w:left="720" w:hanging="360"/>
      </w:pPr>
      <w:hyperlink r:id="rId17">
        <w:r>
          <w:rPr>
            <w:rFonts w:ascii="Calibri" w:hAnsi="Calibri"/>
            <w:color w:val="2E74B5"/>
            <w:u w:val="single"/>
          </w:rPr>
          <w:t>Cloudflare Queues</w:t>
        </w:r>
      </w:hyperlink>
    </w:p>
    <w:p>
      <w:pPr>
        <w:pStyle w:val="ListBullet"/>
        <w:spacing w:after="100" w:line="264" w:lineRule="auto"/>
        <w:ind w:left="720" w:hanging="360"/>
      </w:pPr>
      <w:hyperlink r:id="rId18">
        <w:r>
          <w:rPr>
            <w:rFonts w:ascii="Calibri" w:hAnsi="Calibri"/>
            <w:color w:val="2E74B5"/>
            <w:u w:val="single"/>
          </w:rPr>
          <w:t>Cloudflare Workflows</w:t>
        </w:r>
      </w:hyperlink>
    </w:p>
    <w:p>
      <w:pPr>
        <w:pStyle w:val="ListBullet"/>
        <w:spacing w:after="100" w:line="264" w:lineRule="auto"/>
        <w:ind w:left="720" w:hanging="360"/>
      </w:pPr>
      <w:hyperlink r:id="rId19">
        <w:r>
          <w:rPr>
            <w:rFonts w:ascii="Calibri" w:hAnsi="Calibri"/>
            <w:color w:val="2E74B5"/>
            <w:u w:val="single"/>
          </w:rPr>
          <w:t>Cloudflare Durable Objects</w:t>
        </w:r>
      </w:hyperlink>
    </w:p>
    <w:p>
      <w:pPr>
        <w:pStyle w:val="ListBullet"/>
        <w:spacing w:after="100" w:line="264" w:lineRule="auto"/>
        <w:ind w:left="720" w:hanging="360"/>
      </w:pPr>
      <w:hyperlink r:id="rId20">
        <w:r>
          <w:rPr>
            <w:rFonts w:ascii="Calibri" w:hAnsi="Calibri"/>
            <w:color w:val="2E74B5"/>
            <w:u w:val="single"/>
          </w:rPr>
          <w:t>Cloudflare Containers</w:t>
        </w:r>
      </w:hyperlink>
    </w:p>
    <w:p>
      <w:pPr>
        <w:pStyle w:val="ListBullet"/>
        <w:spacing w:after="100" w:line="264" w:lineRule="auto"/>
        <w:ind w:left="720" w:hanging="360"/>
      </w:pPr>
      <w:hyperlink r:id="rId21">
        <w:r>
          <w:rPr>
            <w:rFonts w:ascii="Calibri" w:hAnsi="Calibri"/>
            <w:color w:val="2E74B5"/>
            <w:u w:val="single"/>
          </w:rPr>
          <w:t>Cloudflare Containers - limites</w:t>
        </w:r>
      </w:hyperlink>
    </w:p>
    <w:p>
      <w:pPr>
        <w:pStyle w:val="ListBullet"/>
        <w:spacing w:after="100" w:line="264" w:lineRule="auto"/>
        <w:ind w:left="720" w:hanging="360"/>
      </w:pPr>
      <w:hyperlink r:id="rId22">
        <w:r>
          <w:rPr>
            <w:rFonts w:ascii="Calibri" w:hAnsi="Calibri"/>
            <w:color w:val="2E74B5"/>
            <w:u w:val="single"/>
          </w:rPr>
          <w:t>Cloudflare Workers - mTLS</w:t>
        </w:r>
      </w:hyperlink>
    </w:p>
    <w:p>
      <w:pPr>
        <w:pStyle w:val="ListBullet"/>
        <w:spacing w:after="100" w:line="264" w:lineRule="auto"/>
        <w:ind w:left="720" w:hanging="360"/>
      </w:pPr>
      <w:hyperlink r:id="rId23">
        <w:r>
          <w:rPr>
            <w:rFonts w:ascii="Calibri" w:hAnsi="Calibri"/>
            <w:color w:val="2E74B5"/>
            <w:u w:val="single"/>
          </w:rPr>
          <w:t>SEFAZ-SP - transferência de crédito acumulado</w:t>
        </w:r>
      </w:hyperlink>
    </w:p>
    <w:p>
      <w:pPr>
        <w:pStyle w:val="ListBullet"/>
        <w:spacing w:after="100" w:line="264" w:lineRule="auto"/>
        <w:ind w:left="720" w:hanging="360"/>
      </w:pPr>
      <w:hyperlink r:id="rId24">
        <w:r>
          <w:rPr>
            <w:rFonts w:ascii="Calibri" w:hAnsi="Calibri"/>
            <w:color w:val="2E74B5"/>
            <w:u w:val="single"/>
          </w:rPr>
          <w:t>Portaria CAT 42/2018 - SEFAZ-SP</w:t>
        </w:r>
      </w:hyperlink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150" w:type="dxa"/>
              <w:start w:w="190" w:type="dxa"/>
              <w:bottom w:w="150" w:type="dxa"/>
              <w:end w:w="190" w:type="dxa"/>
            </w:tcMar>
            <w:vAlign w:val="center"/>
            <w:shd w:fill="EEF4FA" w:val="clear"/>
            <w:tcBorders>
              <w:top w:val="nil" w:sz="0" w:space="0" w:color="EEF4FA"/>
              <w:start w:val="single" w:sz="24" w:space="0" w:color="2E74B5"/>
              <w:bottom w:val="nil" w:sz="0" w:space="0" w:color="EEF4FA"/>
              <w:end w:val="nil" w:sz="0" w:space="0" w:color="EEF4FA"/>
            </w:tcBorders>
          </w:tcPr>
          <w:p>
            <w:pPr>
              <w:spacing w:after="40" w:line="259" w:lineRule="auto"/>
            </w:pPr>
            <w:r>
              <w:rPr>
                <w:rFonts w:ascii="Calibri" w:hAnsi="Calibri" w:eastAsia="Calibri"/>
                <w:b/>
                <w:color w:val="2E74B5"/>
                <w:sz w:val="18"/>
              </w:rPr>
              <w:t xml:space="preserve">PRÓXIMO PASSO  </w:t>
            </w:r>
            <w:r>
              <w:rPr>
                <w:rFonts w:ascii="Calibri" w:hAnsi="Calibri" w:eastAsia="Calibri"/>
                <w:color w:val="17212B"/>
                <w:sz w:val="21"/>
              </w:rPr>
              <w:t>Realizar descoberta com escritórios piloto e transformar as decisões OD-01 a OD-07 em ADRs aprovadas. Somente então estimar cronograma e equipe.</w:t>
            </w:r>
          </w:p>
        </w:tc>
      </w:tr>
    </w:tbl>
    <w:p>
      <w:pPr>
        <w:spacing w:after="40"/>
      </w:pPr>
    </w:p>
    <w:sectPr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right"/>
    </w:pPr>
    <w:r>
      <w:rPr>
        <w:rFonts w:ascii="Calibri" w:hAnsi="Calibri" w:eastAsia="Calibri"/>
        <w:color w:val="5F6B76"/>
        <w:sz w:val="17"/>
      </w:rPr>
      <w:t xml:space="preserve">Documento de trabalho  |  Página </w:t>
    </w:r>
    <w:r>
      <w:rPr>
        <w:rFonts w:ascii="Calibri" w:hAnsi="Calibri" w:eastAsia="Calibri"/>
        <w:color w:val="5F6B76"/>
        <w:sz w:val="18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360" w:val="left"/>
      </w:tabs>
      <w:spacing w:after="0"/>
    </w:pPr>
    <w:r>
      <w:rPr>
        <w:rFonts w:ascii="Calibri" w:hAnsi="Calibri" w:eastAsia="Calibri"/>
        <w:b/>
        <w:color w:val="5F6B76"/>
        <w:sz w:val="17"/>
      </w:rPr>
      <w:t>ESPECIFICAÇÃO TÉCNICA | PLATAFORMA FISCAL</w:t>
    </w:r>
    <w:r>
      <w:rPr>
        <w:rFonts w:ascii="Calibri" w:hAnsi="Calibri" w:eastAsia="Calibri"/>
        <w:color w:val="5F6B76"/>
        <w:sz w:val="17"/>
      </w:rPr>
      <w:tab/>
      <w:t>v0.1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7"/>
    <w:lvlOverride w:ilvl="0">
      <w:startOverride w:val="1"/>
    </w:lvlOverride>
  </w:num>
  <w:num w:numId="11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Calibri" w:hAnsi="Calibri"/>
      <w:color w:val="17212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60" w:line="280" w:lineRule="auto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160" w:line="280" w:lineRule="auto"/>
      <w:contextualSpacing/>
    </w:pPr>
    <w:rPr>
      <w:rFonts w:ascii="Calibri" w:hAnsi="Calibri"/>
      <w:sz w:val="22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60" w:line="280" w:lineRule="auto"/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spacing w:after="160" w:line="280" w:lineRule="auto"/>
      <w:contextualSpacing/>
    </w:pPr>
    <w:rPr>
      <w:rFonts w:ascii="Calibri" w:hAnsi="Calibri"/>
      <w:sz w:val="22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developers.cloudflare.com/workers/" TargetMode="External"/><Relationship Id="rId12" Type="http://schemas.openxmlformats.org/officeDocument/2006/relationships/hyperlink" Target="https://developers.cloudflare.com/workers/platform/limits/" TargetMode="External"/><Relationship Id="rId13" Type="http://schemas.openxmlformats.org/officeDocument/2006/relationships/hyperlink" Target="https://developers.cloudflare.com/d1/platform/limits/" TargetMode="External"/><Relationship Id="rId14" Type="http://schemas.openxmlformats.org/officeDocument/2006/relationships/hyperlink" Target="https://developers.cloudflare.com/d1/configuration/data-location/" TargetMode="External"/><Relationship Id="rId15" Type="http://schemas.openxmlformats.org/officeDocument/2006/relationships/hyperlink" Target="https://developers.cloudflare.com/r2/platform/limits/" TargetMode="External"/><Relationship Id="rId16" Type="http://schemas.openxmlformats.org/officeDocument/2006/relationships/hyperlink" Target="https://developers.cloudflare.com/r2/reference/data-location/" TargetMode="External"/><Relationship Id="rId17" Type="http://schemas.openxmlformats.org/officeDocument/2006/relationships/hyperlink" Target="https://developers.cloudflare.com/queues/" TargetMode="External"/><Relationship Id="rId18" Type="http://schemas.openxmlformats.org/officeDocument/2006/relationships/hyperlink" Target="https://developers.cloudflare.com/workflows/" TargetMode="External"/><Relationship Id="rId19" Type="http://schemas.openxmlformats.org/officeDocument/2006/relationships/hyperlink" Target="https://developers.cloudflare.com/durable-objects/" TargetMode="External"/><Relationship Id="rId20" Type="http://schemas.openxmlformats.org/officeDocument/2006/relationships/hyperlink" Target="https://developers.cloudflare.com/containers/" TargetMode="External"/><Relationship Id="rId21" Type="http://schemas.openxmlformats.org/officeDocument/2006/relationships/hyperlink" Target="https://developers.cloudflare.com/containers/platform/limits/" TargetMode="External"/><Relationship Id="rId22" Type="http://schemas.openxmlformats.org/officeDocument/2006/relationships/hyperlink" Target="https://developers.cloudflare.com/workers/runtime-apis/bindings/mtls/" TargetMode="External"/><Relationship Id="rId23" Type="http://schemas.openxmlformats.org/officeDocument/2006/relationships/hyperlink" Target="https://portal.fazenda.sp.gov.br/servicos/credito-acumulado/Paginas/Transfer%C3%AAncia-de-Cr%C3%A9dito.aspx" TargetMode="External"/><Relationship Id="rId24" Type="http://schemas.openxmlformats.org/officeDocument/2006/relationships/hyperlink" Target="https://legislacao.fazenda.sp.gov.br/Paginas/pcat422018.asp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Especificação Técnica - Plataforma Fiscal para Escritórios Contábeis</dc:title>
  <dc:subject>MVP Cloudflare-first para validação e preparação de dossiês fiscais</dc:subject>
  <dc:creator/>
  <cp:keywords>plataforma fiscal, contador, Cloudflare, XML, EFD, CAT 42, especificação técnica</cp:keywords>
  <dc:description>Versão 0.1 - documento de trabalho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