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00" w:line="264" w:lineRule="auto"/>
        <w:jc w:val="left"/>
      </w:pPr>
      <w:r>
        <w:rPr>
          <w:rFonts w:ascii="Calibri" w:hAnsi="Calibri" w:eastAsia="Calibri"/>
          <w:b/>
          <w:i w:val="0"/>
          <w:color w:val="215E45"/>
          <w:sz w:val="19"/>
        </w:rPr>
        <w:t>PROVA DE CONCEITO TÉCNICA</w:t>
      </w:r>
    </w:p>
    <w:p>
      <w:pPr>
        <w:keepNext w:val="0"/>
        <w:spacing w:before="0" w:after="100" w:line="240" w:lineRule="auto"/>
        <w:jc w:val="left"/>
      </w:pPr>
      <w:r>
        <w:rPr>
          <w:rFonts w:ascii="Calibri" w:hAnsi="Calibri" w:eastAsia="Calibri"/>
          <w:b/>
          <w:i w:val="0"/>
          <w:color w:val="0B2545"/>
          <w:sz w:val="54"/>
        </w:rPr>
        <w:t>Rede Privada de Oportunidades</w:t>
        <w:br/>
        <w:t>de Créditos Fiscais</w:t>
      </w:r>
    </w:p>
    <w:p>
      <w:pPr>
        <w:keepNext w:val="0"/>
        <w:spacing w:before="0" w:after="320" w:line="276" w:lineRule="auto"/>
        <w:jc w:val="left"/>
      </w:pPr>
      <w:r>
        <w:rPr>
          <w:rFonts w:ascii="Calibri" w:hAnsi="Calibri" w:eastAsia="Calibri"/>
          <w:b w:val="0"/>
          <w:i w:val="0"/>
          <w:color w:val="5F6B76"/>
          <w:sz w:val="26"/>
        </w:rPr>
        <w:t>Descoberta, pré-qualificação, matching e negociação bilateral com divulgação progressiva de evidências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Nome de trabalho: </w:t>
      </w:r>
      <w:r>
        <w:rPr>
          <w:rFonts w:ascii="Calibri" w:hAnsi="Calibri" w:eastAsia="Calibri"/>
          <w:color w:val="17212B"/>
          <w:sz w:val="21"/>
        </w:rPr>
        <w:t>Bolsa Fiscal / Rede de Créditos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Versão: </w:t>
      </w:r>
      <w:r>
        <w:rPr>
          <w:rFonts w:ascii="Calibri" w:hAnsi="Calibri" w:eastAsia="Calibri"/>
          <w:color w:val="17212B"/>
          <w:sz w:val="21"/>
        </w:rPr>
        <w:t>0.1 - Especificação da POC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Status: </w:t>
      </w:r>
      <w:r>
        <w:rPr>
          <w:rFonts w:ascii="Calibri" w:hAnsi="Calibri" w:eastAsia="Calibri"/>
          <w:color w:val="17212B"/>
          <w:sz w:val="21"/>
        </w:rPr>
        <w:t>Base para Gate 0 jurídico, protótipo e experimento com participantes convidados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Data-base: </w:t>
      </w:r>
      <w:r>
        <w:rPr>
          <w:rFonts w:ascii="Calibri" w:hAnsi="Calibri" w:eastAsia="Calibri"/>
          <w:color w:val="17212B"/>
          <w:sz w:val="21"/>
        </w:rPr>
        <w:t>6 de setembro de 2026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Dependência: </w:t>
      </w:r>
      <w:r>
        <w:rPr>
          <w:rFonts w:ascii="Calibri" w:hAnsi="Calibri" w:eastAsia="Calibri"/>
          <w:color w:val="17212B"/>
          <w:sz w:val="21"/>
        </w:rPr>
        <w:t>Passaporte fiscal emitido pelo Produto 1 - Plataforma Fiscal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Público: </w:t>
      </w:r>
      <w:r>
        <w:rPr>
          <w:rFonts w:ascii="Calibri" w:hAnsi="Calibri" w:eastAsia="Calibri"/>
          <w:color w:val="17212B"/>
          <w:sz w:val="21"/>
        </w:rPr>
        <w:t>Produto, engenharia, fiscal, jurídico, segurança e parceiros-piloto</w:t>
      </w:r>
    </w:p>
    <w:p>
      <w:pPr>
        <w:keepNext w:val="0"/>
        <w:spacing w:before="0" w:after="280" w:line="264" w:lineRule="auto"/>
        <w:jc w:val="left"/>
        <w:pBdr>
          <w:bottom w:val="single" w:sz="12" w:space="8" w:color="215E45"/>
        </w:pBdr>
      </w:pPr>
      <w:r>
        <w:rPr>
          <w:rFonts w:ascii="Calibri" w:hAnsi="Calibri" w:eastAsia="Calibri"/>
          <w:b w:val="0"/>
          <w:i w:val="0"/>
          <w:color w:val="17212B"/>
          <w:sz w:val="22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EDF7F2" w:val="clear"/>
            <w:tcBorders>
              <w:top w:val="nil" w:sz="0" w:space="0" w:color="EDF7F2"/>
              <w:start w:val="single" w:sz="24" w:space="0" w:color="215E45"/>
              <w:bottom w:val="nil" w:sz="0" w:space="0" w:color="EDF7F2"/>
              <w:end w:val="nil" w:sz="0" w:space="0" w:color="EDF7F2"/>
            </w:tcBorders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215E45"/>
                <w:sz w:val="18"/>
              </w:rPr>
              <w:t xml:space="preserve">FRONTEIRA CRÍTICA  </w:t>
            </w:r>
            <w:r>
              <w:rPr>
                <w:rFonts w:ascii="Calibri" w:hAnsi="Calibri" w:eastAsia="Calibri"/>
                <w:color w:val="17212B"/>
                <w:sz w:val="21"/>
              </w:rPr>
              <w:t>A POC não compra, vende, cede, transfere, fraciona, tokeniza, custodia ou liquida créditos. Não movimenta dinheiro, não acessa portais fiscais com certificado e não garante elegibilidade ou homologação. Ela organiza informação, interesse bilateral, diligência e preparação documental.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Resumo executivo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O segundo produto será testado como uma rede privada de oportunidades, acessível somente a empresas e assessores verificados. Um detentor publica um caso fiscal previamente documentado; potenciais destinatários mantêm mandatos de interesse; o sistema aplica filtros de rota, contexto, valor e prazo; e as partes, se houver interesse mútuo, avançam por confidencialidade, data room, proposta indicativa e checklist para protocolo externo.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O termo comercial 'bolsa' permanece apenas como nome de trabalho. Até parecer jurídico específico, a experiência não terá livro público de ofertas, leilão, preço de referência, promessa de rendimento, mercado secundário ou pulverização entre múltiplos adquirentes. Para a POC, cada caso admite uma única contraparte selecionada e toda conclusão é rotulada como 'apta para análise', nunca como transferência aprovada.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O que a POC precisa provar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800"/>
        <w:gridCol w:w="3260"/>
      </w:tblGrid>
      <w:tr>
        <w:trPr>
          <w:tblHeader w:val="true"/>
          <w:cantSplit/>
        </w:trPr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Hipótese</w:t>
            </w:r>
          </w:p>
        </w:tc>
        <w:tc>
          <w:tcPr>
            <w:tcW w:type="dxa" w:w="3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Prova observável</w:t>
            </w:r>
          </w:p>
        </w:tc>
        <w:tc>
          <w:tcPr>
            <w:tcW w:type="dxa" w:w="3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Critério de saída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H1 - Originação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Importar passaporte e publicar ficha anonimizada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Caso configurado em até 15 min, sem reentrada de dados essenciais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H2 - Elegibilidade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Separar pares compatíveis e incompatíveis com razões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100% dos cenários semeados produzem o resultado esperado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H3 - Confidencialidade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Liberar dados progressivamente após interesse e aceite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Zero acesso fora do estágio, papel ou tenant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H4 - Integridade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Impedir listagem/reserva duplicada do mesmo caso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Uma única negociação ativa por caso na POC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H5 - Diligência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Ir de match a data room e proposta versionada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Trilha reproduz todo o caminho e seus consentimentos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H6 - Valor de mercado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Pilotos avaliam campos, razões e fluxo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Decisão documentada de avançar, pivotar ou encerrar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1. Definição da POC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1.1 Problema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Detentores de créditos fiscais e empresas potencialmente aptas a recebê-los raramente compartilham linguagem, documentação e timing. A busca ocorre por redes informais, com exposição prematura de informação sensível e pouca rastreabilidade sobre por que uma oportunidade seria compatível. A plataforma deve reduzir esse atrito sem tratar o crédito como ativo livremente fungível.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1.2 Tese do produto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Existe valor independente em criar uma camada confiável de descoberta e diligência: transformar um caso fiscal em passaporte verificável; limitar a divulgação por estágio; pré-qualificar rotas regulatórias; registrar interesse bilateral; e entregar às partes e seus assessores um pacote organizado para decisão e eventual protocolo nos canais oficiais.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1.3 Participantes e papéis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50"/>
        <w:gridCol w:w="4010"/>
      </w:tblGrid>
      <w:tr>
        <w:trPr>
          <w:tblHeader w:val="true"/>
          <w:cantSplit/>
        </w:trPr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Papel</w:t>
            </w:r>
          </w:p>
        </w:tc>
        <w:tc>
          <w:tcPr>
            <w:tcW w:type="dxa" w:w="34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Responsabilidade</w:t>
            </w:r>
          </w:p>
        </w:tc>
        <w:tc>
          <w:tcPr>
            <w:tcW w:type="dxa" w:w="40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Acesso na POC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Detentor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Submeter caso, autorizar divulgação e escolher contraparte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Seus casos, interesses recebidos e negociações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Destinatário potencial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Definir mandato e demonstrar interesse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Fichas qualificadas e negociações aceitas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Escritório/assessor fiscal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Preparar passaporte, evidências e pré-análise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Clientes autorizados por mandato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Revisor jurídico/fiscal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Confirmar rota e checklist antes de qualquer uso real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Data room e pareceres atribuídos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Compliance da rede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Verificar organizações, conflitos e políticas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Metadados necessários; conteúdo fiscal oculto por padrão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Administrador técnico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Operar serviço e investigar falhas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Acesso temporário, aprovado, mascarado e auditado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1.4 Vocabulário obrigatório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Caso fiscal: oportunidade documentada; não é token, título ou saldo oficial.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Passaporte fiscal: resumo versionado, consentido e verificável produzido pelo Produto 1.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Ficha anonimizada: recorte sem CNPJ, razão social, documentos ou preço individualizado.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Mandato: critérios privados de interesse de um destinatário potencial.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Match: par sugerido para revisão; não significa elegibilidade jurídica nem aprovação fiscal.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Negociação: sala bilateral e privada; não é liquidação nem transferência.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Atestação externa: status informado por pessoa autorizada, acompanhado de evidência.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2. Escopo do experimento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2.1 Incluído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Onboarding por convite e verificação manual de pessoa jurídica, representantes e assessores.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Importação de passaporte fiscal assinado ou criação de caso sintético para demonstração.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Publicação privada de ficha anonimizada, com faixa de valor e rota pretendida.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Mandatos confidenciais de destinatários, com critérios fiscais, operacionais e de prazo.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Motor determinístico de gates e ranking explicável; revisão humana obrigatória.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Manifestação de interesse em duas etapas, sem revelar identidade antes de reciprocidade.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Aceite de termo de confidencialidade da POC e liberação progressiva de data room.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Proposta indicativa não vinculante, versionada, com condições precedentes.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Checklist de diligência e pacote de preparação para procedimento externo.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Status externo informado manualmente, notificações e trilha de auditoria.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Console administrativo para suspender caso, organização, usuário ou regra de matching.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2.2 Fora da POC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Oferta pública, busca aberta na internet, livro de ofertas, leilão ou formação de preço de referência.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Compra e venda pela plataforma, contrato definitivo, cessão automática ou assinatura como parte/intermediária.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Pagamento, PIX, conta de liquidação, escrow, split, custódia ou conciliação financeira.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Fracionamento de um caso entre vários interessados, mercado secundário ou revenda.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Tokenização, promessa de rendimento, captação de investidores ou distribuição de produto de investimento.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Validação jurídica automática, parecer tributário, garantia de existência, liquidez ou homologação do crédito.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Custódia de A1/A3, procuração eletrônica, login automatizado, scraping ou transmissão ao e-CredAc/SEFAZ.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Cobertura nacional; regras de outros estados somente após módulo e parecer próprios.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Cobrança por êxito, comissão transacional ou faturamento dentro do fluxo.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FFF7E6" w:val="clear"/>
            <w:tcBorders>
              <w:top w:val="nil" w:sz="0" w:space="0" w:color="FFF7E6"/>
              <w:start w:val="single" w:sz="24" w:space="0" w:color="7A5A00"/>
              <w:bottom w:val="nil" w:sz="0" w:space="0" w:color="FFF7E6"/>
              <w:end w:val="nil" w:sz="0" w:space="0" w:color="FFF7E6"/>
            </w:tcBorders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 xml:space="preserve">REGRA DE PARADA  </w:t>
            </w:r>
            <w:r>
              <w:rPr>
                <w:rFonts w:ascii="Calibri" w:hAnsi="Calibri" w:eastAsia="Calibri"/>
                <w:color w:val="17212B"/>
                <w:sz w:val="21"/>
              </w:rPr>
              <w:t>Se o Gate 0 concluir que a forma de oferta, remuneração ou intermediação exige autorização, registro ou mudança relevante do modelo, a POC não será aberta a participantes externos até o redesenho ser aprovado.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2.3 Perfil do piloto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Dimensão</w:t>
            </w:r>
          </w:p>
        </w:tc>
        <w:tc>
          <w:tcPr>
            <w:tcW w:type="dxa" w:w="3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Hipótese</w:t>
            </w:r>
          </w:p>
        </w:tc>
        <w:tc>
          <w:tcPr>
            <w:tcW w:type="dxa" w:w="3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Limite técnico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Jurisdição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São Paulo como corpus inicial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Rotas versionadas e desligadas por feature flag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Participantes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3 detentores, 3 destinatários e assessores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Até 25 organizações convidadas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Casos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10 casos sintéticos ou mascarados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Até 100 casos e 2.500 pares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Negociação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Uma contraparte selecionada por caso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Sem divisão do valor na POC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Documentos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Passaporte e amostras redigidas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Até 1 GB por data room; sem EFD/XML bruto por padrão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Dados reais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Somente após base legal, contrato e aprovação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Ambiente e política separados do demo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3. Guardrails regulatórios e de produto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FFF7E6" w:val="clear"/>
            <w:tcBorders>
              <w:top w:val="nil" w:sz="0" w:space="0" w:color="FFF7E6"/>
              <w:start w:val="single" w:sz="24" w:space="0" w:color="7A5A00"/>
              <w:bottom w:val="nil" w:sz="0" w:space="0" w:color="FFF7E6"/>
              <w:end w:val="nil" w:sz="0" w:space="0" w:color="FFF7E6"/>
            </w:tcBorders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 xml:space="preserve">POSICIONAMENTO RECOMENDADO  </w:t>
            </w:r>
            <w:r>
              <w:rPr>
                <w:rFonts w:ascii="Calibri" w:hAnsi="Calibri" w:eastAsia="Calibri"/>
                <w:color w:val="17212B"/>
                <w:sz w:val="21"/>
              </w:rPr>
              <w:t>Usar 'rede privada de oportunidades' na POC. O uso público de 'bolsa', a remuneração da plataforma e qualquer comunicação de investimento dependem de validação jurídica específica.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3.1 Fatos oficiais que moldam o desenho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500"/>
        <w:gridCol w:w="4860"/>
      </w:tblGrid>
      <w:tr>
        <w:trPr>
          <w:tblHeader w:val="true"/>
          <w:cantSplit/>
        </w:trPr>
        <w:tc>
          <w:tcPr>
            <w:tcW w:type="dxa" w:w="4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Fato de referência</w:t>
            </w:r>
          </w:p>
        </w:tc>
        <w:tc>
          <w:tcPr>
            <w:tcW w:type="dxa" w:w="48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Consequência técnica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 e-CredAc controla apropriação e utilização do crédito acumulado de ICMS em SP.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 rede mantém status informativo; o canal oficial continua sendo a fonte de verdade.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 art. 73 do RICMS/SP descreve hipóteses específicas de transferência.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Todo match exige route_code, vigência, fatos e evidências; não existe regra genérica de fungibilidade.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 art. 83 informa que o uso da faculdade não implica reconhecimento da legitimidade nem homologação dos lançamentos.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Interfaces e documentos proíbem os rótulos 'homologado pela plataforma' ou 'garantido'.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 art. 84 admite autorização para transferência entre não interdependentes.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 POC modela resultado condicional e decisão externa; nunca execução automática.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 art. 37 da Portaria SRE 65/2023 exige identificação das partes, valor, justificativa e um único destinatário no pedido.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Checklist coleta esses elementos; cada caso tem uma contraparte selecionada e versões imutáveis.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 ProAtivo opera por rodadas com limites e períodos próprios.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Uma rota de rodada é ativada somente por configuração com fonte, janela e limite registrados.</w:t>
            </w:r>
          </w:p>
        </w:tc>
      </w:tr>
    </w:tbl>
    <w:p>
      <w:pPr>
        <w:spacing w:after="60"/>
      </w:pP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/>
          <w:color w:val="5F6B76"/>
          <w:sz w:val="22"/>
        </w:rPr>
        <w:t>Estas são premissas de desenho, não interpretação jurídica conclusiva. A aplicabilidade depende dos fatos de cada contribuinte, da legislação vigente e da decisão da autoridade competente.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3.2 Gate 0 obrigatório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Definir o papel contratual da empresa: software, organizadora de rede, assessora ou intermediária.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Validar a rota fiscal inicial, a publicidade permitida e as declarações que podem aparecer no produto.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Avaliar se nome, oferta, remuneração, proposta ou estrutura podem atrair regimes de valores mobiliários, pagamentos, intermediação ou outras autorizações.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Revisar impactos concorrenciais de preço, ranking, compartilhamento de demanda e troca de informação comercial sensível.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Definir contratos, responsabilidades, conflito de interesses, deveres de verificação e política de reclamações.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Mapear controlador/operador, bases legais, suboperadores, transferência internacional e retenção conforme LGPD.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Aprovar termos de uso, confidencialidade, avisos de não garantia e fluxo de consentimento.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3.3 Rotas representadas no modelo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900"/>
        <w:gridCol w:w="1300"/>
        <w:gridCol w:w="2760"/>
      </w:tblGrid>
      <w:tr>
        <w:trPr>
          <w:tblHeader w:val="true"/>
          <w:cantSplit/>
        </w:trPr>
        <w:tc>
          <w:tcPr>
            <w:tcW w:type="dxa" w:w="2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Código</w:t>
            </w:r>
          </w:p>
        </w:tc>
        <w:tc>
          <w:tcPr>
            <w:tcW w:type="dxa" w:w="2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Descrição</w:t>
            </w:r>
          </w:p>
        </w:tc>
        <w:tc>
          <w:tcPr>
            <w:tcW w:type="dxa" w:w="1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Uso na POC</w:t>
            </w:r>
          </w:p>
        </w:tc>
        <w:tc>
          <w:tcPr>
            <w:tcW w:type="dxa" w:w="2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SP_ART73_GROUP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Mesma empresa/interdependência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Catálogo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Exige fatos e reconhecimentos aplicáveis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SP_ART73_SUPPLIER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Pagamento a fornecedor nas hipóteses previstas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Simulada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Relação e aquisição elegíveis são gates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SP_ART84_NONINTERDEPENDENT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Empresas não interdependentes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Simulada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Sujeita a pedido e autorização externa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SP_PROATIVO_ROUND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Rodada específica do programa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Desligada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Ativar somente com ato, janela e limite vigentes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SP_DEBT_LIQUIDATION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Liquidação de débito fiscal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Fora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Fluxo distinto; não é tratado como listagem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OTHER_STATE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Outro estado ou espécie de crédito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Bloqueada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Requer módulo jurídico-fiscal próprio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4. Integração com a Plataforma Fiscal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4.1 Princípio de minimização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O marketplace não consulta o acervo fiscal completo do Produto 1. A organização detentora concede consentimento granular para emitir um passaporte. O passaporte contém resumo, hashes e ponteiros controlados; documentos detalhados só entram no data room após interesse mútuo e autorização adicional.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4.2 Contrato mínimo do passaporte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7F8FA" w:val="clea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63442"/>
                <w:sz w:val="17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"passport_id": "psp_01J...",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"version": 3,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"issuer": "fiscal-platform",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"holder_org_id": "org_01J...",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"jurisdiction": "BR-SP",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"credit_kind": "ICMS_ACCUMULATED",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"route_candidates": ["SP_ART84_NONINTERDEPENDENT"],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"reference_period": {"from": "2025-01", "to": "2025-12"},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"amount_cents": 250000000,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"status_claim": "DOCUMENTED_FOR_REVIEW",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"evidence_manifest_hash": "sha256:...",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"ruleset_hash": "sha256:...",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"issued_at": "2026-09-06T12:00:00Z",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"expires_at": "2026-10-06T12:00:00Z",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"consent_id": "cns_01J...",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"signature": "poc-signature-placeholder"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4.3 Campos publicados por nível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800"/>
        <w:gridCol w:w="4560"/>
      </w:tblGrid>
      <w:tr>
        <w:trPr>
          <w:tblHeader w:val="true"/>
          <w:cantSplit/>
        </w:trPr>
        <w:tc>
          <w:tcPr>
            <w:tcW w:type="dxa" w:w="2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Nível</w:t>
            </w:r>
          </w:p>
        </w:tc>
        <w:tc>
          <w:tcPr>
            <w:tcW w:type="dxa" w:w="2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Quem vê</w:t>
            </w:r>
          </w:p>
        </w:tc>
        <w:tc>
          <w:tcPr>
            <w:tcW w:type="dxa" w:w="4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Conteúdo máximo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L0 - Operador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Somente detentor e assessor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Passaporte integral, preparação e bloqueios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L1 - Ficha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Organizações verificadas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UF, espécie, rota, faixa de valor, janela e maturidade documental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L2 - Match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Par pré-qualificado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Segmento, região ampla, razões do match e lacunas; sem identidade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L3 - Reciprocidade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Partes com interesse mútuo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Identidade, contatos autorizados e resumo exato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L4 - NDA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Partes e assessores nomeados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Relatórios, pareceres e evidências redigidas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L5 - Restrito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Jurídico/fiscal explicitamente autorizado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Documentos integrais selecionados; nunca público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4.4 Fluxo de consentimento</w:t>
      </w:r>
    </w:p>
    <w:p>
      <w:pPr>
        <w:numPr>
          <w:ilvl w:val="0"/>
          <w:numId w:val="10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Detentor escolhe o caso e visualiza exatamente quais campos serão compartilhados.</w:t>
      </w:r>
    </w:p>
    <w:p>
      <w:pPr>
        <w:numPr>
          <w:ilvl w:val="0"/>
          <w:numId w:val="10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Produto 1 cria consent_id, versão do escopo, prazo, destinatário lógico e manifesto.</w:t>
      </w:r>
    </w:p>
    <w:p>
      <w:pPr>
        <w:numPr>
          <w:ilvl w:val="0"/>
          <w:numId w:val="10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Produto 1 envia passaporte por chamada autenticada e evento assinado.</w:t>
      </w:r>
    </w:p>
    <w:p>
      <w:pPr>
        <w:numPr>
          <w:ilvl w:val="0"/>
          <w:numId w:val="10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Produto 2 verifica assinatura, hash, expiração, emissor e ausência de replay.</w:t>
      </w:r>
    </w:p>
    <w:p>
      <w:pPr>
        <w:numPr>
          <w:ilvl w:val="0"/>
          <w:numId w:val="10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Nova versão substitui a anterior sem apagá-la; matches são reavaliados.</w:t>
      </w:r>
    </w:p>
    <w:p>
      <w:pPr>
        <w:numPr>
          <w:ilvl w:val="0"/>
          <w:numId w:val="10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Revogação bloqueia novas divulgações e acessos, preservando trilha e retenções obrigatórias.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5. Arquitetura da POC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5.1 Estilo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A POC será um monólito modular Cloudflare-first, separado do Produto 1 por API e eventos. A interface, API, matching, consentimentos e negociações permanecem em um único repositório lógico. Processamento é assíncrono quando envolve reavaliação de pares, geração de pacote ou notificação.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5.2 Componentes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450"/>
        <w:gridCol w:w="5360"/>
      </w:tblGrid>
      <w:tr>
        <w:trPr>
          <w:tblHeader w:val="true"/>
          <w:cantSplit/>
        </w:trPr>
        <w:tc>
          <w:tcPr>
            <w:tcW w:type="dxa" w:w="15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Camada</w:t>
            </w:r>
          </w:p>
        </w:tc>
        <w:tc>
          <w:tcPr>
            <w:tcW w:type="dxa" w:w="24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Componente</w:t>
            </w:r>
          </w:p>
        </w:tc>
        <w:tc>
          <w:tcPr>
            <w:tcW w:type="dxa" w:w="5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Experiência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Web App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Portal privado para detentor, destinatário, assessor e compliance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Borda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WAF / Turnstile / Access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Proteção, autenticação e console interno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Aplicação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API Worker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Autorização, casos, mandatos, matches, consentimentos e propostas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Coordenação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Durable Object por caso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Serializar seleção/reserva e impedir duas negociações ativas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Assíncrono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Queues + Workflows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Matching em lote, notificações, expirações e checklist durável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Metadados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D1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Tenancy, perfis, casos, regras, matches, propostas e auditoria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Conteúdo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R2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Passaportes, data rooms, relatórios, termos e evidências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Integração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Produto 1 / e-mail / KYB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Passaporte assinado; entrega de mensagens; verificação manual ou futura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Externo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e-CredAc / SIPET / SEFAZ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Ações humanas fora da POC; apenas atestações e evidências retornam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5.3 Decisões arquiteturais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100"/>
        <w:gridCol w:w="5110"/>
      </w:tblGrid>
      <w:tr>
        <w:trPr>
          <w:tblHeader w:val="true"/>
          <w:cantSplit/>
        </w:trPr>
        <w:tc>
          <w:tcPr>
            <w:tcW w:type="dxa" w:w="11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Decisão</w:t>
            </w:r>
          </w:p>
        </w:tc>
        <w:tc>
          <w:tcPr>
            <w:tcW w:type="dxa" w:w="51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Razão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ADR-P01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Serviço separado do Produto 1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Reduz compartilhamento indevido e permite políticas/tenancy próprias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ADR-P02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Rede privada por convite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Evita indexação pública e permite verificação antes do acesso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ADR-P03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Divulgação progressiva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Minimiza exposição fiscal e comercial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ADR-P04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Gates antes de score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Ranking nunca transforma par juridicamente incompatível em match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ADR-P05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Uma contraparte ativa por caso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Simplifica integridade e respeita o recorte da POC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ADR-P06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Sem preço de referência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Termos são bilaterais; a plataforma não publica benchmark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ADR-P07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Status externo atestado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Nenhum scraping, A1 ou integração não oficial no experimento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ADR-P08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Dados detalhados no R2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D1 mantém índices; documentos usam links curtos e autorizados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6. Módulos funcionais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6.1 Rede e verificação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Convidar organização, representante e assessor; exigir MFA para papéis privilegiados.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Registrar status KYB manual, conflitos, documentos de representação e data de revalidação.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Suspender acesso ou limitar organização a modo somente leitura.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6.2 Casos e fichas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Importar passaporte, validar assinatura/expiração e impedir duplicidade de source_case.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Editar somente metadados comerciais permitidos; conteúdo fiscal deriva de versão do passaporte.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Submeter ficha a revisão de compliance antes de publicação privada.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6.3 Mandatos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Cadastrar UF, espécie, rotas, faixas, prazo, uso pretendido e restrições.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Manter mandato invisível a outros participantes e com validade explícita.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6.4 Matching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Aplicar gates versionados, produzir razões legíveis e ordenar candidatos por score não jurídico.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Exigir revisão antes de disponibilizar um novo match às partes.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6.5 Interesse e identidade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Receber interesse de cada lado sem revelar o outro; desbloquear reciprocidade somente se mútuo.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Permitir recusa sem justificativa pública e expiração automática.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6.6 Data room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Aplicar NDA/termo, grupos de acesso, marca d'água, URL temporária e revogação.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Registrar visualização, download, versão, usuário e justificativa de conteúdo restrito.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6.7 Propostas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Criar proposta indicativa com valor, condições precedentes, prazo e anexos.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Qualquer alteração gera nova versão; aceite na POC é não vinculante e não executa transferência.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6.8 Diligência e status externo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Checklist configurável por route_code, responsáveis, pendências e pareceres.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Registrar protocolo, decisão ou desistência como atestação manual acompanhada de evidência.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6.9 Administração e auditoria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Versionar regras, avisos, termos, feature flags e políticas de retenção.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Investigar anomalias sem conteúdo fiscal nos logs operacionais.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7. Fluxos e estados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7.1 Fluxo principal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Compliance verifica detentor e destinatário; nenhum caso é visível antes disso.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Detentor importa passaporte válido e cria ficha em RASCUNHO.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Revisor confirma linguagem, rota candidata, escopo de divulgação e ausência de bloqueios.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Ficha é publicada na rede privada; mandatos ativos são reavaliados.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Gates eliminam pares incompatíveis; candidatos recebem score e razões.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Compliance libera o match; cada parte manifesta interesse de forma confidencial.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Interesse mútuo revela identidades e cria negociação bilateral.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Partes aceitam termo de confidencialidade e recebem acesso gradual ao data room.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Destinatário envia proposta indicativa; versões e respostas ficam na trilha.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Detentor seleciona uma contraparte; o caso é reservado internamente.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Assessores concluem checklist e geram pacote 'pronto para decisão/protocolo'.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Qualquer protocolo e decisão ocorrem externamente e retornam somente como atestação.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7.2 Estado da ficha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400"/>
        <w:gridCol w:w="316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Estado</w:t>
            </w:r>
          </w:p>
        </w:tc>
        <w:tc>
          <w:tcPr>
            <w:tcW w:type="dxa" w:w="4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Significado</w:t>
            </w:r>
          </w:p>
        </w:tc>
        <w:tc>
          <w:tcPr>
            <w:tcW w:type="dxa" w:w="3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Próximos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RASCUNHO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Não visível; editável pelo detentor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EM_REVISÃO, CANCELADA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EM_REVISÃO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Compliance verifica conteúdo e rota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PUBLICADA, DEVOLVIDA, BLOQUEADA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PUBLICADA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Visível à rede segundo L1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RESERVADA, SUSPENSA, EXPIRADA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RESERVADA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Uma contraparte selecionada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EM_DILIGÊNCIA, PUBLICADA, ENCERRADA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SUSPENSA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Risco, consentimento ou passaporte inválido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EM_REVISÃO, ENCERRADA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EXPIRADA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Validade terminou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EM_REVISÃO, ENCERRADA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ENCERRADA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Não aceita novos interesses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ARQUIVADA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7.3 Estado da negociação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Estado</w:t>
            </w:r>
          </w:p>
        </w:tc>
        <w:tc>
          <w:tcPr>
            <w:tcW w:type="dxa" w:w="3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Prova exigida</w:t>
            </w:r>
          </w:p>
        </w:tc>
        <w:tc>
          <w:tcPr>
            <w:tcW w:type="dxa" w:w="3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INTERESSE_MÚTUO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Aceites independentes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Identidade pode ser revelada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CONFIDENCIALIDADE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Termos aceitos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Acesso L4 ainda configurável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DILIGÊNCIA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Checklist e evidências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Sem conclusão automática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TERMOS_INDICATIVOS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Proposta vigente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Não vinculante na POC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PRONTA_PARA_PROTOCOLO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Aprovação fiscal e jurídica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Pacote exportável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PROTOCOLO_EXTERNO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Atestação e recibo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Status informado, não confirmado por API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AUTORIZADA_EXTERNA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Decisão anexada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Não significa liquidação pela plataforma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INDEFERIDA_EXTERNA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Decisão anexada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Motivo classificado e acesso revisto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DESISTIDA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Solicitação de parte autorizada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Reserva interna liberada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8. Motor de elegibilidade e matching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8.1 Separação entre gate e score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Gate é binário e impede exposição quando falta requisito mínimo. Score apenas ordena pares que passaram pelos gates. Nenhum score, IA ou decisão comercial pode substituir rota, vigência, evidência ou revisão profissional.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8.2 Gates mínimos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Organizações e representantes verificados e não suspensos.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Passaporte válido, não revogado, não expirado e com hash íntegro.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Jurisdição, espécie de crédito e route_code aceitos por ambos.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Regra de rota publicada e vigente na data de referência.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Ausência de bloqueio declarado, conflito ou condição impeditiva cadastrada.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Faixas de valor e janela temporal com interseção mínima.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Consentimento suficiente para o nível de divulgação requerido.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Caso sem negociação selecionada e sem fingerprint ativa equivalente.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Revisão manual quando a regra ou os dados estiverem em baixa confiança.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8.3 Score de ordenação da POC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600"/>
        <w:gridCol w:w="4760"/>
      </w:tblGrid>
      <w:tr>
        <w:trPr>
          <w:tblHeader w:val="true"/>
          <w:cantSplit/>
        </w:trPr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Dimensão</w:t>
            </w:r>
          </w:p>
        </w:tc>
        <w:tc>
          <w:tcPr>
            <w:tcW w:type="dxa" w:w="1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Peso máximo</w:t>
            </w:r>
          </w:p>
        </w:tc>
        <w:tc>
          <w:tcPr>
            <w:tcW w:type="dxa" w:w="4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Exemplo de evidência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Completude documental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30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Passaporte, manifesto, pareceres e ausência de lacunas críticas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Ajuste de valor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25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Interseção entre faixa do caso e capacidade declarada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Prazo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20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Validade do caso, janela do mandato e tempo estimado de diligência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Contexto operacional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15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Relação/uso pretendido compatível com a rota simulada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Prioridade do piloto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10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Diversidade do corpus e valor para aprendizado</w:t>
            </w:r>
          </w:p>
        </w:tc>
      </w:tr>
    </w:tbl>
    <w:p>
      <w:pPr>
        <w:spacing w:after="60"/>
      </w:pP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/>
          <w:color w:val="5F6B76"/>
          <w:sz w:val="22"/>
        </w:rPr>
        <w:t>score_total = completude + ajuste_valor + prazo + contexto + prioridade_piloto. O resultado deve sempre exibir rule_version, inputs_hash, gates e razões. Preço ou desconto não participa do ranking da POC.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8.4 Contrato mínimo da regra de rota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7F8FA" w:val="clea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63442"/>
                <w:sz w:val="17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"route_code": "SP_ART84_NONINTERDEPENDENT",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"version": 1,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"effective_from": "2026-09-01",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"source_refs": ["RICMS_SP_ART_84", "SRE_65_2023_ART_37"],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"mode": "simulation_only",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"hard_gates": [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  "same_jurisdiction",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  "holder_has_documented_case",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  "single_selected_recipient",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  "professional_review_required"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],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"disclosures": ["conditional", "external_authorization_required"],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"owner": "tax-legal-content",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"status": "published_for_poc"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8.5 Controles contra dupla listagem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Fingerprint = jurisdição + estabelecimento detentor + identificador da origem + período + hash do manifesto.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Restrição única impede dois casos ativos com o mesmo fingerprint.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Durable Object do caso serializa seleção, reserva interna, liberação e encerramento.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Uma reserva interna nunca é apresentada como reserva no e-CredAc ou perante a autoridade.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Mudança, expiração ou revogação do passaporte suspende ficha e reabre revisão.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Antes de exportar o pacote, responsável atesta saldo/status externo atualizado.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9. Dados e persistência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9.1 Entidades principais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000"/>
        <w:gridCol w:w="4010"/>
      </w:tblGrid>
      <w:tr>
        <w:trPr>
          <w:tblHeader w:val="true"/>
          <w:cantSplit/>
        </w:trPr>
        <w:tc>
          <w:tcPr>
            <w:tcW w:type="dxa" w:w="23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Entidade</w:t>
            </w:r>
          </w:p>
        </w:tc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Finalidade</w:t>
            </w:r>
          </w:p>
        </w:tc>
        <w:tc>
          <w:tcPr>
            <w:tcW w:type="dxa" w:w="40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Campos-chave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organization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Participante verificado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id, type, legal_name, status, kyb_state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membership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Vínculo e papel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user_id, org_id, role, scope, expires_at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credit_case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Caso fiscal não fungível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holder_id, source_case_id, fingerprint, amount, state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passport_version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Resumo recebido do Produto 1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case_id, version, hashes, validity, consent_id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listing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Ficha privada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case_id, route_code, disclosure, band, state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buyer_mandate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Critérios confidenciais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org_id, routes, bands, window, validity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match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Resultado reproduzível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listing_id, mandate_id, gates, score, rule_hash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interest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Manifestação independente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match_id, side, state, actor, expires_at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deal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Negociação bilateral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case_id, holder_id, recipient_id, state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data_room_grant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Acesso por nível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deal_id, subject, tier, purpose, expiry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proposal_version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Termos indicativos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deal_id, version, amount, conditions, state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external_attestation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Status informado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deal_id, kind, asserted_by, evidence_ref, occurred_at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consent_grant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Escopo de divulgação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subject, purpose, fields, version, expiry, revoked_at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audit_event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Trilha de ação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actor, org, action, resource, trace, timestamp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9.2 Estratégia de armazenamento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356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Armazenamento</w:t>
            </w:r>
          </w:p>
        </w:tc>
        <w:tc>
          <w:tcPr>
            <w:tcW w:type="dxa" w:w="3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Conteúdo</w:t>
            </w:r>
          </w:p>
        </w:tc>
        <w:tc>
          <w:tcPr>
            <w:tcW w:type="dxa" w:w="3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Política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D1 controle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Organizações, usuários, regras e registro de shards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Sem documentos fiscais ou propostas detalhadas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D1 rede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Casos, fichas, mandatos, matches, estados e auditoria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org_id/party_id obrigatório em toda consulta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R2 passports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Passaportes e manifestos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Versionado, hash, acesso apenas por serviço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R2 rooms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Relatórios, termos e evidências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Prefixo por deal; URL temporária e grant explícito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R2 exports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Pacotes de diligência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Imutável por versão; download auditado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Logs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Metadados operacionais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Sem nomes, documentos, preço, teor fiscal ou URL assinada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9.3 Chaves no R2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7F8FA" w:val="clea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63442"/>
                <w:sz w:val="17"/>
              </w:rPr>
              <w:t>{environment}/{network_id}/{org_id}/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passports/{case_id}/{version}/{manifest_hash}.json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deals/{deal_id}/rooms/{tier}/{document_id}/{version}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deals/{deal_id}/proposals/{proposal_id}/{version}.json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deals/{deal_id}/attestations/{attestation_id}/{evidence_name}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exports/{deal_id}/{package_version}/{artifact_name}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10. APIs e eventos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10.1 Convenções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Base /v1; JSON UTF-8; datas ISO 8601 UTC; valores monetários em centavos inteiros.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Organização e parte são derivadas da sessão; IDs de rota nunca concedem autorização por si.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POST/PATCH mutável exige Idempotency-Key; resposta inclui X-Request-Id.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Erro usa application/problem+json; detalhes nunca revelam contraparte ou gate confidencial indevido.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Downloads exigem grant ativo e URL temporária de uso curto; toda emissão e uso são auditados.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300"/>
        <w:gridCol w:w="1750"/>
        <w:gridCol w:w="3460"/>
      </w:tblGrid>
      <w:tr>
        <w:trPr>
          <w:tblHeader w:val="true"/>
          <w:cantSplit/>
        </w:trPr>
        <w:tc>
          <w:tcPr>
            <w:tcW w:type="dxa" w:w="8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Método</w:t>
            </w:r>
          </w:p>
        </w:tc>
        <w:tc>
          <w:tcPr>
            <w:tcW w:type="dxa" w:w="3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Rota</w:t>
            </w:r>
          </w:p>
        </w:tc>
        <w:tc>
          <w:tcPr>
            <w:tcW w:type="dxa" w:w="17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Papel</w:t>
            </w:r>
          </w:p>
        </w:tc>
        <w:tc>
          <w:tcPr>
            <w:tcW w:type="dxa" w:w="3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/v1/passports/import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holder_advisor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Validar e importar passaporte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/v1/cases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holder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Criar caso a partir do passaporte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/v1/cases/{id}/submit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holder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Enviar ficha para revisão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/v1/cases/{id}/publish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compliance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Publicar na rede privada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/v1/mandates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recipient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Criar mandato confidencial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/v1/matching-runs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system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Reavaliar casos e mandatos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/v1/matches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scoped_member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Listar matches liberados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/v1/matches/{id}/interest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party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Registrar interesse independente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/v1/deals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system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Criar negociação após reciprocidade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/v1/deals/{id}/terms/accept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party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Aceitar termo/NDA da POC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/v1/deals/{id}/data-room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grantee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Listar conteúdo permitido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/v1/deals/{id}/grants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room_admin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Conceder nível e finalidade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/v1/deals/{id}/proposals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party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Criar versão de proposta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/v1/deals/{id}/select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holder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Selecionar contraparte e reservar caso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PATCH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/v1/deals/{id}/checklist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advisor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Atualizar diligência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/v1/deals/{id}/exports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advisor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Gerar pacote de preparação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/v1/deals/{id}/attestations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authorized_party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Registrar fato externo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/v1/consents/{id}/revoke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grantor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Revogar novas divulgações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/v1/audit-events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auditor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Consultar trilha escopada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/v1/admin/suspensions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compliance_admin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Suspender recurso ou participante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10.2 Eventos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450"/>
        <w:gridCol w:w="3910"/>
      </w:tblGrid>
      <w:tr>
        <w:trPr>
          <w:tblHeader w:val="true"/>
          <w:cantSplit/>
        </w:trPr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Evento</w:t>
            </w:r>
          </w:p>
        </w:tc>
        <w:tc>
          <w:tcPr>
            <w:tcW w:type="dxa" w:w="24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Consumidor</w:t>
            </w:r>
          </w:p>
        </w:tc>
        <w:tc>
          <w:tcPr>
            <w:tcW w:type="dxa" w:w="39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Efeito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passport.imported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case-service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Criar/revisar caso e fingerprint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listing.published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matching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Avaliar mandatos vigentes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mandate.changed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matching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Reavaliar fichas publicadas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match.review.requested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compliance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Liberar ou rejeitar candidato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interest.mutual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deal-workflow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Criar sala bilateral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consent.revoked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access-service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Revogar grants e suspender exposição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proposal.submitted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notification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Notificar parte sem expor teor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deal.selected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case-lock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Reservar caso e fechar novos interesses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attestation.recorded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deal-workflow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Atualizar estágio informado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risk.suspension.requested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admin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Bloquear acesso e alertar responsáveis</w:t>
            </w:r>
          </w:p>
        </w:tc>
      </w:tr>
    </w:tbl>
    <w:p>
      <w:pPr>
        <w:spacing w:after="60"/>
      </w:pP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/>
          <w:color w:val="5F6B76"/>
          <w:sz w:val="22"/>
        </w:rPr>
        <w:t>Envelope: event_id, event_type, schema_version, occurred_at, network_id, org_id, resource_id, trace_id e attempt. Eventos carregam referências, não documentos ou termos comerciais.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11. Segurança, privacidade e prevenção de abuso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11.1 Controles mínimos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Área</w:t>
            </w:r>
          </w:p>
        </w:tc>
        <w:tc>
          <w:tcPr>
            <w:tcW w:type="dxa" w:w="7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Controle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Identidade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SSO/OTP; MFA para holder_admin, compliance, room_admin e suporte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Autorização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RBAC + ABAC por organização, parte, deal, tier, finalidade e validade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Isolamento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Deny by default; testes de acesso cruzado em API, busca, evento e R2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Conteúdo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Buckets privados, hash, versionamento, URL curta, marca d'água e revogação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Consentimento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Escopo de campos, finalidade, destinatário lógico, versão, prazo e revogação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Segredos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Bindings/secrets; nenhum A1, senha fiscal, token ou chave em D1/log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Suporte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Acesso just-in-time, dois aprovadores para L5, tempo máximo e gravação de auditoria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Detecção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Alertas para enumeração, downloads em massa, grants anormais e dupla listagem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Resposta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Suspensão rápida de caso/organização, preservação de evidência e runbook de incidente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11.2 Ameaças prioritárias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50"/>
        <w:gridCol w:w="5910"/>
      </w:tblGrid>
      <w:tr>
        <w:trPr>
          <w:tblHeader w:val="true"/>
          <w:cantSplit/>
        </w:trPr>
        <w:tc>
          <w:tcPr>
            <w:tcW w:type="dxa" w:w="34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Ameaça</w:t>
            </w:r>
          </w:p>
        </w:tc>
        <w:tc>
          <w:tcPr>
            <w:tcW w:type="dxa" w:w="59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Prevenção/detecção</w:t>
            </w:r>
          </w:p>
        </w:tc>
      </w:tr>
      <w:tr>
        <w:trPr>
          <w:cantSplit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Descoberta da identidade antes da reciprocidade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Separar dados de matching e identidade; respostas uniformes e auditoria</w:t>
            </w:r>
          </w:p>
        </w:tc>
      </w:tr>
      <w:tr>
        <w:trPr>
          <w:cantSplit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Enumeração de casos ou mandatos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IDs opacos, paginação limitada, rate limit e ausência de contagem global</w:t>
            </w:r>
          </w:p>
        </w:tc>
      </w:tr>
      <w:tr>
        <w:trPr>
          <w:cantSplit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Acesso cruzado entre partes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Policy engine central, grants explícitos e testes negativos por endpoint</w:t>
            </w:r>
          </w:p>
        </w:tc>
      </w:tr>
      <w:tr>
        <w:trPr>
          <w:cantSplit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Documento trocado após análise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Manifesto e hash por versão; pacote final referencia hashes</w:t>
            </w:r>
          </w:p>
        </w:tc>
      </w:tr>
      <w:tr>
        <w:trPr>
          <w:cantSplit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Dupla negociação do mesmo caso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Fingerprint único, Durable Object e seleção atômica</w:t>
            </w:r>
          </w:p>
        </w:tc>
      </w:tr>
      <w:tr>
        <w:trPr>
          <w:cantSplit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Status externo falso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Atestador autorizado, evidência, dupla revisão e rótulo de fonte</w:t>
            </w:r>
          </w:p>
        </w:tc>
      </w:tr>
      <w:tr>
        <w:trPr>
          <w:cantSplit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Insider ou suporte abusivo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JIT, mascaramento, dupla aprovação L5 e alertas de acesso</w:t>
            </w:r>
          </w:p>
        </w:tc>
      </w:tr>
      <w:tr>
        <w:trPr>
          <w:cantSplit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Vazamento de preço/demanda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Sem book público, sem benchmark, proposta bilateral e logs sem teor</w:t>
            </w:r>
          </w:p>
        </w:tc>
      </w:tr>
      <w:tr>
        <w:trPr>
          <w:cantSplit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Revogação sem efeito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Evento de revogação idempotente, invalidação de grants e teste de propagação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11.3 LGPD e informação empresarial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Definir controlador e operador para onboarding, matching, data room e suporte; registrar instruções entre as partes.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Separar dado pessoal de representante de dado fiscal/empresarial, aplicando minimização e finalidade a ambos.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Manter registro das operações, canal de titular, política de retenção e processo de incidente.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Avaliar transferência internacional e localização de dados antes de usar casos reais na infraestrutura escolhida.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Revogação encerra novos acessos, mas não apaga automaticamente trilha, contrato ou evidência sob retenção válida.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FDECEC" w:val="clear"/>
            <w:tcBorders>
              <w:top w:val="nil" w:sz="0" w:space="0" w:color="FDECEC"/>
              <w:start w:val="single" w:sz="24" w:space="0" w:color="9B1C1C"/>
              <w:bottom w:val="nil" w:sz="0" w:space="0" w:color="FDECEC"/>
              <w:end w:val="nil" w:sz="0" w:space="0" w:color="FDECEC"/>
            </w:tcBorders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 xml:space="preserve">DADOS REAIS  </w:t>
            </w:r>
            <w:r>
              <w:rPr>
                <w:rFonts w:ascii="Calibri" w:hAnsi="Calibri" w:eastAsia="Calibri"/>
                <w:color w:val="17212B"/>
                <w:sz w:val="21"/>
              </w:rPr>
              <w:t>A demonstração começa com dados sintéticos. Casos reais só entram após Gate 0, DPA/termos assinados, matriz de acesso aprovada, política de retenção definida e teste independente de isolamento.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12. Requisitos não funcionais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800"/>
        <w:gridCol w:w="3750"/>
        <w:gridCol w:w="2760"/>
      </w:tblGrid>
      <w:tr>
        <w:trPr>
          <w:tblHeader w:val="true"/>
          <w:cantSplit/>
        </w:trPr>
        <w:tc>
          <w:tcPr>
            <w:tcW w:type="dxa" w:w="10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Atributo</w:t>
            </w:r>
          </w:p>
        </w:tc>
        <w:tc>
          <w:tcPr>
            <w:tcW w:type="dxa" w:w="37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Meta da POC</w:t>
            </w:r>
          </w:p>
        </w:tc>
        <w:tc>
          <w:tcPr>
            <w:tcW w:type="dxa" w:w="2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Verificação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NFR-P01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Disponibilidade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99,0% durante janela assistida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Monitor sintético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NFR-P02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Latência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p95 &lt;= 400 ms em consultas simples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Teste no ambiente da POC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NFR-P03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Matching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2.500 pares em &lt;= 5 min sem fila prévia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Carga com corpus sintético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NFR-P04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Isolamento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Zero leitura/inferência entre partes não autorizadas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Matriz negativa automatizada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NFR-P05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Auditabilidade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100% das ações críticas com ator, parte e trace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Reconciliação por cenário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NFR-P06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Revogação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Bloquear novos acessos em &lt;= 60 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Teste de propagação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NFR-P07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Integridade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Hash detecta qualquer alteração do pacote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Teste de adulteração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NFR-P08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Idempotência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Reentrega não duplica interesse, deal ou atestação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Eventos repetidos &gt;= 3 vezes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NFR-P09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Acessibilidade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Fluxo principal por teclado e contraste AA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Auditoria automatizada/manual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NFR-P10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Privacidade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Nenhum teor fiscal/comercial em log padrão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Amostragem e teste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NFR-P11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Explicabilidade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Todo match mostra gate, versão e razões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Teste de contrato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NFR-P12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Recuperação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RTO &lt;= 4 h; RPO &lt;= 15 min para metadados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Exercício assistido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13. Estratégia de experimento e testes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13.1 Corpus semeado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800"/>
        <w:gridCol w:w="4560"/>
      </w:tblGrid>
      <w:tr>
        <w:trPr>
          <w:tblHeader w:val="true"/>
          <w:cantSplit/>
        </w:trPr>
        <w:tc>
          <w:tcPr>
            <w:tcW w:type="dxa" w:w="4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Cenário</w:t>
            </w:r>
          </w:p>
        </w:tc>
        <w:tc>
          <w:tcPr>
            <w:tcW w:type="dxa" w:w="4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Caso e mandato compatíveis em rota, valor e prazo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Match com score e razões</w:t>
            </w:r>
          </w:p>
        </w:tc>
      </w:tr>
      <w:tr>
        <w:trPr>
          <w:cantSplit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UF ou espécie divergente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Gate falha sem revelar a contraparte</w:t>
            </w:r>
          </w:p>
        </w:tc>
      </w:tr>
      <w:tr>
        <w:trPr>
          <w:cantSplit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Passaporte expirado ou revogado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Ficha suspensa e match removido</w:t>
            </w:r>
          </w:p>
        </w:tc>
      </w:tr>
      <w:tr>
        <w:trPr>
          <w:cantSplit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Regra fora da vigência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Match bloqueado e revisão solicitada</w:t>
            </w:r>
          </w:p>
        </w:tc>
      </w:tr>
      <w:tr>
        <w:trPr>
          <w:cantSplit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Consentimento apenas L1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Identidade e data room inacessíveis</w:t>
            </w:r>
          </w:p>
        </w:tc>
      </w:tr>
      <w:tr>
        <w:trPr>
          <w:cantSplit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Interesse unilateral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Identidades continuam ocultas</w:t>
            </w:r>
          </w:p>
        </w:tc>
      </w:tr>
      <w:tr>
        <w:trPr>
          <w:cantSplit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Interesse mútuo e termos aceitos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Deal e grant L3/L4 criados</w:t>
            </w:r>
          </w:p>
        </w:tc>
      </w:tr>
      <w:tr>
        <w:trPr>
          <w:cantSplit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Segundo destinatário selecionado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Conflito atômico; apenas um vence</w:t>
            </w:r>
          </w:p>
        </w:tc>
      </w:tr>
      <w:tr>
        <w:trPr>
          <w:cantSplit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Pacote adulterado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Hash inválido e download bloqueado</w:t>
            </w:r>
          </w:p>
        </w:tc>
      </w:tr>
      <w:tr>
        <w:trPr>
          <w:cantSplit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Atestação externa sem papel/evidência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Rejeição e evento de segurança</w:t>
            </w:r>
          </w:p>
        </w:tc>
      </w:tr>
      <w:tr>
        <w:trPr>
          <w:cantSplit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Revogação durante diligência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Grants invalidados e deal sinalizado</w:t>
            </w:r>
          </w:p>
        </w:tc>
      </w:tr>
      <w:tr>
        <w:trPr>
          <w:cantSplit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Consulta por membro de outra organização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403 uniforme e auditoria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13.2 Camadas de teste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000"/>
        <w:gridCol w:w="256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Camada</w:t>
            </w:r>
          </w:p>
        </w:tc>
        <w:tc>
          <w:tcPr>
            <w:tcW w:type="dxa" w:w="5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Cobertura</w:t>
            </w:r>
          </w:p>
        </w:tc>
        <w:tc>
          <w:tcPr>
            <w:tcW w:type="dxa" w:w="2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Momento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Unitário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Gates, score, estados, disclosure e fingerprint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 cada commit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Golden cases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Entradas e matches aprovados por fiscal/jurídico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 cada regra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Contrato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Passaporte, API, eventos e compatibilidade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Pipeline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Integração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Workers, D1, R2, Queues, Workflows e DO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Pipeline/homologação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E2E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Passaporte até pacote de diligência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Release candidate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Segurança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Cross-tenant, enumeração, grants, revogação e upload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Contínuo + pentest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Resiliência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Reentrega, timeout, DLQ, expiração e retomada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Antes do piloto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Validação humana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Compreensão dos motivos, confiança e atrito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Sessão observada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13.3 Métricas do experimento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Tempo do passaporte importado à ficha revisada e publicada.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Número de pares avaliados, bloqueados por gate, liberados e revisados manualmente.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Precisão do corpus semeado e divergências identificadas por fiscal/jurídico.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Percentual de fichas que chegam a interesse mútuo e data room no piloto assistido.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Tempo e abandono por etapa; pedidos de suporte; razões de recusa.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Acessos negados, revogações, downloads, anomalias e incidentes.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Decisão qualitativa de cada participante: avançaria à diligência real? Por quê?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14. Critérios de aceite da POC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Um detentor verificado importa passaporte íntegro e publica ficha L1 sem expor sua identidade.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Um passaporte inválido, expirado, revogado ou repetido é bloqueado com causa auditável.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Um destinatário configura mandato privado e recebe somente matches liberados por compliance.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O motor separa todos os pares semeados conforme expectativa e registra versão/inputs.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Interesse unilateral não revela identidade; interesse mútuo cria uma negociação bilateral.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Aceite de confidencialidade concede apenas o nível correto e expira automaticamente.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Documento sem grant, de outro deal ou após revogação não pode ser listado ou baixado.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Propostas são privadas, versionadas, não vinculantes e não alteram saldo oficial.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Somente uma contraparte pode ser selecionada para o mesmo caso; concorrência é resolvida sem duplicidade.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Checklist gera pacote com manifesto, hashes, versões, responsáveis e avisos obrigatórios.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Atestação externa mostra fonte humana, data e evidência; a interface nunca a apresenta como consulta oficial.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Nenhuma tela ou API da POC transfere crédito, movimenta dinheiro ou recebe certificado fiscal.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Trilha reproduz todos os eventos críticos e testes de isolamento retornam zero vazamento.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Fiscal, jurídico e participantes-piloto registram decisão de avançar, pivotar ou encerrar.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14.1 Definition of Done por história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Critério funcional automatizado e revisão de produto.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Autorização e testes negativos para todos os papéis e níveis afetados.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Evento de auditoria e métrica sem conteúdo sensível.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Estado vazio, loading, expiração, revogação e erro desenhados.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Texto jurídico da interface vinculado a versão de termos/aviso.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Regra de rota com fonte, vigência, owner, revisor e golden cases.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Runbook de suporte e suspensão atualizado.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15. Sequência recomendada e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00"/>
        <w:gridCol w:w="276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Incremento</w:t>
            </w:r>
          </w:p>
        </w:tc>
        <w:tc>
          <w:tcPr>
            <w:tcW w:type="dxa" w:w="4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Entrega</w:t>
            </w:r>
          </w:p>
        </w:tc>
        <w:tc>
          <w:tcPr>
            <w:tcW w:type="dxa" w:w="2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Gate de saída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G0 - Enquadramento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Pareceres, linguagem, rota e contratos da POC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Jurídico/fiscal aprova o experimento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G1 - Fundação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Tenancy, convite, RBAC, auditoria, ambientes e dados sintéticos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Isolamento automatizado passa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G2 - Originação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Passaporte, caso, ficha, consentimento e revisão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Publicação L1 sem vazamento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G3 - Matching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Mandato, gates, score, revisão e interesse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Corpus semeado 100% correto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G4 - Diligência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Reciprocidade, termos, data room e grants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Revogação e testes de acesso passam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G5 - Negociação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Proposta, seleção única, checklist e exportação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Demo ponta a ponta aprovada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G6 - Piloto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Sessões assistidas e análise de métricas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Decisão explícita de MVP/pivot/stop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15.1 Papéis mínimos no trabalho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Papel</w:t>
            </w:r>
          </w:p>
        </w:tc>
        <w:tc>
          <w:tcPr>
            <w:tcW w:type="dxa" w:w="6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Participação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Produto/descoberta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Hipóteses, piloto, métricas e decisão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Fiscal SP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Rotas, campos, golden cases e avisos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Jurídico/regulatório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Gate 0, contratos, comunicação e limites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Engenharia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Arquitetura, implementação, testes e operação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Segurança/privacidade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Threat model, LGPD, isolamento e incidentes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UX/conteúdo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Divulgação progressiva e compreensão das razões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Parceiros-piloto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Casos, mandatos, sessões observadas e feedback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15.2 Decisões pendentes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000"/>
        <w:gridCol w:w="4200"/>
        <w:gridCol w:w="2110"/>
      </w:tblGrid>
      <w:tr>
        <w:trPr>
          <w:tblHeader w:val="true"/>
          <w:cantSplit/>
        </w:trPr>
        <w:tc>
          <w:tcPr>
            <w:tcW w:type="dxa" w:w="10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Tema</w:t>
            </w:r>
          </w:p>
        </w:tc>
        <w:tc>
          <w:tcPr>
            <w:tcW w:type="dxa" w:w="4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Decisão</w:t>
            </w:r>
          </w:p>
        </w:tc>
        <w:tc>
          <w:tcPr>
            <w:tcW w:type="dxa" w:w="21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Dono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OD-P01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Nome e comunicação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Rede privada versus uso comercial de 'bolsa'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Jurídico + Marca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OD-P02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Papel da empresa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Software, organizadora, assessora ou intermediária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Diretoria + Jurídico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OD-P03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Rota inicial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Art. 73 fornecedor ou art. 84 não interdependente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Fiscal + Jurídico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OD-P04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Receita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Assinatura fixa; sem success fee na POC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Comercial + Jurídico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OD-P05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Dados reais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Critérios e contratos para sair do corpus sintético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Privacidade + Segurança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OD-P06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KYB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Processo manual versus provedor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Compliance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OD-P07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Termos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NDA da plataforma versus instrumento externo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Jurídico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OD-P08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Data room L5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Hospedagem interna ou provedor especializado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Segurança + Jurídico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OD-P09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Score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Quais razões ficam visíveis para cada lado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Produto + Compliance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OD-P10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Status externo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Duas testemunhas, assessor ou documento mínimo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Fiscal + Jurídico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OD-P11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Residência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Avaliação de localização e transferência internacional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Privacidade + Arquitetura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OD-P12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Evolução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Critérios para permitir mais rotas/estados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Produto + Fiscal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Apêndice A - Matriz de requisitos da POC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400"/>
        <w:gridCol w:w="3000"/>
        <w:gridCol w:w="1050"/>
        <w:gridCol w:w="2960"/>
      </w:tblGrid>
      <w:tr>
        <w:trPr>
          <w:tblHeader w:val="true"/>
          <w:cantSplit/>
        </w:trPr>
        <w:tc>
          <w:tcPr>
            <w:tcW w:type="dxa" w:w="9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1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Domínio</w:t>
            </w:r>
          </w:p>
        </w:tc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Requisito</w:t>
            </w:r>
          </w:p>
        </w:tc>
        <w:tc>
          <w:tcPr>
            <w:tcW w:type="dxa" w:w="10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Prioridade</w:t>
            </w:r>
          </w:p>
        </w:tc>
        <w:tc>
          <w:tcPr>
            <w:tcW w:type="dxa" w:w="2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Aceite resumido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FR-P01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Rede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Convidar organização e representante.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Convite expira e não concede acesso antes do aceite.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FR-P02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KYB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Registrar verificação e validade.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Organização vencida não publica nem acessa L4/L5.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FR-P03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Acesso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Aplicar MFA a papéis privilegiados.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Sessão sem sinal de MFA é negada.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FR-P04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Tenancy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Derivar organização e parte da sessão.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ID divergente retorna 403 e auditoria.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FR-P05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Passaporte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Importar contrato versionado.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Schema, assinatura e emissor são verificados.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FR-P06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Passaporte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Detectar expiração e revogação.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Caso é suspenso e matches são reavaliados.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FR-P07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Caso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Calcular fingerprint único.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Duplicata ativa é bloqueada.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FR-P08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Caso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Criar ficha L1 anonimizada.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CNPJ, nome e documento não aparecem.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FR-P09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Revisão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Exigir compliance antes de publicar.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Sem aprovação, ficha não entra na rede.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FR-P10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Mandato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Cadastrar critérios privados.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Outro participante não lista nem infere o mandato.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FR-P11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Regra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Versionar route_code e fontes.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Execução registra versão e vigência.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FR-P12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Gate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Bloquear incompatibilidades.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Score não é calculado para par reprovado.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FR-P13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Score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Ordenar candidatos explicavelmente.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Soma e razões são reproduzíveis.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FR-P14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Revisão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Liberar match manualmente.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Partes só veem match após decisão registrada.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FR-P15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Interesse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Receber interesse unilateral.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Identidade oposta permanece oculta.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FR-P16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Reciprocidade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Criar deal após interesse mútuo.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Mesmo evento não cria dois deals.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FR-P17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Termos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Registrar aceite por versão.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Grant referencia versão aceita.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FR-P18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Data room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Conceder acesso por tier e finalidade.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Arquivo fora do grant é negado.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FR-P19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Data room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Emitir URL temporária.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URL expira e uso gera auditoria.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FR-P20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Data room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Revogar grant.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Novo acesso falha em até 60 s.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FR-P21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Conteúdo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Versionar documento e hash.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Alteração produz nova versão.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FR-P22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Proposta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Criar termos indicativos privados.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Tela exibe caráter não vinculante.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FR-P23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Proposta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Preservar histórico de versões.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Aceite aponta para versão exata.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FR-P24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Seleção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Selecionar uma contraparte.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Operação concorrente perde atomicamente.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FR-P25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Reserva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Bloquear novos interesses após seleção.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Ficha passa a RESERVADA.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FR-P26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Checklist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Configurar itens por rota.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Pacote não finaliza com item crítico aberto.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FR-P27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Exportação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Gerar pacote com manifesto.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Hashes e avisos acompanham o arquivo.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FR-P28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Atestação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Registrar status externo com fonte.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Papel, data e evidência são obrigatórios.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FR-P29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Consentimento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Revogar nova divulgação.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Grants são invalidados e ficha revisada.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FR-P30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Auditoria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Registrar ações críticas.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Consulta retorna ator, parte, ação e trace.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FR-P31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Notificação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Enviar mensagem sem teor sensível.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Should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E-mail contém apenas chamada para o portal.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FR-P32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Admin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Suspender usuário, caso ou organização.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Novas sessões e ações são bloqueadas.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FR-P33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Operação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Reprocessar DLQ idempotentemente.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Nenhum interesse/deal é duplicado.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FR-P34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Busca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Filtrar fichas dentro do escopo.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Should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Não há contagem ou dado global indevido.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FR-P35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Métricas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Medir funil sem expor participantes.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Should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Painel usa agregação mínima aprovada.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FR-P36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Compliance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Exportar relatório do experimento.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Decisão e evidências ficam reproduzíveis.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Apêndice B - Roteiro de demonstração</w:t>
      </w:r>
    </w:p>
    <w:p>
      <w:pPr>
        <w:numPr>
          <w:ilvl w:val="0"/>
          <w:numId w:val="12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Entrar como assessor do detentor e importar um passaporte sintético válido.</w:t>
      </w:r>
    </w:p>
    <w:p>
      <w:pPr>
        <w:numPr>
          <w:ilvl w:val="0"/>
          <w:numId w:val="12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Mostrar fingerprint, consentimento L1 e ficha sem identidade.</w:t>
      </w:r>
    </w:p>
    <w:p>
      <w:pPr>
        <w:numPr>
          <w:ilvl w:val="0"/>
          <w:numId w:val="12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Tentar importar o mesmo passaporte e demonstrar bloqueio de duplicidade.</w:t>
      </w:r>
    </w:p>
    <w:p>
      <w:pPr>
        <w:numPr>
          <w:ilvl w:val="0"/>
          <w:numId w:val="12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Entrar como destinatário, criar mandato compatível e outro incompatível.</w:t>
      </w:r>
    </w:p>
    <w:p>
      <w:pPr>
        <w:numPr>
          <w:ilvl w:val="0"/>
          <w:numId w:val="12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Executar matching e abrir gates, score, versão da regra e razões.</w:t>
      </w:r>
    </w:p>
    <w:p>
      <w:pPr>
        <w:numPr>
          <w:ilvl w:val="0"/>
          <w:numId w:val="12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Manifestar interesse por um lado e confirmar que a identidade segue oculta.</w:t>
      </w:r>
    </w:p>
    <w:p>
      <w:pPr>
        <w:numPr>
          <w:ilvl w:val="0"/>
          <w:numId w:val="12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Manifestar interesse pelo outro lado e criar negociação bilateral.</w:t>
      </w:r>
    </w:p>
    <w:p>
      <w:pPr>
        <w:numPr>
          <w:ilvl w:val="0"/>
          <w:numId w:val="12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Aceitar termos, liberar L4 e baixar documento com URL temporária/auditoria.</w:t>
      </w:r>
    </w:p>
    <w:p>
      <w:pPr>
        <w:numPr>
          <w:ilvl w:val="0"/>
          <w:numId w:val="12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Criar duas versões de proposta e selecionar a versão vigente.</w:t>
      </w:r>
    </w:p>
    <w:p>
      <w:pPr>
        <w:numPr>
          <w:ilvl w:val="0"/>
          <w:numId w:val="12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Simular dois selects concorrentes e comprovar que apenas um é aceito.</w:t>
      </w:r>
    </w:p>
    <w:p>
      <w:pPr>
        <w:numPr>
          <w:ilvl w:val="0"/>
          <w:numId w:val="12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Concluir checklist e exportar pacote com manifesto e avisos.</w:t>
      </w:r>
    </w:p>
    <w:p>
      <w:pPr>
        <w:numPr>
          <w:ilvl w:val="0"/>
          <w:numId w:val="12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Registrar atestação externa, revogar consentimento e verificar bloqueios.</w:t>
      </w:r>
    </w:p>
    <w:p>
      <w:pPr>
        <w:numPr>
          <w:ilvl w:val="0"/>
          <w:numId w:val="12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Abrir trilha completa e relatório das métricas do experimento.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Artefatos produzidos pela POC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Artefato</w:t>
            </w:r>
          </w:p>
        </w:tc>
        <w:tc>
          <w:tcPr>
            <w:tcW w:type="dxa" w:w="6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Protótipo navegável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Sessões observadas com participantes convidados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API e schemas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Validação da separação entre os dois produtos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Corpus/golden cases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Teste determinístico de gates e score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Threat model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Decisão sobre dados reais e piloto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Relatório de experimento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Métricas, feedback, riscos e decisão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Backlog de MVP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Somente se a POC atingir os gates definidos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Referências oficiais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/>
          <w:color w:val="5F6B76"/>
          <w:sz w:val="22"/>
        </w:rPr>
        <w:t>Fontes consultadas em 6 de setembro de 2026. Atos, limites de infraestrutura e disponibilidade de programas devem ser reconfirmados antes de cada piloto ou implantação.</w:t>
      </w:r>
    </w:p>
    <w:p>
      <w:pPr>
        <w:pStyle w:val="ListBullet"/>
        <w:spacing w:after="100" w:line="264" w:lineRule="auto"/>
        <w:ind w:left="720" w:hanging="360"/>
      </w:pPr>
      <w:hyperlink r:id="rId11">
        <w:r>
          <w:rPr>
            <w:rFonts w:ascii="Calibri" w:hAnsi="Calibri"/>
            <w:color w:val="2E74B5"/>
            <w:u w:val="single"/>
          </w:rPr>
          <w:t>SEFAZ-SP - Sobre o e-CredAc</w:t>
        </w:r>
      </w:hyperlink>
    </w:p>
    <w:p>
      <w:pPr>
        <w:pStyle w:val="ListBullet"/>
        <w:spacing w:after="100" w:line="264" w:lineRule="auto"/>
        <w:ind w:left="720" w:hanging="360"/>
      </w:pPr>
      <w:hyperlink r:id="rId12">
        <w:r>
          <w:rPr>
            <w:rFonts w:ascii="Calibri" w:hAnsi="Calibri"/>
            <w:color w:val="2E74B5"/>
            <w:u w:val="single"/>
          </w:rPr>
          <w:t>RICMS/SP - artigos 73 a 76</w:t>
        </w:r>
      </w:hyperlink>
    </w:p>
    <w:p>
      <w:pPr>
        <w:pStyle w:val="ListBullet"/>
        <w:spacing w:after="100" w:line="264" w:lineRule="auto"/>
        <w:ind w:left="720" w:hanging="360"/>
      </w:pPr>
      <w:hyperlink r:id="rId13">
        <w:r>
          <w:rPr>
            <w:rFonts w:ascii="Calibri" w:hAnsi="Calibri"/>
            <w:color w:val="2E74B5"/>
            <w:u w:val="single"/>
          </w:rPr>
          <w:t>RICMS/SP - artigos 82 a 84</w:t>
        </w:r>
      </w:hyperlink>
    </w:p>
    <w:p>
      <w:pPr>
        <w:pStyle w:val="ListBullet"/>
        <w:spacing w:after="100" w:line="264" w:lineRule="auto"/>
        <w:ind w:left="720" w:hanging="360"/>
      </w:pPr>
      <w:hyperlink r:id="rId14">
        <w:r>
          <w:rPr>
            <w:rFonts w:ascii="Calibri" w:hAnsi="Calibri"/>
            <w:color w:val="2E74B5"/>
            <w:u w:val="single"/>
          </w:rPr>
          <w:t>Portaria SRE 65/2023 consolidada</w:t>
        </w:r>
      </w:hyperlink>
    </w:p>
    <w:p>
      <w:pPr>
        <w:pStyle w:val="ListBullet"/>
        <w:spacing w:after="100" w:line="264" w:lineRule="auto"/>
        <w:ind w:left="720" w:hanging="360"/>
      </w:pPr>
      <w:hyperlink r:id="rId15">
        <w:r>
          <w:rPr>
            <w:rFonts w:ascii="Calibri" w:hAnsi="Calibri"/>
            <w:color w:val="2E74B5"/>
            <w:u w:val="single"/>
          </w:rPr>
          <w:t>SEFAZ-SP - Programa ProAtivo</w:t>
        </w:r>
      </w:hyperlink>
    </w:p>
    <w:p>
      <w:pPr>
        <w:pStyle w:val="ListBullet"/>
        <w:spacing w:after="100" w:line="264" w:lineRule="auto"/>
        <w:ind w:left="720" w:hanging="360"/>
      </w:pPr>
      <w:hyperlink r:id="rId16">
        <w:r>
          <w:rPr>
            <w:rFonts w:ascii="Calibri" w:hAnsi="Calibri"/>
            <w:color w:val="2E74B5"/>
            <w:u w:val="single"/>
          </w:rPr>
          <w:t>SEFAZ-SP - Resposta à Consulta 33404/2026</w:t>
        </w:r>
      </w:hyperlink>
    </w:p>
    <w:p>
      <w:pPr>
        <w:pStyle w:val="ListBullet"/>
        <w:spacing w:after="100" w:line="264" w:lineRule="auto"/>
        <w:ind w:left="720" w:hanging="360"/>
      </w:pPr>
      <w:hyperlink r:id="rId17">
        <w:r>
          <w:rPr>
            <w:rFonts w:ascii="Calibri" w:hAnsi="Calibri"/>
            <w:color w:val="2E74B5"/>
            <w:u w:val="single"/>
          </w:rPr>
          <w:t>Lei Geral de Proteção de Dados - texto compilado</w:t>
        </w:r>
      </w:hyperlink>
    </w:p>
    <w:p>
      <w:pPr>
        <w:pStyle w:val="ListBullet"/>
        <w:spacing w:after="100" w:line="264" w:lineRule="auto"/>
        <w:ind w:left="720" w:hanging="360"/>
      </w:pPr>
      <w:hyperlink r:id="rId18">
        <w:r>
          <w:rPr>
            <w:rFonts w:ascii="Calibri" w:hAnsi="Calibri"/>
            <w:color w:val="2E74B5"/>
            <w:u w:val="single"/>
          </w:rPr>
          <w:t>ANPD - Guia de agentes de tratamento e encarregado</w:t>
        </w:r>
      </w:hyperlink>
    </w:p>
    <w:p>
      <w:pPr>
        <w:pStyle w:val="ListBullet"/>
        <w:spacing w:after="100" w:line="264" w:lineRule="auto"/>
        <w:ind w:left="720" w:hanging="360"/>
      </w:pPr>
      <w:hyperlink r:id="rId19">
        <w:r>
          <w:rPr>
            <w:rFonts w:ascii="Calibri" w:hAnsi="Calibri"/>
            <w:color w:val="2E74B5"/>
            <w:u w:val="single"/>
          </w:rPr>
          <w:t>Lei 6.385/1976 - mercado de valores mobiliários</w:t>
        </w:r>
      </w:hyperlink>
    </w:p>
    <w:p>
      <w:pPr>
        <w:pStyle w:val="ListBullet"/>
        <w:spacing w:after="100" w:line="264" w:lineRule="auto"/>
        <w:ind w:left="720" w:hanging="360"/>
      </w:pPr>
      <w:hyperlink r:id="rId20">
        <w:r>
          <w:rPr>
            <w:rFonts w:ascii="Calibri" w:hAnsi="Calibri"/>
            <w:color w:val="2E74B5"/>
            <w:u w:val="single"/>
          </w:rPr>
          <w:t>Lei 12.529/2011 - defesa da concorrência</w:t>
        </w:r>
      </w:hyperlink>
    </w:p>
    <w:p>
      <w:pPr>
        <w:pStyle w:val="ListBullet"/>
        <w:spacing w:after="100" w:line="264" w:lineRule="auto"/>
        <w:ind w:left="720" w:hanging="360"/>
      </w:pPr>
      <w:hyperlink r:id="rId21">
        <w:r>
          <w:rPr>
            <w:rFonts w:ascii="Calibri" w:hAnsi="Calibri"/>
            <w:color w:val="2E74B5"/>
            <w:u w:val="single"/>
          </w:rPr>
          <w:t>Cloudflare Workers</w:t>
        </w:r>
      </w:hyperlink>
    </w:p>
    <w:p>
      <w:pPr>
        <w:pStyle w:val="ListBullet"/>
        <w:spacing w:after="100" w:line="264" w:lineRule="auto"/>
        <w:ind w:left="720" w:hanging="360"/>
      </w:pPr>
      <w:hyperlink r:id="rId22">
        <w:r>
          <w:rPr>
            <w:rFonts w:ascii="Calibri" w:hAnsi="Calibri"/>
            <w:color w:val="2E74B5"/>
            <w:u w:val="single"/>
          </w:rPr>
          <w:t>Cloudflare D1</w:t>
        </w:r>
      </w:hyperlink>
    </w:p>
    <w:p>
      <w:pPr>
        <w:pStyle w:val="ListBullet"/>
        <w:spacing w:after="100" w:line="264" w:lineRule="auto"/>
        <w:ind w:left="720" w:hanging="360"/>
      </w:pPr>
      <w:hyperlink r:id="rId23">
        <w:r>
          <w:rPr>
            <w:rFonts w:ascii="Calibri" w:hAnsi="Calibri"/>
            <w:color w:val="2E74B5"/>
            <w:u w:val="single"/>
          </w:rPr>
          <w:t>Cloudflare R2</w:t>
        </w:r>
      </w:hyperlink>
    </w:p>
    <w:p>
      <w:pPr>
        <w:pStyle w:val="ListBullet"/>
        <w:spacing w:after="100" w:line="264" w:lineRule="auto"/>
        <w:ind w:left="720" w:hanging="360"/>
      </w:pPr>
      <w:hyperlink r:id="rId24">
        <w:r>
          <w:rPr>
            <w:rFonts w:ascii="Calibri" w:hAnsi="Calibri"/>
            <w:color w:val="2E74B5"/>
            <w:u w:val="single"/>
          </w:rPr>
          <w:t>Cloudflare Queues</w:t>
        </w:r>
      </w:hyperlink>
    </w:p>
    <w:p>
      <w:pPr>
        <w:pStyle w:val="ListBullet"/>
        <w:spacing w:after="100" w:line="264" w:lineRule="auto"/>
        <w:ind w:left="720" w:hanging="360"/>
      </w:pPr>
      <w:hyperlink r:id="rId25">
        <w:r>
          <w:rPr>
            <w:rFonts w:ascii="Calibri" w:hAnsi="Calibri"/>
            <w:color w:val="2E74B5"/>
            <w:u w:val="single"/>
          </w:rPr>
          <w:t>Cloudflare Workflows</w:t>
        </w:r>
      </w:hyperlink>
    </w:p>
    <w:p>
      <w:pPr>
        <w:pStyle w:val="ListBullet"/>
        <w:spacing w:after="100" w:line="264" w:lineRule="auto"/>
        <w:ind w:left="720" w:hanging="360"/>
      </w:pPr>
      <w:hyperlink r:id="rId26">
        <w:r>
          <w:rPr>
            <w:rFonts w:ascii="Calibri" w:hAnsi="Calibri"/>
            <w:color w:val="2E74B5"/>
            <w:u w:val="single"/>
          </w:rPr>
          <w:t>Cloudflare Durable Objects</w:t>
        </w:r>
      </w:hyperlink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EDF7F2" w:val="clear"/>
            <w:tcBorders>
              <w:top w:val="nil" w:sz="0" w:space="0" w:color="EDF7F2"/>
              <w:start w:val="single" w:sz="24" w:space="0" w:color="215E45"/>
              <w:bottom w:val="nil" w:sz="0" w:space="0" w:color="EDF7F2"/>
              <w:end w:val="nil" w:sz="0" w:space="0" w:color="EDF7F2"/>
            </w:tcBorders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215E45"/>
                <w:sz w:val="18"/>
              </w:rPr>
              <w:t xml:space="preserve">PRÓXIMO PASSO  </w:t>
            </w:r>
            <w:r>
              <w:rPr>
                <w:rFonts w:ascii="Calibri" w:hAnsi="Calibri" w:eastAsia="Calibri"/>
                <w:color w:val="17212B"/>
                <w:sz w:val="21"/>
              </w:rPr>
              <w:t>Executar o Gate 0 com jurídico e fiscal. Se aprovado, converter OD-P01 a OD-P05 em decisões assinadas, congelar o corpus sintético e iniciar G1. A estimativa de cronograma e equipe deve vir depois dessas decisões.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F6B76"/>
        <w:sz w:val="17"/>
      </w:rPr>
      <w:t xml:space="preserve">Prova de conceito  |  Página </w:t>
    </w:r>
    <w:r>
      <w:rPr>
        <w:rFonts w:ascii="Calibri" w:hAnsi="Calibri" w:eastAsia="Calibri"/>
        <w:color w:val="5F6B7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  <w:tab w:pos="9360" w:val="left"/>
      </w:tabs>
      <w:spacing w:after="0"/>
    </w:pPr>
    <w:r>
      <w:rPr>
        <w:rFonts w:ascii="Calibri" w:hAnsi="Calibri" w:eastAsia="Calibri"/>
        <w:b/>
        <w:color w:val="5F6B76"/>
        <w:sz w:val="17"/>
      </w:rPr>
      <w:t>POC TÉCNICA | REDE DE CRÉDITOS FISCAIS</w:t>
    </w:r>
    <w:r>
      <w:rPr>
        <w:rFonts w:ascii="Calibri" w:hAnsi="Calibri" w:eastAsia="Calibri"/>
        <w:color w:val="5F6B76"/>
        <w:sz w:val="17"/>
      </w:rPr>
      <w:tab/>
      <w:t>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ortal.fazenda.sp.gov.br/servicos/credito-acumulado" TargetMode="External"/><Relationship Id="rId12" Type="http://schemas.openxmlformats.org/officeDocument/2006/relationships/hyperlink" Target="https://legislacao.fazenda.sp.gov.br/Paginas/art073.aspx" TargetMode="External"/><Relationship Id="rId13" Type="http://schemas.openxmlformats.org/officeDocument/2006/relationships/hyperlink" Target="https://legislacao.fazenda.sp.gov.br/Paginas/art082.aspx" TargetMode="External"/><Relationship Id="rId14" Type="http://schemas.openxmlformats.org/officeDocument/2006/relationships/hyperlink" Target="https://legislacao.fazenda.sp.gov.br/Paginas/Portaria-SRE-65-de-2023.aspx" TargetMode="External"/><Relationship Id="rId15" Type="http://schemas.openxmlformats.org/officeDocument/2006/relationships/hyperlink" Target="https://portal.fazenda.sp.gov.br/servicos/credito-acumulado/Paginas/ProAtivo.aspx" TargetMode="External"/><Relationship Id="rId16" Type="http://schemas.openxmlformats.org/officeDocument/2006/relationships/hyperlink" Target="https://legislacao.fazenda.sp.gov.br/Paginas/RC33404_2026.aspx" TargetMode="External"/><Relationship Id="rId17" Type="http://schemas.openxmlformats.org/officeDocument/2006/relationships/hyperlink" Target="https://www.planalto.gov.br/ccivil_03/_ato2015-2018/2018/lei/L13709compilado.htm" TargetMode="External"/><Relationship Id="rId18" Type="http://schemas.openxmlformats.org/officeDocument/2006/relationships/hyperlink" Target="https://www.gov.br/anpd/pt-br/centrais-de-conteudo/materiais-educativos-e-publicacoes/guia-orientativo-para-definicoes-dos-agentes-de-tratamento-de-dados-pessoais-e-do-encarregado" TargetMode="External"/><Relationship Id="rId19" Type="http://schemas.openxmlformats.org/officeDocument/2006/relationships/hyperlink" Target="https://www.planalto.gov.br/ccivil_03/leis/l6385.htm" TargetMode="External"/><Relationship Id="rId20" Type="http://schemas.openxmlformats.org/officeDocument/2006/relationships/hyperlink" Target="https://www.planalto.gov.br/ccivil_03/_ato2011-2014/2011/lei/l12529.htm" TargetMode="External"/><Relationship Id="rId21" Type="http://schemas.openxmlformats.org/officeDocument/2006/relationships/hyperlink" Target="https://developers.cloudflare.com/workers/" TargetMode="External"/><Relationship Id="rId22" Type="http://schemas.openxmlformats.org/officeDocument/2006/relationships/hyperlink" Target="https://developers.cloudflare.com/d1/" TargetMode="External"/><Relationship Id="rId23" Type="http://schemas.openxmlformats.org/officeDocument/2006/relationships/hyperlink" Target="https://developers.cloudflare.com/r2/" TargetMode="External"/><Relationship Id="rId24" Type="http://schemas.openxmlformats.org/officeDocument/2006/relationships/hyperlink" Target="https://developers.cloudflare.com/queues/" TargetMode="External"/><Relationship Id="rId25" Type="http://schemas.openxmlformats.org/officeDocument/2006/relationships/hyperlink" Target="https://developers.cloudflare.com/workflows/" TargetMode="External"/><Relationship Id="rId26" Type="http://schemas.openxmlformats.org/officeDocument/2006/relationships/hyperlink" Target="https://developers.cloudflare.com/durable-objec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 Técnica - Rede Privada de Oportunidades de Créditos Fiscais</dc:title>
  <dc:subject>POC de descoberta, pré-qualificação, matching e diligência bilateral</dc:subject>
  <dc:creator/>
  <cp:keywords>crédito fiscal, ICMS, marketplace privado, matching, e-CredAc, Cloudflare, POC</cp:keywords>
  <dc:description>Versão 0.1 - prova de conceito; não executa transferência ou liquidação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