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7777777" w:rsidR="00FC2852" w:rsidRDefault="00FC2852" w:rsidP="00FC2852">
      <w:pPr>
        <w:pStyle w:val="Heading1"/>
      </w:pPr>
      <w:r>
        <w:t>C</w:t>
      </w:r>
      <w:r w:rsidR="00450334">
        <w:t>ivet</w:t>
      </w:r>
      <w:r>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77777777"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7777777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proofErr w:type="gramStart"/>
      <w:r>
        <w:t>space separated</w:t>
      </w:r>
      <w:proofErr w:type="gramEnd"/>
      <w:r>
        <w:t xml:space="preserve"> list.</w:t>
      </w:r>
    </w:p>
    <w:p w14:paraId="024D2C08" w14:textId="77777777"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BBBAE23" w14:textId="77777777"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15AE2D22" w14:textId="77777777"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77777777"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p>
    <w:p w14:paraId="48EA1AB5" w14:textId="77777777"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14:paraId="580F70C3" w14:textId="77777777"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7777777"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77777777"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27715A81" w14:textId="77777777"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14:paraId="42A9DFCE" w14:textId="77777777"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14:paraId="09FBAC9E" w14:textId="77777777"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bookmarkStart w:id="0" w:name="_GoBack"/>
      <w:bookmarkEnd w:id="0"/>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626D5"/>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536B"/>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BF966-B90C-9F4D-B8FA-22879B8CB521}">
  <ds:schemaRefs>
    <ds:schemaRef ds:uri="http://schemas.openxmlformats.org/officeDocument/2006/bibliography"/>
  </ds:schemaRefs>
</ds:datastoreItem>
</file>

<file path=customXml/itemProps2.xml><?xml version="1.0" encoding="utf-8"?>
<ds:datastoreItem xmlns:ds="http://schemas.openxmlformats.org/officeDocument/2006/customXml" ds:itemID="{18D8954D-BD18-BB44-8B0C-ACF33CDE7162}">
  <ds:schemaRefs>
    <ds:schemaRef ds:uri="http://schemas.openxmlformats.org/officeDocument/2006/bibliography"/>
  </ds:schemaRefs>
</ds:datastoreItem>
</file>

<file path=customXml/itemProps3.xml><?xml version="1.0" encoding="utf-8"?>
<ds:datastoreItem xmlns:ds="http://schemas.openxmlformats.org/officeDocument/2006/customXml" ds:itemID="{070CBFC4-BC72-E44C-8F9A-56470A466999}">
  <ds:schemaRefs>
    <ds:schemaRef ds:uri="http://schemas.openxmlformats.org/officeDocument/2006/bibliography"/>
  </ds:schemaRefs>
</ds:datastoreItem>
</file>

<file path=customXml/itemProps4.xml><?xml version="1.0" encoding="utf-8"?>
<ds:datastoreItem xmlns:ds="http://schemas.openxmlformats.org/officeDocument/2006/customXml" ds:itemID="{640B49DA-563C-154C-9ACD-F4AF305D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10325</TotalTime>
  <Pages>11</Pages>
  <Words>3239</Words>
  <Characters>18466</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16</cp:revision>
  <dcterms:created xsi:type="dcterms:W3CDTF">2013-01-16T18:29:00Z</dcterms:created>
  <dcterms:modified xsi:type="dcterms:W3CDTF">2014-03-25T16:13:00Z</dcterms:modified>
</cp:coreProperties>
</file>