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0F2141"/>
          <w:sz w:val="40"/>
        </w:rPr>
        <w:t>MLIR NPU Compiler - Lecture 03 Worksheet</w:t>
      </w:r>
    </w:p>
    <w:p>
      <w:pPr>
        <w:spacing w:after="80"/>
      </w:pPr>
      <w:r>
        <w:rPr>
          <w:rFonts w:ascii="NanumGothic" w:hAnsi="NanumGothic" w:eastAsia="NanumGothic"/>
          <w:b w:val="0"/>
          <w:color w:val="323232"/>
          <w:sz w:val="22"/>
        </w:rPr>
        <w:t>주제: Region과 Block을 읽고 NPU command region pseudo IR을 설계합니다.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Exercise A. Region/Block Annotation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아래 MLIR snippet에서 Operation, Region, Block, Block Argument, Terminator를 표시하세요.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func.func @copy(%A: memref&lt;1024xf32&gt;, %B: memref&lt;1024xf32&gt;) {</w:t>
              <w:br/>
              <w:t xml:space="preserve">  %c0 = arith.constant 0 : index</w:t>
              <w:br/>
              <w:t xml:space="preserve">  %c1 = arith.constant 1 : index</w:t>
              <w:br/>
              <w:t xml:space="preserve">  %c1024 = arith.constant 1024 : index</w:t>
              <w:br/>
              <w:t xml:space="preserve">  scf.for %i = %c0 to %c1024 step %c1 {</w:t>
              <w:br/>
              <w:t xml:space="preserve">    %x = memref.load %A[%i] : memref&lt;1024xf32&gt;</w:t>
              <w:br/>
              <w:t xml:space="preserve">    memref.store %x, %B[%i] : memref&lt;1024xf32&gt;</w:t>
              <w:br/>
              <w:t xml:space="preserve">  }</w:t>
              <w:br/>
              <w:t xml:space="preserve">  return</w:t>
              <w:br/>
              <w:t>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찾은 위치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  <w:t>Region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  <w:t>Block argument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  <w:t>Terminator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  <w:t>Nested operation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8"/>
              </w:rPr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Exercise B. Block Argument Merge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아래 CFG에서 ^merge(%x : i32)의 %x가 어떤 값에서 올 수 있는지 설명하세요.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cf.cond_br %cond, ^then, ^else</w:t>
              <w:br/>
              <w:t>^then:</w:t>
              <w:br/>
              <w:t xml:space="preserve">  %a = arith.constant 1 : i32</w:t>
              <w:br/>
              <w:t xml:space="preserve">  cf.br ^merge(%a : i32)</w:t>
              <w:br/>
              <w:t>^else:</w:t>
              <w:br/>
              <w:t xml:space="preserve">  %b = arith.constant 2 : i32</w:t>
              <w:br/>
              <w:t xml:space="preserve">  cf.br ^merge(%b : i32)</w:t>
              <w:br/>
              <w:t>^merge(%x : i32):</w:t>
              <w:br/>
              <w:t xml:space="preserve">  scf.yield %x : i32</w:t>
            </w:r>
          </w:p>
        </w:tc>
      </w:tr>
    </w:tbl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답안: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18"/>
        </w:rPr>
        <w:t>____________________________________________________________________________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18"/>
        </w:rPr>
        <w:t>____________________________________________________________________________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18"/>
        </w:rPr>
        <w:t>____________________________________________________________________________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18"/>
        </w:rPr>
        <w:t>____________________________________________________________________________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18"/>
        </w:rPr>
        <w:t>____________________________________________________________________________</w:t>
      </w:r>
    </w:p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Exercise C. NPU Command Region Design</w:t>
      </w:r>
    </w:p>
    <w:p>
      <w:pPr>
        <w:spacing w:after="80"/>
      </w:pPr>
      <w:r>
        <w:rPr>
          <w:rFonts w:ascii="NanumGothic" w:hAnsi="NanumGothic" w:eastAsia="NanumGothic"/>
          <w:b w:val="0"/>
          <w:color w:val="191919"/>
          <w:sz w:val="21"/>
        </w:rPr>
        <w:t>MatMul tile 하나에 대해 pseudo npu.command_buffer region을 작성하세요. 최소 요구 사항: DMA A, DMA B, await/barrier, matmul, requant/relu, DMA store, yield.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</w:tcPr>
          <w:p>
            <w:pPr>
              <w:spacing w:before="60" w:after="60"/>
            </w:pPr>
            <w:r>
              <w:rPr>
                <w:rFonts w:ascii="NanumGothicCoding" w:hAnsi="NanumGothicCoding" w:eastAsia="NanumGothicCoding"/>
                <w:b w:val="0"/>
                <w:color w:val="141414"/>
                <w:sz w:val="16"/>
              </w:rPr>
              <w:t>"npu.command_buffer"() ({</w:t>
              <w:br/>
              <w:t>^entry(%A: !npu.tensor_desc, %B: !npu.tensor_desc, %C: !npu.tensor_desc):</w:t>
              <w:br/>
              <w:t xml:space="preserve">  // TODO: DMA A tile DRAM -&gt; SRAM</w:t>
              <w:br/>
              <w:t xml:space="preserve">  // TODO: DMA B tile DRAM -&gt; SRAM</w:t>
              <w:br/>
              <w:t xml:space="preserve">  // TODO: await tokens</w:t>
              <w:br/>
              <w:t xml:space="preserve">  // TODO: matmul</w:t>
              <w:br/>
              <w:t xml:space="preserve">  // TODO: requant/relu</w:t>
              <w:br/>
              <w:t xml:space="preserve">  // TODO: DMA output SRAM -&gt; DRAM</w:t>
              <w:br/>
              <w:t xml:space="preserve">  // TODO: terminator</w:t>
              <w:br/>
              <w:t>}) : () -&gt; ()</w:t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Exercise D. Verifier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030A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456"/>
            <w:shd w:fill="7030A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Pass/Fail</w:t>
            </w:r>
          </w:p>
        </w:tc>
        <w:tc>
          <w:tcPr>
            <w:tcW w:type="dxa" w:w="3456"/>
            <w:shd w:fill="7030A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Every block has a terminator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Block argument types match branch operands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DMA tokens are awaited before compute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SRAM/ACC views do not escape illegally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Compile-time metadata is encoded as attributes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</w:tr>
      <w:tr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  <w:t>Command order is deterministic</w:t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  <w:tc>
          <w:tcPr>
            <w:tcW w:type="dxa" w:w="3456"/>
            <w:shd w:fill="FFFFFF"/>
          </w:tcPr>
          <w:p>
            <w:r/>
            <w:r>
              <w:rPr>
                <w:rFonts w:ascii="NanumGothic" w:hAnsi="NanumGothic" w:eastAsia="NanumGothic"/>
                <w:b w:val="0"/>
                <w:color w:val="141414"/>
                <w:sz w:val="17"/>
              </w:rPr>
            </w:r>
          </w:p>
        </w:tc>
      </w:tr>
    </w:tbl>
    <w:p>
      <w:pPr>
        <w:pStyle w:val="Heading1"/>
      </w:pPr>
      <w:r/>
      <w:r>
        <w:rPr>
          <w:rFonts w:ascii="NanumGothic" w:hAnsi="NanumGothic" w:eastAsia="NanumGothic"/>
          <w:b/>
          <w:color w:val="0F2141"/>
          <w:sz w:val="36"/>
        </w:rPr>
        <w:t>Instructor Notes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학생이 region 자체가 semantics를 정한다고 오해하면 parent operation이 semantics를 정한다는 점을 다시 강조하세요.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Block argument는 phi node를 쓰지 않는 MLIR의 핵심 표현입니다.</w:t>
      </w:r>
    </w:p>
    <w:p>
      <w:pPr>
        <w:pStyle w:val="ListBullet"/>
        <w:spacing w:after="40"/>
      </w:pPr>
      <w:r>
        <w:rPr>
          <w:rFonts w:ascii="NanumGothic" w:hAnsi="NanumGothic" w:eastAsia="NanumGothic"/>
          <w:b w:val="0"/>
          <w:color w:val="191919"/>
          <w:sz w:val="20"/>
        </w:rPr>
        <w:t>NPU pseudo IR에서는 token, memory space, terminator 세 가지가 빠지기 쉽습니다.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Gothic" w:hAnsi="NanumGothic" w:eastAsia="NanumGothic"/>
        <w:b w:val="0"/>
        <w:color w:val="5A5A5A"/>
        <w:sz w:val="16"/>
      </w:rPr>
      <w:t>Generated lecture material for AI/NPU compiler study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Gothic" w:hAnsi="NanumGothic" w:eastAsia="NanumGothic"/>
        <w:b w:val="0"/>
        <w:color w:val="5A5A5A"/>
        <w:sz w:val="16"/>
      </w:rPr>
      <w:t>MLIR NPU Compiler - Lecture 03 | Region and Block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