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i w:val="0"/>
          <w:color w:val="22407A"/>
          <w:sz w:val="40"/>
        </w:rPr>
        <w:t>MLIR NPU Lecture 09 Worksheet</w:t>
      </w:r>
    </w:p>
    <w:p>
      <w:r>
        <w:t>목표: MatMul+Bias+ReLU를 NPU runtime ABI까지 낮추기 위한 pass pipeline 초안을 작성한다.</w:t>
      </w:r>
    </w:p>
    <w:p>
      <w:pPr>
        <w:pStyle w:val="Heading1"/>
      </w:pPr>
      <w:r>
        <w:t>Part A - Pass Pipeline Annotation</w:t>
      </w:r>
    </w:p>
    <w:p>
      <w:pPr>
        <w:pStyle w:val="CodeBlock"/>
        <w:spacing w:after="80"/>
      </w:pPr>
      <w:r>
        <w:rPr>
          <w:rFonts w:ascii="NanumGothicCoding" w:hAnsi="NanumGothicCoding" w:eastAsia="NanumGothicCoding"/>
          <w:sz w:val="16"/>
        </w:rPr>
        <w:t>builtin.module(</w:t>
        <w:br/>
      </w:r>
      <w:r>
        <w:rPr>
          <w:rFonts w:ascii="NanumGothicCoding" w:hAnsi="NanumGothicCoding" w:eastAsia="NanumGothicCoding"/>
          <w:sz w:val="16"/>
        </w:rPr>
        <w:t xml:space="preserve">  canonicalize,cse,</w:t>
        <w:br/>
      </w:r>
      <w:r>
        <w:rPr>
          <w:rFonts w:ascii="NanumGothicCoding" w:hAnsi="NanumGothicCoding" w:eastAsia="NanumGothicCoding"/>
          <w:sz w:val="16"/>
        </w:rPr>
        <w:t xml:space="preserve">  func.func(npu-decompose-composites,npu-fuse-matmul-epilogue),</w:t>
        <w:br/>
      </w:r>
      <w:r>
        <w:rPr>
          <w:rFonts w:ascii="NanumGothicCoding" w:hAnsi="NanumGothicCoding" w:eastAsia="NanumGothicCoding"/>
          <w:sz w:val="16"/>
        </w:rPr>
        <w:t xml:space="preserve">  npu-infer-layout,</w:t>
        <w:br/>
      </w:r>
      <w:r>
        <w:rPr>
          <w:rFonts w:ascii="NanumGothicCoding" w:hAnsi="NanumGothicCoding" w:eastAsia="NanumGothicCoding"/>
          <w:sz w:val="16"/>
        </w:rPr>
        <w:t xml:space="preserve">  npu-tile-linalg{tile-m=64 tile-n=128 tile-k=32},</w:t>
        <w:br/>
      </w:r>
      <w:r>
        <w:rPr>
          <w:rFonts w:ascii="NanumGothicCoding" w:hAnsi="NanumGothicCoding" w:eastAsia="NanumGothicCoding"/>
          <w:sz w:val="16"/>
        </w:rPr>
        <w:t xml:space="preserve">  one-shot-bufferize,</w:t>
        <w:br/>
      </w:r>
      <w:r>
        <w:rPr>
          <w:rFonts w:ascii="NanumGothicCoding" w:hAnsi="NanumGothicCoding" w:eastAsia="NanumGothicCoding"/>
          <w:sz w:val="16"/>
        </w:rPr>
        <w:t xml:space="preserve">  npu-assign-memory-space{sram-kb=512},</w:t>
        <w:br/>
      </w:r>
      <w:r>
        <w:rPr>
          <w:rFonts w:ascii="NanumGothicCoding" w:hAnsi="NanumGothicCoding" w:eastAsia="NanumGothicCoding"/>
          <w:sz w:val="16"/>
        </w:rPr>
        <w:t xml:space="preserve">  npu-insert-dma{double-buffer=true},</w:t>
        <w:br/>
      </w:r>
      <w:r>
        <w:rPr>
          <w:rFonts w:ascii="NanumGothicCoding" w:hAnsi="NanumGothicCoding" w:eastAsia="NanumGothicCoding"/>
          <w:sz w:val="16"/>
        </w:rPr>
        <w:t xml:space="preserve">  npu-place-barriers,</w:t>
        <w:br/>
      </w:r>
      <w:r>
        <w:rPr>
          <w:rFonts w:ascii="NanumGothicCoding" w:hAnsi="NanumGothicCoding" w:eastAsia="NanumGothicCoding"/>
          <w:sz w:val="16"/>
        </w:rPr>
        <w:t xml:space="preserve">  npu-emit-runtime-abi{abi-version=1}</w:t>
        <w:br/>
      </w:r>
      <w:r>
        <w:rPr>
          <w:rFonts w:ascii="NanumGothicCoding" w:hAnsi="NanumGothicCoding" w:eastAsia="NanumGothicCoding"/>
          <w:sz w:val="16"/>
        </w:rPr>
        <w:t>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Pass</w:t>
            </w:r>
          </w:p>
        </w:tc>
        <w:tc>
          <w:tcPr>
            <w:tcW w:type="dxa" w:w="2074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Anchor</w:t>
            </w:r>
          </w:p>
        </w:tc>
        <w:tc>
          <w:tcPr>
            <w:tcW w:type="dxa" w:w="2074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Input dialect</w:t>
            </w:r>
          </w:p>
        </w:tc>
        <w:tc>
          <w:tcPr>
            <w:tcW w:type="dxa" w:w="2074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Output dialect</w:t>
            </w:r>
          </w:p>
        </w:tc>
        <w:tc>
          <w:tcPr>
            <w:tcW w:type="dxa" w:w="2074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Why here?</w:t>
            </w:r>
          </w:p>
        </w:tc>
      </w:tr>
      <w:tr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07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t>Part B - Pass Skeleton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Item</w:t>
            </w:r>
          </w:p>
        </w:tc>
        <w:tc>
          <w:tcPr>
            <w:tcW w:type="dxa" w:w="3456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Answer</w:t>
            </w:r>
          </w:p>
        </w:tc>
        <w:tc>
          <w:tcPr>
            <w:tcW w:type="dxa" w:w="3456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Pass argument name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Operation anchor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Dependent dialects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Options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Statistics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Required analyses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Failure conditions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Preserved analyses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t>Part C - NPU Lowering Pipeline Draft</w:t>
      </w:r>
    </w:p>
    <w:p>
      <w:r>
        <w:rPr>
          <w:rFonts w:ascii="Noto Sans CJK KR" w:hAnsi="Noto Sans CJK KR" w:eastAsia="Noto Sans CJK KR"/>
          <w:b w:val="0"/>
          <w:i w:val="0"/>
        </w:rPr>
        <w:t>아래 표를 채우세요. Pass는 최소 8개 이상 작성합니다.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#</w:t>
            </w:r>
          </w:p>
        </w:tc>
        <w:tc>
          <w:tcPr>
            <w:tcW w:type="dxa" w:w="1481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Pass</w:t>
            </w:r>
          </w:p>
        </w:tc>
        <w:tc>
          <w:tcPr>
            <w:tcW w:type="dxa" w:w="1481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Anchor</w:t>
            </w:r>
          </w:p>
        </w:tc>
        <w:tc>
          <w:tcPr>
            <w:tcW w:type="dxa" w:w="1481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Input -&gt; Output</w:t>
            </w:r>
          </w:p>
        </w:tc>
        <w:tc>
          <w:tcPr>
            <w:tcW w:type="dxa" w:w="1481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Analysis</w:t>
            </w:r>
          </w:p>
        </w:tc>
        <w:tc>
          <w:tcPr>
            <w:tcW w:type="dxa" w:w="1481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Failure condition</w:t>
            </w:r>
          </w:p>
        </w:tc>
        <w:tc>
          <w:tcPr>
            <w:tcW w:type="dxa" w:w="1481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FileCheck strategy</w:t>
            </w:r>
          </w:p>
        </w:tc>
      </w:tr>
      <w:tr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</w:t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</w:tr>
      <w:tr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2</w:t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</w:tr>
      <w:tr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</w:t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</w:tr>
      <w:tr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4</w:t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</w:tr>
      <w:tr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5</w:t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</w:tr>
      <w:tr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6</w:t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</w:tr>
      <w:tr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7</w:t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</w:tr>
      <w:tr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8</w:t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</w:tr>
      <w:tr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9</w:t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</w:tr>
      <w:tr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10</w:t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</w:tr>
      <w:tr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11</w:t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</w:tr>
      <w:tr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12</w:t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1481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</w:tr>
    </w:tbl>
    <w:p>
      <w:pPr>
        <w:pStyle w:val="Heading1"/>
      </w:pPr>
      <w:r>
        <w:t>Part D - Reflection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i w:val="0"/>
        </w:rPr>
        <w:t>Graph fusion을 bufferization 이후가 아니라 이전에 하는 이유는 무엇인가?</w:t>
      </w:r>
    </w:p>
    <w:p>
      <w:r>
        <w:br/>
        <w:br/>
      </w:r>
    </w:p>
    <w:p>
      <w:pPr>
        <w:pStyle w:val="ListNumber"/>
      </w:pPr>
      <w:r>
        <w:rPr>
          <w:rFonts w:ascii="Noto Sans CJK KR" w:hAnsi="Noto Sans CJK KR" w:eastAsia="Noto Sans CJK KR"/>
          <w:b w:val="0"/>
          <w:i w:val="0"/>
        </w:rPr>
        <w:t>Tile size pass가 필요로 하는 target information은 무엇인가?</w:t>
      </w:r>
    </w:p>
    <w:p>
      <w:r>
        <w:br/>
        <w:br/>
      </w:r>
    </w:p>
    <w:p>
      <w:pPr>
        <w:pStyle w:val="ListNumber"/>
      </w:pPr>
      <w:r>
        <w:rPr>
          <w:rFonts w:ascii="Noto Sans CJK KR" w:hAnsi="Noto Sans CJK KR" w:eastAsia="Noto Sans CJK KR"/>
          <w:b w:val="0"/>
          <w:i w:val="0"/>
        </w:rPr>
        <w:t>DMA/barrier scheduling pass의 negative test는 어떤 형태가 되어야 하는가?</w:t>
      </w:r>
    </w:p>
    <w:p>
      <w:r>
        <w:br/>
        <w:br/>
      </w:r>
    </w:p>
    <w:p>
      <w:pPr>
        <w:pStyle w:val="ListNumber"/>
      </w:pPr>
      <w:r>
        <w:rPr>
          <w:rFonts w:ascii="Noto Sans CJK KR" w:hAnsi="Noto Sans CJK KR" w:eastAsia="Noto Sans CJK KR"/>
          <w:b w:val="0"/>
          <w:i w:val="0"/>
        </w:rPr>
        <w:t>Pass statistics로 성능 regression을 잡으려면 어떤 counter가 필요한가?</w:t>
      </w:r>
    </w:p>
    <w:p>
      <w:r>
        <w:br/>
        <w:br/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16" w:right="144"/>
    </w:pPr>
    <w:rPr>
      <w:rFonts w:ascii="NanumGothicCoding" w:hAnsi="NanumGothicCoding" w:eastAsia="NanumGothic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