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458"/>
          <w:sz w:val="44"/>
        </w:rPr>
        <w:t>12강 - Bufferization: tensor -&gt; memref, alias/lifetime 분석</w:t>
      </w:r>
    </w:p>
    <w:p>
      <w:pPr>
        <w:jc w:val="center"/>
      </w:pPr>
      <w:r>
        <w:rPr>
          <w:color w:val="5A646E"/>
          <w:sz w:val="24"/>
        </w:rPr>
        <w:t>AI/NPU Compiler를 위한 MLIR 기초 - 20강 과정 중 12강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2_Bufferization_Bound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강의 목표</w:t>
      </w:r>
    </w:p>
    <w:p>
      <w:pPr>
        <w:pStyle w:val="ListBullet"/>
        <w:spacing w:after="40"/>
      </w:pPr>
      <w:r>
        <w:t>Bufferization을 tensor semantic에서 memref/memory planning으로 넘어가는 compiler boundary로 이해한다.</w:t>
      </w:r>
    </w:p>
    <w:p>
      <w:pPr>
        <w:pStyle w:val="ListBullet"/>
        <w:spacing w:after="40"/>
      </w:pPr>
      <w:r>
        <w:t>One-Shot Bufferize의 analysis -&gt; rewrite 구조와 BufferizableOpInterface의 역할을 설명한다.</w:t>
      </w:r>
    </w:p>
    <w:p>
      <w:pPr>
        <w:pStyle w:val="ListBullet"/>
        <w:spacing w:after="40"/>
      </w:pPr>
      <w:r>
        <w:t>Destination-Passing Style(DPS), outs operand, in-place bufferization, RaW conflict를 NPU 관점으로 해석한다.</w:t>
      </w:r>
    </w:p>
    <w:p>
      <w:pPr>
        <w:pStyle w:val="ListBullet"/>
        <w:spacing w:after="40"/>
      </w:pPr>
      <w:r>
        <w:t>NPU SRAM/DRAM/accumulator memory planning을 위한 alias/lifetime 분석 체크리스트를 작성한다.</w:t>
      </w:r>
    </w:p>
    <w:p>
      <w:pPr>
        <w:pStyle w:val="Heading1"/>
      </w:pPr>
      <w:r>
        <w:t>2. 왜 NPU Compiler에서 Bufferization이 중요한가?</w:t>
      </w:r>
    </w:p>
    <w:p>
      <w:r>
        <w:t>NPU compiler에서 bufferization은 단순히 자료형을 tensor에서 memref로 바꾸는 pass가 아닙니다. 이 단계 이후부터 compiler는 실제 storage, copy, lifetime, memory space, runtime ABI를 책임져야 합니다. 따라서 bufferization은 성능과 correctness를 동시에 결정하는 경계입니다.</w:t>
      </w:r>
    </w:p>
    <w:p>
      <w:pPr>
        <w:pStyle w:val="ListBullet"/>
        <w:spacing w:after="40"/>
      </w:pPr>
      <w:r>
        <w:t>tensor 단계: immutable SSA value로 표현되어 fusion, tiling, canonicalization, algebraic rewrite가 쉽다.</w:t>
      </w:r>
    </w:p>
    <w:p>
      <w:pPr>
        <w:pStyle w:val="ListBullet"/>
        <w:spacing w:after="40"/>
      </w:pPr>
      <w:r>
        <w:t>memref 단계: mutable buffer reference가 등장하며 layout, memory space, alias, lifetime, allocation/deallocation이 드러난다.</w:t>
      </w:r>
    </w:p>
    <w:p>
      <w:pPr>
        <w:pStyle w:val="ListBullet"/>
        <w:spacing w:after="40"/>
      </w:pPr>
      <w:r>
        <w:t>NPU 단계: copy 수, peak live bytes, SRAM tile footprint, DRAM traffic, command buffer descriptor가 결정된다.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shd w:fill="D9EAF7"/>
          </w:tcPr>
          <w:p>
            <w:r>
              <w:rPr>
                <w:b/>
              </w:rPr>
              <w:t>관점</w:t>
            </w:r>
          </w:p>
        </w:tc>
        <w:tc>
          <w:tcPr>
            <w:tcW w:type="dxa" w:w="2304"/>
            <w:shd w:fill="D9EAF7"/>
          </w:tcPr>
          <w:p>
            <w:r>
              <w:rPr>
                <w:b/>
              </w:rPr>
              <w:t>Tensor land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</w:rPr>
              <w:t>MemRef land</w:t>
            </w:r>
          </w:p>
        </w:tc>
        <w:tc>
          <w:tcPr>
            <w:tcW w:type="dxa" w:w="3168"/>
            <w:shd w:fill="D9EAF7"/>
          </w:tcPr>
          <w:p>
            <w:r>
              <w:rPr>
                <w:b/>
              </w:rPr>
              <w:t>NPU compiler 의미</w:t>
            </w:r>
          </w:p>
        </w:tc>
      </w:tr>
      <w:tr>
        <w:tc>
          <w:tcPr>
            <w:tcW w:type="dxa" w:w="1728"/>
            <w:vAlign w:val="top"/>
          </w:tcPr>
          <w:p>
            <w:r>
              <w:t>주요 의미</w:t>
            </w:r>
          </w:p>
        </w:tc>
        <w:tc>
          <w:tcPr>
            <w:tcW w:type="dxa" w:w="2304"/>
            <w:vAlign w:val="top"/>
          </w:tcPr>
          <w:p>
            <w:r>
              <w:t>값 중심 immutable SSA</w:t>
            </w:r>
          </w:p>
        </w:tc>
        <w:tc>
          <w:tcPr>
            <w:tcW w:type="dxa" w:w="2448"/>
            <w:vAlign w:val="top"/>
          </w:tcPr>
          <w:p>
            <w:r>
              <w:t>storage 중심 mutable buffer</w:t>
            </w:r>
          </w:p>
        </w:tc>
        <w:tc>
          <w:tcPr>
            <w:tcW w:type="dxa" w:w="3168"/>
            <w:vAlign w:val="top"/>
          </w:tcPr>
          <w:p>
            <w:r>
              <w:t>abstract tensor가 physical storage obligation으로 변환</w:t>
            </w:r>
          </w:p>
        </w:tc>
      </w:tr>
      <w:tr>
        <w:tc>
          <w:tcPr>
            <w:tcW w:type="dxa" w:w="1728"/>
            <w:vAlign w:val="top"/>
          </w:tcPr>
          <w:p>
            <w:r>
              <w:t>최적화</w:t>
            </w:r>
          </w:p>
        </w:tc>
        <w:tc>
          <w:tcPr>
            <w:tcW w:type="dxa" w:w="2304"/>
            <w:vAlign w:val="top"/>
          </w:tcPr>
          <w:p>
            <w:r>
              <w:t>fusion, tiling, canonicalization</w:t>
            </w:r>
          </w:p>
        </w:tc>
        <w:tc>
          <w:tcPr>
            <w:tcW w:type="dxa" w:w="2448"/>
            <w:vAlign w:val="top"/>
          </w:tcPr>
          <w:p>
            <w:r>
              <w:t>allocation hoisting, deallocation, copy cleanup</w:t>
            </w:r>
          </w:p>
        </w:tc>
        <w:tc>
          <w:tcPr>
            <w:tcW w:type="dxa" w:w="3168"/>
            <w:vAlign w:val="top"/>
          </w:tcPr>
          <w:p>
            <w:r>
              <w:t>copy traffic와 SRAM footprint를 줄이는 단계</w:t>
            </w:r>
          </w:p>
        </w:tc>
      </w:tr>
      <w:tr>
        <w:tc>
          <w:tcPr>
            <w:tcW w:type="dxa" w:w="1728"/>
            <w:vAlign w:val="top"/>
          </w:tcPr>
          <w:p>
            <w:r>
              <w:t>오류 위험</w:t>
            </w:r>
          </w:p>
        </w:tc>
        <w:tc>
          <w:tcPr>
            <w:tcW w:type="dxa" w:w="2304"/>
            <w:vAlign w:val="top"/>
          </w:tcPr>
          <w:p>
            <w:r>
              <w:t>semantic mismatch</w:t>
            </w:r>
          </w:p>
        </w:tc>
        <w:tc>
          <w:tcPr>
            <w:tcW w:type="dxa" w:w="2448"/>
            <w:vAlign w:val="top"/>
          </w:tcPr>
          <w:p>
            <w:r>
              <w:t>alias/copy/lifetime 오류</w:t>
            </w:r>
          </w:p>
        </w:tc>
        <w:tc>
          <w:tcPr>
            <w:tcW w:type="dxa" w:w="3168"/>
            <w:vAlign w:val="top"/>
          </w:tcPr>
          <w:p>
            <w:r>
              <w:t>in-place corruption, DMA hazard, ABI mismatch</w:t>
            </w:r>
          </w:p>
        </w:tc>
      </w:tr>
      <w:tr>
        <w:tc>
          <w:tcPr>
            <w:tcW w:type="dxa" w:w="1728"/>
            <w:vAlign w:val="top"/>
          </w:tcPr>
          <w:p>
            <w:r>
              <w:t>주요 IR</w:t>
            </w:r>
          </w:p>
        </w:tc>
        <w:tc>
          <w:tcPr>
            <w:tcW w:type="dxa" w:w="2304"/>
            <w:vAlign w:val="top"/>
          </w:tcPr>
          <w:p>
            <w:r>
              <w:t>tensor, linalg-on-tensors</w:t>
            </w:r>
          </w:p>
        </w:tc>
        <w:tc>
          <w:tcPr>
            <w:tcW w:type="dxa" w:w="2448"/>
            <w:vAlign w:val="top"/>
          </w:tcPr>
          <w:p>
            <w:r>
              <w:t>memref, linalg-on-buffers, bufferization</w:t>
            </w:r>
          </w:p>
        </w:tc>
        <w:tc>
          <w:tcPr>
            <w:tcW w:type="dxa" w:w="3168"/>
            <w:vAlign w:val="top"/>
          </w:tcPr>
          <w:p>
            <w:r>
              <w:t>npu_kernel, npu_rt, command buffer</w:t>
            </w:r>
          </w:p>
        </w:tc>
      </w:tr>
    </w:tbl>
    <w:p/>
    <w:p>
      <w:pPr>
        <w:pStyle w:val="Heading1"/>
      </w:pPr>
      <w:r>
        <w:t>3. 공식 문서 기반 개념 요약</w:t>
      </w:r>
    </w:p>
    <w:p>
      <w:r>
        <w:t>MLIR 문서에서 bufferization은 tensor semantics를 가진 op를 memref semantics를 가진 op로 변환하는 과정으로 설명됩니다. One-Shot Bufferize는 tensor IR을 memref IR로 rewrite하는 핵심 pass이며, 전체 function 수준의 SSA use-def chain 분석을 통해 in-place 여부와 copy 삽입을 판단합니다.</w:t>
      </w:r>
    </w:p>
    <w:p>
      <w:pPr>
        <w:pStyle w:val="ListBullet"/>
        <w:spacing w:after="40"/>
      </w:pPr>
      <w:r>
        <w:t>One-Shot Bufferize는 analysis phase와 rewrite phase로 나눠 이해하면 좋다.</w:t>
      </w:r>
    </w:p>
    <w:p>
      <w:pPr>
        <w:pStyle w:val="ListBullet"/>
        <w:spacing w:after="40"/>
      </w:pPr>
      <w:r>
        <w:t>analysis phase는 alias/equivalence set과 RaW conflict를 추적한다.</w:t>
      </w:r>
    </w:p>
    <w:p>
      <w:pPr>
        <w:pStyle w:val="ListBullet"/>
        <w:spacing w:after="40"/>
      </w:pPr>
      <w:r>
        <w:t>rewrite phase는 tensor op를 memref op, alloc, copy, load/store, subview 등으로 바꾼다.</w:t>
      </w:r>
    </w:p>
    <w:p>
      <w:pPr>
        <w:pStyle w:val="ListBullet"/>
        <w:spacing w:after="40"/>
      </w:pPr>
      <w:r>
        <w:t>custom op는 BufferizableOpInterface를 구현해야 bufferization 품질을 통제할 수 있다.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2_One_Sho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Destination-Passing Style(DPS)</w:t>
      </w:r>
    </w:p>
    <w:p>
      <w:r>
        <w:t>DPS는 bufferization 품질을 높이는 핵심 형태입니다. 예를 들어 linalg.matmul은 결과 tensor를 새로 “생성한다”고만 표현하지 않고, outs operand를 통해 result가 materialize될 destination을 제공합니다. 이 destination이 conflict 없이 재사용 가능하면 compiler는 result buffer를 destination buffer와 alias시켜 in-place로 bufferize할 수 있습니다.</w:t>
      </w:r>
    </w:p>
    <w:p>
      <w:pPr>
        <w:pStyle w:val="CodeBlock"/>
        <w:spacing w:after="0"/>
        <w:ind w:left="216" w:right="216"/>
      </w:pPr>
      <w:r>
        <w:t>func.func @matmul_dps(%A: tensor&lt;128x256xf32&gt;,</w:t>
      </w:r>
    </w:p>
    <w:p>
      <w:pPr>
        <w:pStyle w:val="CodeBlock"/>
        <w:spacing w:after="0"/>
        <w:ind w:left="216" w:right="216"/>
      </w:pPr>
      <w:r>
        <w:t xml:space="preserve">                      %B: tensor&lt;256x128xf32&gt;,</w:t>
      </w:r>
    </w:p>
    <w:p>
      <w:pPr>
        <w:pStyle w:val="CodeBlock"/>
        <w:spacing w:after="0"/>
        <w:ind w:left="216" w:right="216"/>
      </w:pPr>
      <w:r>
        <w:t xml:space="preserve">                      %Cinit: tensor&lt;128x128xf32&gt;) -&gt; tensor&lt;128x128xf32&gt; {</w:t>
      </w:r>
    </w:p>
    <w:p>
      <w:pPr>
        <w:pStyle w:val="CodeBlock"/>
        <w:spacing w:after="0"/>
        <w:ind w:left="216" w:right="216"/>
      </w:pPr>
      <w:r>
        <w:t xml:space="preserve">  %C = linalg.matmul ins(%A, %B : tensor&lt;128x256xf32&gt;, tensor&lt;256x128xf32&gt;)</w:t>
      </w:r>
    </w:p>
    <w:p>
      <w:pPr>
        <w:pStyle w:val="CodeBlock"/>
        <w:spacing w:after="0"/>
        <w:ind w:left="216" w:right="216"/>
      </w:pPr>
      <w:r>
        <w:t xml:space="preserve">                     outs(%Cinit : tensor&lt;128x128xf32&gt;) -&gt; tensor&lt;128x128xf32&gt;</w:t>
      </w:r>
    </w:p>
    <w:p>
      <w:pPr>
        <w:pStyle w:val="CodeBlock"/>
        <w:spacing w:after="0"/>
        <w:ind w:left="216" w:right="216"/>
      </w:pPr>
      <w:r>
        <w:t xml:space="preserve">  return %C : tensor&lt;128x128xf32&gt;</w:t>
      </w:r>
    </w:p>
    <w:p>
      <w:pPr>
        <w:pStyle w:val="CodeBlock"/>
        <w:spacing w:after="0"/>
        <w:ind w:left="216" w:right="216"/>
      </w:pPr>
      <w:r>
        <w:t>}</w:t>
      </w:r>
    </w:p>
    <w:p>
      <w:pPr>
        <w:pStyle w:val="ListBullet"/>
        <w:spacing w:after="40"/>
      </w:pPr>
      <w:r>
        <w:t>NPU에서는 outs operand를 output tile buffer 또는 accumulator materialization point로 해석할 수 있다.</w:t>
      </w:r>
    </w:p>
    <w:p>
      <w:pPr>
        <w:pStyle w:val="ListBullet"/>
        <w:spacing w:after="40"/>
      </w:pPr>
      <w:r>
        <w:t>DPS가 잘 유지되면 intermediate copy가 줄고, SRAM tile buffer 재사용 계획이 단순해진다.</w:t>
      </w:r>
    </w:p>
    <w:p>
      <w:pPr>
        <w:pStyle w:val="ListBullet"/>
        <w:spacing w:after="40"/>
      </w:pPr>
      <w:r>
        <w:t>DPS를 깨는 composite op는 bufferization 전에 linalg/tensor primitive로 낮추는 것이 유리하다.</w:t>
      </w:r>
    </w:p>
    <w:p>
      <w:pPr>
        <w:pStyle w:val="Heading1"/>
      </w:pPr>
      <w:r>
        <w:t>5. In-place Bufferization과 RaW Conflict</w:t>
      </w:r>
    </w:p>
    <w:p>
      <w:r>
        <w:t>In-place bufferization의 기본 질문은 “이 result를 이미 존재하는 destination buffer에 써도 안전한가?”입니다. 안전하지 않은 대표 사례는 read-after-write conflict입니다. 즉, 어떤 tensor의 기존 값이 나중에 다시 읽혀야 하는데 같은 buffer에 먼저 새 값을 써버리면 semantic이 깨집니다.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2_Alias_Life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D9EAF7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질문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</w:rPr>
              <w:t>NPU 위험</w:t>
            </w:r>
          </w:p>
        </w:tc>
      </w:tr>
      <w:tr>
        <w:tc>
          <w:tcPr>
            <w:tcW w:type="dxa" w:w="1728"/>
            <w:vAlign w:val="top"/>
          </w:tcPr>
          <w:p>
            <w:r>
              <w:t>Alias</w:t>
            </w:r>
          </w:p>
        </w:tc>
        <w:tc>
          <w:tcPr>
            <w:tcW w:type="dxa" w:w="4320"/>
            <w:vAlign w:val="top"/>
          </w:tcPr>
          <w:p>
            <w:r>
              <w:t>두 SSA value가 같은 physical buffer/subview를 가리킬 수 있는가?</w:t>
            </w:r>
          </w:p>
        </w:tc>
        <w:tc>
          <w:tcPr>
            <w:tcW w:type="dxa" w:w="3744"/>
            <w:vAlign w:val="top"/>
          </w:tcPr>
          <w:p>
            <w:r>
              <w:t>동시 DMA/compute가 같은 SRAM bank를 덮어쓸 수 있음</w:t>
            </w:r>
          </w:p>
        </w:tc>
      </w:tr>
      <w:tr>
        <w:tc>
          <w:tcPr>
            <w:tcW w:type="dxa" w:w="1728"/>
            <w:vAlign w:val="top"/>
          </w:tcPr>
          <w:p>
            <w:r>
              <w:t>Lifetime</w:t>
            </w:r>
          </w:p>
        </w:tc>
        <w:tc>
          <w:tcPr>
            <w:tcW w:type="dxa" w:w="4320"/>
            <w:vAlign w:val="top"/>
          </w:tcPr>
          <w:p>
            <w:r>
              <w:t>각 value의 last use는 어디인가?</w:t>
            </w:r>
          </w:p>
        </w:tc>
        <w:tc>
          <w:tcPr>
            <w:tcW w:type="dxa" w:w="3744"/>
            <w:vAlign w:val="top"/>
          </w:tcPr>
          <w:p>
            <w:r>
              <w:t>live range overlap 시 scratch buffer reuse 불가</w:t>
            </w:r>
          </w:p>
        </w:tc>
      </w:tr>
      <w:tr>
        <w:tc>
          <w:tcPr>
            <w:tcW w:type="dxa" w:w="1728"/>
            <w:vAlign w:val="top"/>
          </w:tcPr>
          <w:p>
            <w:r>
              <w:t>RaW conflict</w:t>
            </w:r>
          </w:p>
        </w:tc>
        <w:tc>
          <w:tcPr>
            <w:tcW w:type="dxa" w:w="4320"/>
            <w:vAlign w:val="top"/>
          </w:tcPr>
          <w:p>
            <w:r>
              <w:t>나중에 읽을 값을 먼저 overwrite하는가?</w:t>
            </w:r>
          </w:p>
        </w:tc>
        <w:tc>
          <w:tcPr>
            <w:tcW w:type="dxa" w:w="3744"/>
            <w:vAlign w:val="top"/>
          </w:tcPr>
          <w:p>
            <w:r>
              <w:t>output corruption 또는 nondeterministic result</w:t>
            </w:r>
          </w:p>
        </w:tc>
      </w:tr>
      <w:tr>
        <w:tc>
          <w:tcPr>
            <w:tcW w:type="dxa" w:w="1728"/>
            <w:vAlign w:val="top"/>
          </w:tcPr>
          <w:p>
            <w:r>
              <w:t>Copy insertion</w:t>
            </w:r>
          </w:p>
        </w:tc>
        <w:tc>
          <w:tcPr>
            <w:tcW w:type="dxa" w:w="4320"/>
            <w:vAlign w:val="top"/>
          </w:tcPr>
          <w:p>
            <w:r>
              <w:t>copy가 correctness를 위해 필요한가?</w:t>
            </w:r>
          </w:p>
        </w:tc>
        <w:tc>
          <w:tcPr>
            <w:tcW w:type="dxa" w:w="3744"/>
            <w:vAlign w:val="top"/>
          </w:tcPr>
          <w:p>
            <w:r>
              <w:t>DRAM/SRAM bandwidth와 latency 증가</w:t>
            </w:r>
          </w:p>
        </w:tc>
      </w:tr>
    </w:tbl>
    <w:p/>
    <w:p>
      <w:pPr>
        <w:pStyle w:val="Heading1"/>
      </w:pPr>
      <w:r>
        <w:t>6. bufferization.alloc_tensor와 boundary op</w:t>
      </w:r>
    </w:p>
    <w:p>
      <w:r>
        <w:t>bufferization.alloc_tensor는 fresh tensor SSA chain을 만들기 위한 anchor로 사용됩니다. 이 op의 bufferized result는 다른 buffer와 alias하지 않는 새 allocation으로 취급되므로, 특정 RaW conflict를 의도적으로 끊을 때 유용합니다. 그러나 NPU 관점에서 fresh allocation은 SRAM footprint와 DRAM spill 가능성을 증가시키므로 신중하게 사용해야 합니다.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2_Alloc_Tensor_Anch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deBlock"/>
        <w:spacing w:after="0"/>
        <w:ind w:left="216" w:right="216"/>
      </w:pPr>
      <w:r>
        <w:t>func.func @fresh_anchor(%A: tensor&lt;64x64xf32&gt;, %B: tensor&lt;64x64xf32&gt;) -&gt; tensor&lt;64x64xf32&gt; {</w:t>
      </w:r>
    </w:p>
    <w:p>
      <w:pPr>
        <w:pStyle w:val="CodeBlock"/>
        <w:spacing w:after="0"/>
        <w:ind w:left="216" w:right="216"/>
      </w:pPr>
      <w:r>
        <w:t xml:space="preserve">  // Fresh destination: the result buffer must not alias with A or B.</w:t>
      </w:r>
    </w:p>
    <w:p>
      <w:pPr>
        <w:pStyle w:val="CodeBlock"/>
        <w:spacing w:after="0"/>
        <w:ind w:left="216" w:right="216"/>
      </w:pPr>
      <w:r>
        <w:t xml:space="preserve">  %dst = bufferization.alloc_tensor() : tensor&lt;64x64xf32&gt;</w:t>
      </w:r>
    </w:p>
    <w:p>
      <w:pPr>
        <w:pStyle w:val="CodeBlock"/>
        <w:spacing w:after="0"/>
        <w:ind w:left="216" w:right="216"/>
      </w:pPr>
      <w:r>
        <w:t xml:space="preserve">  %0 = linalg.generic {</w:t>
      </w:r>
    </w:p>
    <w:p>
      <w:pPr>
        <w:pStyle w:val="CodeBlock"/>
        <w:spacing w:after="0"/>
        <w:ind w:left="216" w:right="216"/>
      </w:pPr>
      <w:r>
        <w:t xml:space="preserve">    indexing_maps = [affine_map&lt;(i, j) -&gt; (i, j)&gt;, affine_map&lt;(i, j) -&gt; (i, j)&gt;, affine_map&lt;(i, j) -&gt; (i, j)&gt;],</w:t>
      </w:r>
    </w:p>
    <w:p>
      <w:pPr>
        <w:pStyle w:val="CodeBlock"/>
        <w:spacing w:after="0"/>
        <w:ind w:left="216" w:right="216"/>
      </w:pPr>
      <w:r>
        <w:t xml:space="preserve">    iterator_types = ["parallel", "parallel"]</w:t>
      </w:r>
    </w:p>
    <w:p>
      <w:pPr>
        <w:pStyle w:val="CodeBlock"/>
        <w:spacing w:after="0"/>
        <w:ind w:left="216" w:right="216"/>
      </w:pPr>
      <w:r>
        <w:t xml:space="preserve">  } ins(%A, %B : tensor&lt;64x64xf32&gt;, tensor&lt;64x64xf32&gt;)</w:t>
      </w:r>
    </w:p>
    <w:p>
      <w:pPr>
        <w:pStyle w:val="CodeBlock"/>
        <w:spacing w:after="0"/>
        <w:ind w:left="216" w:right="216"/>
      </w:pPr>
      <w:r>
        <w:t xml:space="preserve">    outs(%dst : tensor&lt;64x64xf32&gt;) {</w:t>
      </w:r>
    </w:p>
    <w:p>
      <w:pPr>
        <w:pStyle w:val="CodeBlock"/>
        <w:spacing w:after="0"/>
        <w:ind w:left="216" w:right="216"/>
      </w:pPr>
      <w:r>
        <w:t xml:space="preserve">  ^bb0(%a: f32, %b: f32, %out: f32):</w:t>
      </w:r>
    </w:p>
    <w:p>
      <w:pPr>
        <w:pStyle w:val="CodeBlock"/>
        <w:spacing w:after="0"/>
        <w:ind w:left="216" w:right="216"/>
      </w:pPr>
      <w:r>
        <w:t xml:space="preserve">    %s = arith.addf %a, %b : f32</w:t>
      </w:r>
    </w:p>
    <w:p>
      <w:pPr>
        <w:pStyle w:val="CodeBlock"/>
        <w:spacing w:after="0"/>
        <w:ind w:left="216" w:right="216"/>
      </w:pPr>
      <w:r>
        <w:t xml:space="preserve">    linalg.yield %s : f32</w:t>
      </w:r>
    </w:p>
    <w:p>
      <w:pPr>
        <w:pStyle w:val="CodeBlock"/>
        <w:spacing w:after="0"/>
        <w:ind w:left="216" w:right="216"/>
      </w:pPr>
      <w:r>
        <w:t xml:space="preserve">  } -&gt; tensor&lt;64x64xf32&gt;</w:t>
      </w:r>
    </w:p>
    <w:p>
      <w:pPr>
        <w:pStyle w:val="CodeBlock"/>
        <w:spacing w:after="0"/>
        <w:ind w:left="216" w:right="216"/>
      </w:pPr>
      <w:r>
        <w:t xml:space="preserve">  return %0 : tensor&lt;64x64xf32&gt;</w:t>
      </w:r>
    </w:p>
    <w:p>
      <w:pPr>
        <w:pStyle w:val="CodeBlock"/>
        <w:spacing w:after="0"/>
        <w:ind w:left="216" w:right="216"/>
      </w:pPr>
      <w:r>
        <w:t>}</w:t>
      </w:r>
    </w:p>
    <w:p>
      <w:pPr>
        <w:pStyle w:val="Heading1"/>
      </w:pPr>
      <w:r>
        <w:t>7. Function Boundary와 Runtime ABI</w:t>
      </w:r>
    </w:p>
    <w:p>
      <w:r>
        <w:t>Bufferization이 function boundary를 건드리는 순간, NPU runtime ABI 설계와 직접 연결됩니다. tensor argument/result를 memref argument/result로 바꾸면, caller/callee가 같은 descriptor format, layout, memory space, ownership rule을 공유해야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D9EAF7"/>
          </w:tcPr>
          <w:p>
            <w:r>
              <w:rPr>
                <w:b/>
              </w:rPr>
              <w:t>ABI 항목</w:t>
            </w:r>
          </w:p>
        </w:tc>
        <w:tc>
          <w:tcPr>
            <w:tcW w:type="dxa" w:w="4752"/>
            <w:shd w:fill="D9EAF7"/>
          </w:tcPr>
          <w:p>
            <w:r>
              <w:rPr>
                <w:b/>
              </w:rPr>
              <w:t>확인 질문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예시</w:t>
            </w:r>
          </w:p>
        </w:tc>
      </w:tr>
      <w:tr>
        <w:tc>
          <w:tcPr>
            <w:tcW w:type="dxa" w:w="1728"/>
            <w:vAlign w:val="top"/>
          </w:tcPr>
          <w:p>
            <w:r>
              <w:t>Descriptor</w:t>
            </w:r>
          </w:p>
        </w:tc>
        <w:tc>
          <w:tcPr>
            <w:tcW w:type="dxa" w:w="4752"/>
            <w:vAlign w:val="top"/>
          </w:tcPr>
          <w:p>
            <w:r>
              <w:t>base pointer, shape, stride, dtype, memory space가 필요한가?</w:t>
            </w:r>
          </w:p>
        </w:tc>
        <w:tc>
          <w:tcPr>
            <w:tcW w:type="dxa" w:w="3312"/>
            <w:vAlign w:val="top"/>
          </w:tcPr>
          <w:p>
            <w:r>
              <w:t>NPU_TensorDesc {addr, sizes, strides, dtype, space}</w:t>
            </w:r>
          </w:p>
        </w:tc>
      </w:tr>
      <w:tr>
        <w:tc>
          <w:tcPr>
            <w:tcW w:type="dxa" w:w="1728"/>
            <w:vAlign w:val="top"/>
          </w:tcPr>
          <w:p>
            <w:r>
              <w:t>Ownership</w:t>
            </w:r>
          </w:p>
        </w:tc>
        <w:tc>
          <w:tcPr>
            <w:tcW w:type="dxa" w:w="4752"/>
            <w:vAlign w:val="top"/>
          </w:tcPr>
          <w:p>
            <w:r>
              <w:t>callee가 alloc/dealloc 책임을 갖는가?</w:t>
            </w:r>
          </w:p>
        </w:tc>
        <w:tc>
          <w:tcPr>
            <w:tcW w:type="dxa" w:w="3312"/>
            <w:vAlign w:val="top"/>
          </w:tcPr>
          <w:p>
            <w:r>
              <w:t>model output은 caller-provided buffer에 materialize</w:t>
            </w:r>
          </w:p>
        </w:tc>
      </w:tr>
      <w:tr>
        <w:tc>
          <w:tcPr>
            <w:tcW w:type="dxa" w:w="1728"/>
            <w:vAlign w:val="top"/>
          </w:tcPr>
          <w:p>
            <w:r>
              <w:t>Layout</w:t>
            </w:r>
          </w:p>
        </w:tc>
        <w:tc>
          <w:tcPr>
            <w:tcW w:type="dxa" w:w="4752"/>
            <w:vAlign w:val="top"/>
          </w:tcPr>
          <w:p>
            <w:r>
              <w:t>identity, tiled, blocked, padded layout 중 무엇인가?</w:t>
            </w:r>
          </w:p>
        </w:tc>
        <w:tc>
          <w:tcPr>
            <w:tcW w:type="dxa" w:w="3312"/>
            <w:vAlign w:val="top"/>
          </w:tcPr>
          <w:p>
            <w:r>
              <w:t>NPU-friendly NCHWc / tiled MxN layout</w:t>
            </w:r>
          </w:p>
        </w:tc>
      </w:tr>
      <w:tr>
        <w:tc>
          <w:tcPr>
            <w:tcW w:type="dxa" w:w="1728"/>
            <w:vAlign w:val="top"/>
          </w:tcPr>
          <w:p>
            <w:r>
              <w:t>Memory space</w:t>
            </w:r>
          </w:p>
        </w:tc>
        <w:tc>
          <w:tcPr>
            <w:tcW w:type="dxa" w:w="4752"/>
            <w:vAlign w:val="top"/>
          </w:tcPr>
          <w:p>
            <w:r>
              <w:t>DRAM/SRAM/ACCUM을 ABI가 표현하는가?</w:t>
            </w:r>
          </w:p>
        </w:tc>
        <w:tc>
          <w:tcPr>
            <w:tcW w:type="dxa" w:w="3312"/>
            <w:vAlign w:val="top"/>
          </w:tcPr>
          <w:p>
            <w:r>
              <w:t>memref&lt;..., 1&gt; as SRAM-like space</w:t>
            </w:r>
          </w:p>
        </w:tc>
      </w:tr>
    </w:tbl>
    <w:p/>
    <w:p>
      <w:pPr>
        <w:pStyle w:val="Heading1"/>
      </w:pPr>
      <w:r>
        <w:t>8. NPU Memory Planning 연결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2_NPU_Memory_Plan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Bufferization 이후 NPU compiler는 memref alloc/copy/dealloc, subview, cast, memory_space 정보를 바탕으로 memory planning을 수행합니다. 이때 중요한 것은 peak live bytes, copy bytes, bank conflict, DMA overlap, descriptor ABI입니다.</w:t>
      </w:r>
    </w:p>
    <w:p>
      <w:pPr>
        <w:pStyle w:val="ListBullet"/>
        <w:spacing w:after="40"/>
      </w:pPr>
      <w:r>
        <w:t>동일 tile loop 안에서 lifetime이 겹치지 않는 scratch buffer는 storage를 공유할 수 있다.</w:t>
      </w:r>
    </w:p>
    <w:p>
      <w:pPr>
        <w:pStyle w:val="ListBullet"/>
        <w:spacing w:after="40"/>
      </w:pPr>
      <w:r>
        <w:t>accumulator buffer는 dtype과 lifetime이 activation buffer와 다르므로 별도 memory class로 보는 것이 안전하다.</w:t>
      </w:r>
    </w:p>
    <w:p>
      <w:pPr>
        <w:pStyle w:val="ListBullet"/>
        <w:spacing w:after="40"/>
      </w:pPr>
      <w:r>
        <w:t>DRAM&lt;-&gt;SRAM DMA buffer는 double buffering 때문에 같은 logical tensor도 ping/pong physical buffer를 가질 수 있다.</w:t>
      </w:r>
    </w:p>
    <w:p>
      <w:pPr>
        <w:pStyle w:val="ListBullet"/>
        <w:spacing w:after="40"/>
      </w:pPr>
      <w:r>
        <w:t>memref memory_space는 target-specific attribute이므로 NPU backend에서 명확한 enum/attribute contract를 정의한다.</w:t>
      </w:r>
    </w:p>
    <w:p>
      <w:pPr>
        <w:pStyle w:val="Heading1"/>
      </w:pPr>
      <w:r>
        <w:t>9. 권장 Pass Pipeline</w:t>
      </w:r>
    </w:p>
    <w:p>
      <w:pPr>
        <w:pStyle w:val="CodeBlock"/>
        <w:spacing w:after="0"/>
        <w:ind w:left="216" w:right="216"/>
      </w:pPr>
      <w:r>
        <w:t># Conceptual NPU compiler pipeline around bufferization</w:t>
      </w:r>
    </w:p>
    <w:p>
      <w:pPr>
        <w:pStyle w:val="CodeBlock"/>
        <w:spacing w:after="0"/>
        <w:ind w:left="216" w:right="216"/>
      </w:pPr>
      <w:r>
        <w:t>builtin.module(</w:t>
      </w:r>
    </w:p>
    <w:p>
      <w:pPr>
        <w:pStyle w:val="CodeBlock"/>
        <w:spacing w:after="0"/>
        <w:ind w:left="216" w:right="216"/>
      </w:pPr>
      <w:r>
        <w:t xml:space="preserve">  func.func(canonicalize,cse),</w:t>
      </w:r>
    </w:p>
    <w:p>
      <w:pPr>
        <w:pStyle w:val="CodeBlock"/>
        <w:spacing w:after="0"/>
        <w:ind w:left="216" w:right="216"/>
      </w:pPr>
      <w:r>
        <w:t xml:space="preserve">  stablehlo-legalize-to-linalg-or-tosa,</w:t>
      </w:r>
    </w:p>
    <w:p>
      <w:pPr>
        <w:pStyle w:val="CodeBlock"/>
        <w:spacing w:after="0"/>
        <w:ind w:left="216" w:right="216"/>
      </w:pPr>
      <w:r>
        <w:t xml:space="preserve">  npu-graph-fuse-matmul-epilogue,</w:t>
      </w:r>
    </w:p>
    <w:p>
      <w:pPr>
        <w:pStyle w:val="CodeBlock"/>
        <w:spacing w:after="0"/>
        <w:ind w:left="216" w:right="216"/>
      </w:pPr>
      <w:r>
        <w:t xml:space="preserve">  npu-graph-layout-propagation,</w:t>
      </w:r>
    </w:p>
    <w:p>
      <w:pPr>
        <w:pStyle w:val="CodeBlock"/>
        <w:spacing w:after="0"/>
        <w:ind w:left="216" w:right="216"/>
      </w:pPr>
      <w:r>
        <w:t xml:space="preserve">  linalg-tile-and-fuse-on-tensors,</w:t>
      </w:r>
    </w:p>
    <w:p>
      <w:pPr>
        <w:pStyle w:val="CodeBlock"/>
        <w:spacing w:after="0"/>
        <w:ind w:left="216" w:right="216"/>
      </w:pPr>
      <w:r>
        <w:t xml:space="preserve">  one-shot-bufferize{bufferize-function-boundaries=true},</w:t>
      </w:r>
    </w:p>
    <w:p>
      <w:pPr>
        <w:pStyle w:val="CodeBlock"/>
        <w:spacing w:after="0"/>
        <w:ind w:left="216" w:right="216"/>
      </w:pPr>
      <w:r>
        <w:t xml:space="preserve">  ownership-based-buffer-deallocation,</w:t>
      </w:r>
    </w:p>
    <w:p>
      <w:pPr>
        <w:pStyle w:val="CodeBlock"/>
        <w:spacing w:after="0"/>
        <w:ind w:left="216" w:right="216"/>
      </w:pPr>
      <w:r>
        <w:t xml:space="preserve">  func.func(canonicalize,cse),</w:t>
      </w:r>
    </w:p>
    <w:p>
      <w:pPr>
        <w:pStyle w:val="CodeBlock"/>
        <w:spacing w:after="0"/>
        <w:ind w:left="216" w:right="216"/>
      </w:pPr>
      <w:r>
        <w:t xml:space="preserve">  npu-assign-memory-space,</w:t>
      </w:r>
    </w:p>
    <w:p>
      <w:pPr>
        <w:pStyle w:val="CodeBlock"/>
        <w:spacing w:after="0"/>
        <w:ind w:left="216" w:right="216"/>
      </w:pPr>
      <w:r>
        <w:t xml:space="preserve">  npu-plan-scratch-buffers,</w:t>
      </w:r>
    </w:p>
    <w:p>
      <w:pPr>
        <w:pStyle w:val="CodeBlock"/>
        <w:spacing w:after="0"/>
        <w:ind w:left="216" w:right="216"/>
      </w:pPr>
      <w:r>
        <w:t xml:space="preserve">  npu-lower-memref-to-dma-and-runtime</w:t>
      </w:r>
    </w:p>
    <w:p>
      <w:pPr>
        <w:pStyle w:val="CodeBlock"/>
        <w:spacing w:after="0"/>
        <w:ind w:left="216" w:right="216"/>
      </w:pPr>
      <w:r>
        <w:t>)</w:t>
      </w:r>
    </w:p>
    <w:p>
      <w:pPr>
        <w:pStyle w:val="ListBullet"/>
        <w:spacing w:after="40"/>
      </w:pPr>
      <w:r>
        <w:t>핵심 원칙: high-level fusion/tiling/layout decision은 가능한 한 tensor land에서 끝낸다.</w:t>
      </w:r>
    </w:p>
    <w:p>
      <w:pPr>
        <w:pStyle w:val="ListBullet"/>
        <w:spacing w:after="40"/>
      </w:pPr>
      <w:r>
        <w:t>one-shot-bufferize 이전에 bufferizable dialect model이 등록되어야 한다.</w:t>
      </w:r>
    </w:p>
    <w:p>
      <w:pPr>
        <w:pStyle w:val="ListBullet"/>
        <w:spacing w:after="40"/>
      </w:pPr>
      <w:r>
        <w:t>bufferization 이후에는 copy/debug/ownership/memory-space cleanup pass를 반드시 둔다.</w:t>
      </w:r>
    </w:p>
    <w:p>
      <w:pPr>
        <w:pStyle w:val="Heading1"/>
      </w:pPr>
      <w:r>
        <w:t>10. 실습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864"/>
            <w:shd w:fill="D9EAF7"/>
          </w:tcPr>
          <w:p>
            <w:r>
              <w:rPr>
                <w:b/>
              </w:rPr>
              <w:t>실습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</w:rPr>
              <w:t>산출물</w:t>
            </w:r>
          </w:p>
        </w:tc>
      </w:tr>
      <w:tr>
        <w:tc>
          <w:tcPr>
            <w:tcW w:type="dxa" w:w="864"/>
            <w:vAlign w:val="top"/>
          </w:tcPr>
          <w:p>
            <w:r>
              <w:t>A</w:t>
            </w:r>
          </w:p>
        </w:tc>
        <w:tc>
          <w:tcPr>
            <w:tcW w:type="dxa" w:w="4896"/>
            <w:vAlign w:val="top"/>
          </w:tcPr>
          <w:p>
            <w:r>
              <w:t>linalg-on-tensors MatMul+Bias+ReLU의 destination operand 표시</w:t>
            </w:r>
          </w:p>
        </w:tc>
        <w:tc>
          <w:tcPr>
            <w:tcW w:type="dxa" w:w="3744"/>
            <w:vAlign w:val="top"/>
          </w:tcPr>
          <w:p>
            <w:r>
              <w:t>buffer(result) 후보 표</w:t>
            </w:r>
          </w:p>
        </w:tc>
      </w:tr>
      <w:tr>
        <w:tc>
          <w:tcPr>
            <w:tcW w:type="dxa" w:w="864"/>
            <w:vAlign w:val="top"/>
          </w:tcPr>
          <w:p>
            <w:r>
              <w:t>B</w:t>
            </w:r>
          </w:p>
        </w:tc>
        <w:tc>
          <w:tcPr>
            <w:tcW w:type="dxa" w:w="4896"/>
            <w:vAlign w:val="top"/>
          </w:tcPr>
          <w:p>
            <w:r>
              <w:t>pseudo one-shot-bufferize 전후 IR 비교</w:t>
            </w:r>
          </w:p>
        </w:tc>
        <w:tc>
          <w:tcPr>
            <w:tcW w:type="dxa" w:w="3744"/>
            <w:vAlign w:val="top"/>
          </w:tcPr>
          <w:p>
            <w:r>
              <w:t>alloc/copy/dealloc count + copy 이유</w:t>
            </w:r>
          </w:p>
        </w:tc>
      </w:tr>
      <w:tr>
        <w:tc>
          <w:tcPr>
            <w:tcW w:type="dxa" w:w="864"/>
            <w:vAlign w:val="top"/>
          </w:tcPr>
          <w:p>
            <w:r>
              <w:t>C</w:t>
            </w:r>
          </w:p>
        </w:tc>
        <w:tc>
          <w:tcPr>
            <w:tcW w:type="dxa" w:w="4896"/>
            <w:vAlign w:val="top"/>
          </w:tcPr>
          <w:p>
            <w:r>
              <w:t>tile buffer lifetime chart 작성</w:t>
            </w:r>
          </w:p>
        </w:tc>
        <w:tc>
          <w:tcPr>
            <w:tcW w:type="dxa" w:w="3744"/>
            <w:vAlign w:val="top"/>
          </w:tcPr>
          <w:p>
            <w:r>
              <w:t>DRAM/SRAM/ACCUM memory-space plan</w:t>
            </w:r>
          </w:p>
        </w:tc>
      </w:tr>
      <w:tr>
        <w:tc>
          <w:tcPr>
            <w:tcW w:type="dxa" w:w="864"/>
            <w:vAlign w:val="top"/>
          </w:tcPr>
          <w:p>
            <w:r>
              <w:t>D</w:t>
            </w:r>
          </w:p>
        </w:tc>
        <w:tc>
          <w:tcPr>
            <w:tcW w:type="dxa" w:w="4896"/>
            <w:vAlign w:val="top"/>
          </w:tcPr>
          <w:p>
            <w:r>
              <w:t>FileCheck regression 작성</w:t>
            </w:r>
          </w:p>
        </w:tc>
        <w:tc>
          <w:tcPr>
            <w:tcW w:type="dxa" w:w="3744"/>
            <w:vAlign w:val="top"/>
          </w:tcPr>
          <w:p>
            <w:r>
              <w:t>unexpected memref.copy 방지 test</w:t>
            </w:r>
          </w:p>
        </w:tc>
      </w:tr>
    </w:tbl>
    <w:p/>
    <w:p>
      <w:pPr>
        <w:pStyle w:val="Heading1"/>
      </w:pPr>
      <w:r>
        <w:t>11. Takeaways</w:t>
      </w:r>
    </w:p>
    <w:p>
      <w:pPr>
        <w:pStyle w:val="ListBullet"/>
        <w:spacing w:after="40"/>
      </w:pPr>
      <w:r>
        <w:t>Bufferization은 tensor semantic을 memref storage semantic으로 바꾸는 compiler boundary다.</w:t>
      </w:r>
    </w:p>
    <w:p>
      <w:pPr>
        <w:pStyle w:val="ListBullet"/>
        <w:spacing w:after="40"/>
      </w:pPr>
      <w:r>
        <w:t>One-Shot Bufferize는 SSA use-def chain 분석을 통해 in-place/copy 결정을 수행한다.</w:t>
      </w:r>
    </w:p>
    <w:p>
      <w:pPr>
        <w:pStyle w:val="ListBullet"/>
        <w:spacing w:after="40"/>
      </w:pPr>
      <w:r>
        <w:t>DPS/linalg-on-tensors 형태를 유지하면 high-quality bufferization 가능성이 높아진다.</w:t>
      </w:r>
    </w:p>
    <w:p>
      <w:pPr>
        <w:pStyle w:val="ListBullet"/>
        <w:spacing w:after="40"/>
      </w:pPr>
      <w:r>
        <w:t>NPU compiler는 bufferization output을 alias/lifetime/memory-space/runtime ABI 계획으로 연결해야 한다.</w:t>
      </w:r>
    </w:p>
    <w:p>
      <w:pPr>
        <w:pStyle w:val="Heading1"/>
      </w:pPr>
      <w:r>
        <w:t>12. References</w:t>
      </w:r>
    </w:p>
    <w:p>
      <w:pPr>
        <w:pStyle w:val="ListBullet"/>
      </w:pPr>
      <w:r>
        <w:t>MLIR Bufferization: https://mlir.llvm.org/docs/Bufferization/</w:t>
      </w:r>
    </w:p>
    <w:p>
      <w:pPr>
        <w:pStyle w:val="ListBullet"/>
      </w:pPr>
      <w:r>
        <w:t>MLIR Bufferization Dialect: https://mlir.llvm.org/docs/Dialects/BufferizationOps/</w:t>
      </w:r>
    </w:p>
    <w:p>
      <w:pPr>
        <w:pStyle w:val="ListBullet"/>
      </w:pPr>
      <w:r>
        <w:t>MLIR MemRef Dialect: https://mlir.llvm.org/docs/Dialects/MemRef/</w:t>
      </w:r>
    </w:p>
    <w:p>
      <w:pPr>
        <w:pStyle w:val="ListBullet"/>
      </w:pPr>
      <w:r>
        <w:t>MLIR Builtin Dialect - MemRef type and memory space: https://mlir.llvm.org/docs/Dialects/Builtin/</w:t>
      </w:r>
    </w:p>
    <w:p>
      <w:pPr>
        <w:pStyle w:val="ListBullet"/>
      </w:pPr>
      <w:r>
        <w:t>MLIR Tensor Dialect: https://mlir.llvm.org/docs/Dialects/TensorOps/</w:t>
      </w:r>
    </w:p>
    <w:p>
      <w:pPr>
        <w:pStyle w:val="ListBullet"/>
      </w:pPr>
      <w:r>
        <w:t>MLIR Linalg Dialect: https://mlir.llvm.org/docs/Dialects/Linalg/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anumGothicCoding" w:hAnsi="NanumGothicCoding" w:eastAsia="NanumGothicCoding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12 - Bufferization: Tensor to MemRef, Alias, and Lifetime Analysis</dc:title>
  <dc:subject>MLIR/NPU Compiler Lecture 12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