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MLIR NPU Lecture 12 Worksheet</w:t>
      </w:r>
    </w:p>
    <w:p>
      <w:r>
        <w:t>주제: Bufferization - tensor -&gt; memref, alias/lifetime 분석</w:t>
      </w:r>
    </w:p>
    <w:p>
      <w:pPr>
        <w:pStyle w:val="Heading1"/>
      </w:pPr>
      <w:r>
        <w:t>Exercise A - Destination Operand Annotation</w:t>
      </w:r>
    </w:p>
    <w:p>
      <w:r>
        <w:t>아래 pseudo IR에서 각 result의 destination operand와 in-place 후보를 표시하세요.</w:t>
      </w:r>
    </w:p>
    <w:p>
      <w:pPr>
        <w:pStyle w:val="CodeBlock"/>
        <w:spacing w:after="0"/>
        <w:ind w:left="216" w:right="216"/>
      </w:pPr>
      <w:r>
        <w:t>%C0 = tensor.empty() : tensor&lt;128x128xf32&gt;</w:t>
      </w:r>
    </w:p>
    <w:p>
      <w:pPr>
        <w:pStyle w:val="CodeBlock"/>
        <w:spacing w:after="0"/>
        <w:ind w:left="216" w:right="216"/>
      </w:pPr>
      <w:r>
        <w:t>%C1 = linalg.matmul ins(%A, %B : tensor&lt;128x256xf32&gt;, tensor&lt;256x128xf32&gt;)</w:t>
      </w:r>
    </w:p>
    <w:p>
      <w:pPr>
        <w:pStyle w:val="CodeBlock"/>
        <w:spacing w:after="0"/>
        <w:ind w:left="216" w:right="216"/>
      </w:pPr>
      <w:r>
        <w:t xml:space="preserve">                    outs(%C0 : tensor&lt;128x128xf32&gt;) -&gt; tensor&lt;128x128xf32&gt;</w:t>
      </w:r>
    </w:p>
    <w:p>
      <w:pPr>
        <w:pStyle w:val="CodeBlock"/>
        <w:spacing w:after="0"/>
        <w:ind w:left="216" w:right="216"/>
      </w:pPr>
      <w:r>
        <w:t>%C2 = linalg.generic ... ins(%C1, %bias : tensor&lt;128x128xf32&gt;, tensor&lt;128xf32&gt;)</w:t>
      </w:r>
    </w:p>
    <w:p>
      <w:pPr>
        <w:pStyle w:val="CodeBlock"/>
        <w:spacing w:after="0"/>
        <w:ind w:left="216" w:right="216"/>
      </w:pPr>
      <w:r>
        <w:t xml:space="preserve">                        outs(%C1 : tensor&lt;128x128xf32&gt;) -&gt; tensor&lt;128x128xf32&gt;</w:t>
      </w:r>
    </w:p>
    <w:p>
      <w:pPr>
        <w:pStyle w:val="CodeBlock"/>
        <w:spacing w:after="0"/>
        <w:ind w:left="216" w:right="216"/>
      </w:pPr>
      <w:r>
        <w:t>return %C2 : tensor&lt;128x128xf32&gt;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Defined by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Destination candidate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Can be in-place?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152"/>
            <w:vAlign w:val="top"/>
          </w:tcPr>
          <w:p>
            <w:r>
              <w:t>%C0</w:t>
            </w:r>
          </w:p>
        </w:tc>
        <w:tc>
          <w:tcPr>
            <w:tcW w:type="dxa" w:w="2304"/>
            <w:vAlign w:val="top"/>
          </w:tcPr>
          <w:p>
            <w:r/>
          </w:p>
        </w:tc>
        <w:tc>
          <w:tcPr>
            <w:tcW w:type="dxa" w:w="244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  <w:tr>
        <w:tc>
          <w:tcPr>
            <w:tcW w:type="dxa" w:w="1152"/>
            <w:vAlign w:val="top"/>
          </w:tcPr>
          <w:p>
            <w:r>
              <w:t>%C1</w:t>
            </w:r>
          </w:p>
        </w:tc>
        <w:tc>
          <w:tcPr>
            <w:tcW w:type="dxa" w:w="2304"/>
            <w:vAlign w:val="top"/>
          </w:tcPr>
          <w:p>
            <w:r/>
          </w:p>
        </w:tc>
        <w:tc>
          <w:tcPr>
            <w:tcW w:type="dxa" w:w="244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  <w:tr>
        <w:tc>
          <w:tcPr>
            <w:tcW w:type="dxa" w:w="1152"/>
            <w:vAlign w:val="top"/>
          </w:tcPr>
          <w:p>
            <w:r>
              <w:t>%C2</w:t>
            </w:r>
          </w:p>
        </w:tc>
        <w:tc>
          <w:tcPr>
            <w:tcW w:type="dxa" w:w="2304"/>
            <w:vAlign w:val="top"/>
          </w:tcPr>
          <w:p>
            <w:r/>
          </w:p>
        </w:tc>
        <w:tc>
          <w:tcPr>
            <w:tcW w:type="dxa" w:w="244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</w:tbl>
    <w:p/>
    <w:p>
      <w:pPr>
        <w:pStyle w:val="Heading1"/>
      </w:pPr>
      <w:r>
        <w:t>Exercise B - Copy Audit</w:t>
      </w:r>
    </w:p>
    <w:p>
      <w:r>
        <w:t>bufferization 이후 아래 항목을 세세요. copy가 필요한 경우 correctness reason을 한 문장으로 작성하세요.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shd w:fill="D9EAF7"/>
          </w:tcPr>
          <w:p>
            <w:r>
              <w:rPr>
                <w:b/>
              </w:rPr>
              <w:t>IR item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Expected?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Reason / action</w:t>
            </w:r>
          </w:p>
        </w:tc>
      </w:tr>
      <w:tr>
        <w:tc>
          <w:tcPr>
            <w:tcW w:type="dxa" w:w="3024"/>
            <w:vAlign w:val="top"/>
          </w:tcPr>
          <w:p>
            <w:r>
              <w:t>memref.alloc</w:t>
            </w:r>
          </w:p>
        </w:tc>
        <w:tc>
          <w:tcPr>
            <w:tcW w:type="dxa" w:w="1152"/>
            <w:vAlign w:val="top"/>
          </w:tcPr>
          <w:p>
            <w:r/>
          </w:p>
        </w:tc>
        <w:tc>
          <w:tcPr>
            <w:tcW w:type="dxa" w:w="1440"/>
            <w:vAlign w:val="top"/>
          </w:tcPr>
          <w:p>
            <w:r/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3024"/>
            <w:vAlign w:val="top"/>
          </w:tcPr>
          <w:p>
            <w:r>
              <w:t>memref.copy or bufferization.clone</w:t>
            </w:r>
          </w:p>
        </w:tc>
        <w:tc>
          <w:tcPr>
            <w:tcW w:type="dxa" w:w="1152"/>
            <w:vAlign w:val="top"/>
          </w:tcPr>
          <w:p>
            <w:r/>
          </w:p>
        </w:tc>
        <w:tc>
          <w:tcPr>
            <w:tcW w:type="dxa" w:w="1440"/>
            <w:vAlign w:val="top"/>
          </w:tcPr>
          <w:p>
            <w:r/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3024"/>
            <w:vAlign w:val="top"/>
          </w:tcPr>
          <w:p>
            <w:r>
              <w:t>memref.dealloc</w:t>
            </w:r>
          </w:p>
        </w:tc>
        <w:tc>
          <w:tcPr>
            <w:tcW w:type="dxa" w:w="1152"/>
            <w:vAlign w:val="top"/>
          </w:tcPr>
          <w:p>
            <w:r/>
          </w:p>
        </w:tc>
        <w:tc>
          <w:tcPr>
            <w:tcW w:type="dxa" w:w="1440"/>
            <w:vAlign w:val="top"/>
          </w:tcPr>
          <w:p>
            <w:r/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3024"/>
            <w:vAlign w:val="top"/>
          </w:tcPr>
          <w:p>
            <w:r>
              <w:t>bufferization.to_tensor/to_buffer</w:t>
            </w:r>
          </w:p>
        </w:tc>
        <w:tc>
          <w:tcPr>
            <w:tcW w:type="dxa" w:w="1152"/>
            <w:vAlign w:val="top"/>
          </w:tcPr>
          <w:p>
            <w:r/>
          </w:p>
        </w:tc>
        <w:tc>
          <w:tcPr>
            <w:tcW w:type="dxa" w:w="1440"/>
            <w:vAlign w:val="top"/>
          </w:tcPr>
          <w:p>
            <w:r/>
          </w:p>
        </w:tc>
        <w:tc>
          <w:tcPr>
            <w:tcW w:type="dxa" w:w="4320"/>
            <w:vAlign w:val="top"/>
          </w:tcPr>
          <w:p>
            <w:r/>
          </w:p>
        </w:tc>
      </w:tr>
    </w:tbl>
    <w:p/>
    <w:p>
      <w:pPr>
        <w:pStyle w:val="Heading1"/>
      </w:pPr>
      <w:r>
        <w:t>Exercise C - Lifetime and Memory Space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D9EAF7"/>
          </w:tcPr>
          <w:p>
            <w:r>
              <w:rPr>
                <w:b/>
              </w:rPr>
              <w:t>Buffer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Producer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Last use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Live range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Memory space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Can reuse with</w:t>
            </w:r>
          </w:p>
        </w:tc>
      </w:tr>
      <w:tr>
        <w:tc>
          <w:tcPr>
            <w:tcW w:type="dxa" w:w="1872"/>
            <w:vAlign w:val="top"/>
          </w:tcPr>
          <w:p>
            <w:r>
              <w:t>A_tile_ping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584"/>
            <w:vAlign w:val="top"/>
          </w:tcPr>
          <w:p>
            <w:r>
              <w:t>SRAM</w:t>
            </w:r>
          </w:p>
        </w:tc>
        <w:tc>
          <w:tcPr>
            <w:tcW w:type="dxa" w:w="2160"/>
            <w:vAlign w:val="top"/>
          </w:tcPr>
          <w:p>
            <w:r/>
          </w:p>
        </w:tc>
      </w:tr>
      <w:tr>
        <w:tc>
          <w:tcPr>
            <w:tcW w:type="dxa" w:w="1872"/>
            <w:vAlign w:val="top"/>
          </w:tcPr>
          <w:p>
            <w:r>
              <w:t>A_tile_pong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584"/>
            <w:vAlign w:val="top"/>
          </w:tcPr>
          <w:p>
            <w:r>
              <w:t>SRAM</w:t>
            </w:r>
          </w:p>
        </w:tc>
        <w:tc>
          <w:tcPr>
            <w:tcW w:type="dxa" w:w="2160"/>
            <w:vAlign w:val="top"/>
          </w:tcPr>
          <w:p>
            <w:r/>
          </w:p>
        </w:tc>
      </w:tr>
      <w:tr>
        <w:tc>
          <w:tcPr>
            <w:tcW w:type="dxa" w:w="1872"/>
            <w:vAlign w:val="top"/>
          </w:tcPr>
          <w:p>
            <w:r>
              <w:t>B_tile_ping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584"/>
            <w:vAlign w:val="top"/>
          </w:tcPr>
          <w:p>
            <w:r>
              <w:t>SRAM</w:t>
            </w:r>
          </w:p>
        </w:tc>
        <w:tc>
          <w:tcPr>
            <w:tcW w:type="dxa" w:w="2160"/>
            <w:vAlign w:val="top"/>
          </w:tcPr>
          <w:p>
            <w:r/>
          </w:p>
        </w:tc>
      </w:tr>
      <w:tr>
        <w:tc>
          <w:tcPr>
            <w:tcW w:type="dxa" w:w="1872"/>
            <w:vAlign w:val="top"/>
          </w:tcPr>
          <w:p>
            <w:r>
              <w:t>ACC_tile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584"/>
            <w:vAlign w:val="top"/>
          </w:tcPr>
          <w:p>
            <w:r>
              <w:t>ACCUM</w:t>
            </w:r>
          </w:p>
        </w:tc>
        <w:tc>
          <w:tcPr>
            <w:tcW w:type="dxa" w:w="2160"/>
            <w:vAlign w:val="top"/>
          </w:tcPr>
          <w:p>
            <w:r/>
          </w:p>
        </w:tc>
      </w:tr>
      <w:tr>
        <w:tc>
          <w:tcPr>
            <w:tcW w:type="dxa" w:w="1872"/>
            <w:vAlign w:val="top"/>
          </w:tcPr>
          <w:p>
            <w:r>
              <w:t>C_out</w:t>
            </w:r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728"/>
            <w:vAlign w:val="top"/>
          </w:tcPr>
          <w:p>
            <w:r/>
          </w:p>
        </w:tc>
        <w:tc>
          <w:tcPr>
            <w:tcW w:type="dxa" w:w="1584"/>
            <w:vAlign w:val="top"/>
          </w:tcPr>
          <w:p>
            <w:r>
              <w:t>DRAM/SRAM</w:t>
            </w:r>
          </w:p>
        </w:tc>
        <w:tc>
          <w:tcPr>
            <w:tcW w:type="dxa" w:w="2160"/>
            <w:vAlign w:val="top"/>
          </w:tcPr>
          <w:p>
            <w:r/>
          </w:p>
        </w:tc>
      </w:tr>
    </w:tbl>
    <w:p/>
    <w:p>
      <w:pPr>
        <w:pStyle w:val="Heading1"/>
      </w:pPr>
      <w:r>
        <w:t>Exercise D - FileCheck Test Plan</w:t>
      </w:r>
    </w:p>
    <w:p>
      <w:r>
        <w:t>in-place가 기대되는 케이스와 copy가 기대되는 케이스를 각각 하나씩 작성하세요.</w:t>
      </w:r>
    </w:p>
    <w:p>
      <w:pPr>
        <w:pStyle w:val="CodeBlock"/>
        <w:spacing w:after="0"/>
        <w:ind w:left="216" w:right="216"/>
      </w:pPr>
      <w:r>
        <w:t>// RUN: mlir-opt %s -one-shot-bufferize -canonicalize | FileCheck %s</w:t>
      </w:r>
    </w:p>
    <w:p>
      <w:pPr>
        <w:pStyle w:val="CodeBlock"/>
        <w:spacing w:after="0"/>
        <w:ind w:left="216" w:right="216"/>
      </w:pPr>
      <w:r>
        <w:t>// CHECK-LABEL: func.func @expected_inplace</w:t>
      </w:r>
    </w:p>
    <w:p>
      <w:pPr>
        <w:pStyle w:val="CodeBlock"/>
        <w:spacing w:after="0"/>
        <w:ind w:left="216" w:right="216"/>
      </w:pPr>
      <w:r>
        <w:t>// CHECK-NOT: memref.copy</w:t>
      </w:r>
    </w:p>
    <w:p>
      <w:pPr>
        <w:pStyle w:val="CodeBlock"/>
        <w:spacing w:after="0"/>
        <w:ind w:left="216" w:right="216"/>
      </w:pPr>
      <w:r/>
    </w:p>
    <w:p>
      <w:pPr>
        <w:pStyle w:val="CodeBlock"/>
        <w:spacing w:after="0"/>
        <w:ind w:left="216" w:right="216"/>
      </w:pPr>
      <w:r>
        <w:t>// CHECK-LABEL: func.func @expected_copy</w:t>
      </w:r>
    </w:p>
    <w:p>
      <w:pPr>
        <w:pStyle w:val="CodeBlock"/>
        <w:spacing w:after="0"/>
        <w:ind w:left="216" w:right="216"/>
      </w:pPr>
      <w:r>
        <w:t>// CHECK: memref.copy</w:t>
      </w:r>
    </w:p>
    <w:p>
      <w:pPr>
        <w:pStyle w:val="Heading1"/>
      </w:pPr>
      <w:r>
        <w:t>Mini Quiz</w:t>
      </w:r>
    </w:p>
    <w:p>
      <w:r>
        <w:t>1. tensor semantic과 memref semantic의 가장 큰 차이는 무엇인가?</w:t>
      </w:r>
    </w:p>
    <w:p>
      <w:r>
        <w:t>Answer: ______________________________________________________________________________</w:t>
      </w:r>
    </w:p>
    <w:p>
      <w:r>
        <w:t>2. One-Shot Bufferize가 DPS IR을 선호하는 이유는 무엇인가?</w:t>
      </w:r>
    </w:p>
    <w:p>
      <w:r>
        <w:t>Answer: ______________________________________________________________________________</w:t>
      </w:r>
    </w:p>
    <w:p>
      <w:r>
        <w:t>3. RaW conflict가 발생하면 어떤 IR artifact가 증가할 가능성이 높은가?</w:t>
      </w:r>
    </w:p>
    <w:p>
      <w:r>
        <w:t>Answer: ______________________________________________________________________________</w:t>
      </w:r>
    </w:p>
    <w:p>
      <w:r>
        <w:t>4. NPU compiler에서 memory_space attribute를 backend contract로 관리해야 하는 이유는 무엇인가?</w:t>
      </w:r>
    </w:p>
    <w:p>
      <w:r>
        <w:t>Answer: ______________________________________________________________________________</w:t>
      </w:r>
    </w:p>
    <w:p>
      <w:r>
        <w:t>5. function boundary bufferization이 runtime ABI와 연결되는 이유는 무엇인가?</w:t>
      </w:r>
    </w:p>
    <w:p>
      <w:r>
        <w:t>Answer: 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