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2B4A"/>
          <w:sz w:val="40"/>
        </w:rPr>
        <w:t>Mini NPU Compiler Design Spec Template</w:t>
        <w:br/>
        <w:t>Lecture 20 Capstone</w:t>
      </w:r>
    </w:p>
    <w:p>
      <w:pPr>
        <w:jc w:val="center"/>
      </w:pPr>
      <w:r>
        <w:rPr>
          <w:color w:val="505A68"/>
          <w:sz w:val="18"/>
        </w:rPr>
        <w:t>Use this document as the final submission template for the capstone design review.</w:t>
      </w:r>
    </w:p>
    <w:p>
      <w:pPr>
        <w:pStyle w:val="Heading1"/>
      </w:pPr>
      <w:r>
        <w:t>1. Problem Scope</w:t>
      </w:r>
    </w:p>
    <w:p>
      <w:pPr>
        <w:pStyle w:val="ListBullet"/>
      </w:pPr>
      <w:r>
        <w:rPr>
          <w:b/>
        </w:rPr>
        <w:t>Workload and model block:</w:t>
      </w:r>
      <w:r>
        <w:t xml:space="preserve"> ______________________________</w:t>
      </w:r>
    </w:p>
    <w:p>
      <w:pPr>
        <w:pStyle w:val="ListBullet"/>
      </w:pPr>
      <w:r>
        <w:rPr>
          <w:b/>
        </w:rPr>
        <w:t>Input IR and export path:</w:t>
      </w:r>
      <w:r>
        <w:t xml:space="preserve"> ______________________________</w:t>
      </w:r>
    </w:p>
    <w:p>
      <w:pPr>
        <w:pStyle w:val="ListBullet"/>
      </w:pPr>
      <w:r>
        <w:rPr>
          <w:b/>
        </w:rPr>
        <w:t>Supported shapes, layouts, and dtypes:</w:t>
      </w:r>
      <w:r>
        <w:t xml:space="preserve"> ______________________________</w:t>
      </w:r>
    </w:p>
    <w:p>
      <w:pPr>
        <w:pStyle w:val="ListBullet"/>
      </w:pPr>
      <w:r>
        <w:rPr>
          <w:b/>
        </w:rPr>
        <w:t>Explicitly unsupported cases:</w:t>
      </w:r>
      <w:r>
        <w:t xml:space="preserve"> ______________________________</w:t>
      </w:r>
    </w:p>
    <w:p>
      <w:pPr>
        <w:pStyle w:val="ListBullet"/>
      </w:pPr>
      <w:r>
        <w:rPr>
          <w:b/>
        </w:rPr>
        <w:t>Fallback or reject policy:</w:t>
      </w:r>
      <w:r>
        <w:t xml:space="preserve"> ______________________________</w:t>
      </w:r>
    </w:p>
    <w:p>
      <w:pPr>
        <w:pStyle w:val="Heading1"/>
      </w:pPr>
      <w:r>
        <w:t>2. Target NPU Assumptions</w:t>
      </w:r>
    </w:p>
    <w:p>
      <w:pPr>
        <w:pStyle w:val="ListBullet"/>
      </w:pPr>
      <w:r>
        <w:rPr>
          <w:b/>
        </w:rPr>
        <w:t>Native tile shape:</w:t>
      </w:r>
      <w:r>
        <w:t xml:space="preserve"> ______________________________</w:t>
      </w:r>
    </w:p>
    <w:p>
      <w:pPr>
        <w:pStyle w:val="ListBullet"/>
      </w:pPr>
      <w:r>
        <w:rPr>
          <w:b/>
        </w:rPr>
        <w:t>SRAM / ACCUM capacity:</w:t>
      </w:r>
      <w:r>
        <w:t xml:space="preserve"> ______________________________</w:t>
      </w:r>
    </w:p>
    <w:p>
      <w:pPr>
        <w:pStyle w:val="ListBullet"/>
      </w:pPr>
      <w:r>
        <w:rPr>
          <w:b/>
        </w:rPr>
        <w:t>DMA alignment and bandwidth assumptions:</w:t>
      </w:r>
      <w:r>
        <w:t xml:space="preserve"> ______________________________</w:t>
      </w:r>
    </w:p>
    <w:p>
      <w:pPr>
        <w:pStyle w:val="ListBullet"/>
      </w:pPr>
      <w:r>
        <w:rPr>
          <w:b/>
        </w:rPr>
        <w:t>Quantization support:</w:t>
      </w:r>
      <w:r>
        <w:t xml:space="preserve"> ______________________________</w:t>
      </w:r>
    </w:p>
    <w:p>
      <w:pPr>
        <w:pStyle w:val="ListBullet"/>
      </w:pPr>
      <w:r>
        <w:rPr>
          <w:b/>
        </w:rPr>
        <w:t>Runtime/firmware constraints:</w:t>
      </w:r>
      <w:r>
        <w:t xml:space="preserve"> ______________________________</w:t>
      </w:r>
    </w:p>
    <w:p>
      <w:pPr>
        <w:pStyle w:val="Heading1"/>
      </w:pPr>
      <w:r>
        <w:t>3. IR Stack and Dialect Contracts</w:t>
      </w:r>
    </w:p>
    <w:p>
      <w:pPr>
        <w:pStyle w:val="ListBullet"/>
      </w:pPr>
      <w:r>
        <w:rPr>
          <w:b/>
        </w:rPr>
        <w:t>Input dialects:</w:t>
      </w:r>
      <w:r>
        <w:t xml:space="preserve"> ______________________________</w:t>
      </w:r>
    </w:p>
    <w:p>
      <w:pPr>
        <w:pStyle w:val="ListBullet"/>
      </w:pPr>
      <w:r>
        <w:rPr>
          <w:b/>
        </w:rPr>
        <w:t>npu_graph responsibility:</w:t>
      </w:r>
      <w:r>
        <w:t xml:space="preserve"> ______________________________</w:t>
      </w:r>
    </w:p>
    <w:p>
      <w:pPr>
        <w:pStyle w:val="ListBullet"/>
      </w:pPr>
      <w:r>
        <w:rPr>
          <w:b/>
        </w:rPr>
        <w:t>npu_kernel responsibility:</w:t>
      </w:r>
      <w:r>
        <w:t xml:space="preserve"> ______________________________</w:t>
      </w:r>
    </w:p>
    <w:p>
      <w:pPr>
        <w:pStyle w:val="ListBullet"/>
      </w:pPr>
      <w:r>
        <w:rPr>
          <w:b/>
        </w:rPr>
        <w:t>npu_rt responsibility:</w:t>
      </w:r>
      <w:r>
        <w:t xml:space="preserve"> ______________________________</w:t>
      </w:r>
    </w:p>
    <w:p>
      <w:pPr>
        <w:pStyle w:val="ListBullet"/>
      </w:pPr>
      <w:r>
        <w:rPr>
          <w:b/>
        </w:rPr>
        <w:t>Full conversion boundaries:</w:t>
      </w:r>
      <w:r>
        <w:t xml:space="preserve"> ______________________________</w:t>
      </w:r>
    </w:p>
    <w:p>
      <w:pPr>
        <w:pStyle w:val="Heading1"/>
      </w:pPr>
      <w:r>
        <w:t>4. Legal Op Set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A60A1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2592"/>
            <w:shd w:fill="2A60A1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Legal ops</w:t>
            </w:r>
          </w:p>
        </w:tc>
        <w:tc>
          <w:tcPr>
            <w:tcW w:type="dxa" w:w="2592"/>
            <w:shd w:fill="2A60A1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Shape/layout/dtype constraints</w:t>
            </w:r>
          </w:p>
        </w:tc>
        <w:tc>
          <w:tcPr>
            <w:tcW w:type="dxa" w:w="2592"/>
            <w:shd w:fill="2A60A1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Unsupported policy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Input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StableHLO/TOSA/Linalg subset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Graph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npu_graph.matmul_epilogue, requant, layout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Kernel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npu.matmul, npu.dma, npu.barrier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Runtime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npu_rt.descriptor, command, launch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</w:tr>
    </w:tbl>
    <w:p>
      <w:pPr>
        <w:pStyle w:val="Heading1"/>
      </w:pPr>
      <w:r>
        <w:t>5. Pass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2A60A1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2074"/>
            <w:shd w:fill="2A60A1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Anchor</w:t>
            </w:r>
          </w:p>
        </w:tc>
        <w:tc>
          <w:tcPr>
            <w:tcW w:type="dxa" w:w="2074"/>
            <w:shd w:fill="2A60A1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Input -&gt; output</w:t>
            </w:r>
          </w:p>
        </w:tc>
        <w:tc>
          <w:tcPr>
            <w:tcW w:type="dxa" w:w="2074"/>
            <w:shd w:fill="2A60A1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Analysis</w:t>
            </w:r>
          </w:p>
        </w:tc>
        <w:tc>
          <w:tcPr>
            <w:tcW w:type="dxa" w:w="2074"/>
            <w:shd w:fill="2A60A1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Failure/test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npu-decompose-composite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builtin.module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npu-legalize-input-to-graph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func.func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npu-fuse-matmul-epilogue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func.func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npu-apply-schedule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func.func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one-shot-bufferize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builtin.module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npu-lower-to-kernel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func.func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npu-lower-to-runtime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builtin.module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</w:tr>
    </w:tbl>
    <w:p>
      <w:pPr>
        <w:pStyle w:val="Heading1"/>
      </w:pPr>
      <w:r>
        <w:t>6. Schedule, Memory, and Quantization</w:t>
      </w:r>
    </w:p>
    <w:p>
      <w:pPr>
        <w:pStyle w:val="ListBullet"/>
      </w:pPr>
      <w:r>
        <w:rPr>
          <w:b/>
        </w:rPr>
        <w:t>Tile shape and loop order:</w:t>
      </w:r>
      <w:r>
        <w:t xml:space="preserve"> ______________________________</w:t>
      </w:r>
    </w:p>
    <w:p>
      <w:pPr>
        <w:pStyle w:val="ListBullet"/>
      </w:pPr>
      <w:r>
        <w:rPr>
          <w:b/>
        </w:rPr>
        <w:t>SRAM/ACCUM footprint calculation:</w:t>
      </w:r>
      <w:r>
        <w:t xml:space="preserve"> ______________________________</w:t>
      </w:r>
    </w:p>
    <w:p>
      <w:pPr>
        <w:pStyle w:val="ListBullet"/>
      </w:pPr>
      <w:r>
        <w:rPr>
          <w:b/>
        </w:rPr>
        <w:t>DMA order and barrier placement:</w:t>
      </w:r>
      <w:r>
        <w:t xml:space="preserve"> ______________________________</w:t>
      </w:r>
    </w:p>
    <w:p>
      <w:pPr>
        <w:pStyle w:val="ListBullet"/>
      </w:pPr>
      <w:r>
        <w:rPr>
          <w:b/>
        </w:rPr>
        <w:t>Layout propagation and materialization points:</w:t>
      </w:r>
      <w:r>
        <w:t xml:space="preserve"> ______________________________</w:t>
      </w:r>
    </w:p>
    <w:p>
      <w:pPr>
        <w:pStyle w:val="ListBullet"/>
      </w:pPr>
      <w:r>
        <w:rPr>
          <w:b/>
        </w:rPr>
        <w:t>Accumulator width and requantization formula:</w:t>
      </w:r>
      <w:r>
        <w:t xml:space="preserve"> ______________________________</w:t>
      </w:r>
    </w:p>
    <w:p>
      <w:pPr>
        <w:pStyle w:val="ListBullet"/>
      </w:pPr>
      <w:r>
        <w:rPr>
          <w:b/>
        </w:rPr>
        <w:t>INT4/INT8 packing policy:</w:t>
      </w:r>
      <w:r>
        <w:t xml:space="preserve"> ______________________________</w:t>
      </w:r>
    </w:p>
    <w:p>
      <w:pPr>
        <w:pStyle w:val="Heading1"/>
      </w:pPr>
      <w:r>
        <w:t>7. Runtime ABI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A60A1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2592"/>
            <w:shd w:fill="2A60A1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Fields</w:t>
            </w:r>
          </w:p>
        </w:tc>
        <w:tc>
          <w:tcPr>
            <w:tcW w:type="dxa" w:w="2592"/>
            <w:shd w:fill="2A60A1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Versioning/check</w:t>
            </w:r>
          </w:p>
        </w:tc>
        <w:tc>
          <w:tcPr>
            <w:tcW w:type="dxa" w:w="2592"/>
            <w:shd w:fill="2A60A1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Debug/replay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Tensor descriptor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address, shape, stride, dtype, layout, quant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Command buffer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header, descriptor table, records, relocation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Manifest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artifact files, target, ABI, checksum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Runtime API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  <w:t>create, submit, wait, destroy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</w:tr>
    </w:tbl>
    <w:p>
      <w:pPr>
        <w:pStyle w:val="Heading1"/>
      </w:pPr>
      <w:r>
        <w:t>8. Validation and Evaluation</w:t>
      </w:r>
    </w:p>
    <w:p>
      <w:pPr>
        <w:pStyle w:val="ListBullet"/>
      </w:pPr>
      <w:r>
        <w:rPr>
          <w:b/>
        </w:rPr>
        <w:t>Positive FileCheck test:</w:t>
      </w:r>
      <w:r>
        <w:t xml:space="preserve"> ______________________________</w:t>
      </w:r>
    </w:p>
    <w:p>
      <w:pPr>
        <w:pStyle w:val="ListBullet"/>
      </w:pPr>
      <w:r>
        <w:rPr>
          <w:b/>
        </w:rPr>
        <w:t>Negative diagnostics:</w:t>
      </w:r>
      <w:r>
        <w:t xml:space="preserve"> ______________________________</w:t>
      </w:r>
    </w:p>
    <w:p>
      <w:pPr>
        <w:pStyle w:val="ListBullet"/>
      </w:pPr>
      <w:r>
        <w:rPr>
          <w:b/>
        </w:rPr>
        <w:t>Numerical golden reference:</w:t>
      </w:r>
      <w:r>
        <w:t xml:space="preserve"> ______________________________</w:t>
      </w:r>
    </w:p>
    <w:p>
      <w:pPr>
        <w:pStyle w:val="ListBullet"/>
      </w:pPr>
      <w:r>
        <w:rPr>
          <w:b/>
        </w:rPr>
        <w:t>Performance model assumptions:</w:t>
      </w:r>
      <w:r>
        <w:t xml:space="preserve"> ______________________________</w:t>
      </w:r>
    </w:p>
    <w:p>
      <w:pPr>
        <w:pStyle w:val="ListBullet"/>
      </w:pPr>
      <w:r>
        <w:rPr>
          <w:b/>
        </w:rPr>
        <w:t>Runtime schema/replay test:</w:t>
      </w:r>
      <w:r>
        <w:t xml:space="preserve"> ______________________________</w:t>
      </w:r>
    </w:p>
    <w:p>
      <w:pPr>
        <w:pStyle w:val="ListBullet"/>
      </w:pPr>
      <w:r>
        <w:rPr>
          <w:b/>
        </w:rPr>
        <w:t>Known risks and future work:</w:t>
      </w:r>
      <w:r>
        <w:t xml:space="preserve"> ______________________________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2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A60A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