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77"/>
        <w:gridCol w:w="4677"/>
      </w:tblGrid>
      <w:tr>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5"/>
                <w:szCs w:val="25"/>
              </w:rPr>
              <w:t xml:space="preserve">CÔNG TY TNHH ĐẦU TƯ VÀ PHÁT TRIỂN ISC GROUP</w:t>
            </w:r>
          </w:p>
          <w:p>
            <w:pPr>
              <w:pBdr>
                <w:bottom w:val="single" w:color="222222" w:sz="6" w:space="1"/>
              </w:pBdr>
              <w:spacing w:after="0" w:before="0" w:line="312" w:lineRule="auto"/>
              <w:ind w:left="1403" w:right="1403"/>
              <w:jc w:val="center"/>
            </w:pPr>
          </w:p>
        </w:tc>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5"/>
                <w:szCs w:val="25"/>
              </w:rPr>
              <w:t xml:space="preserve">CỘNG HÒA XÃ HỘI CHỦ NGHĨA VIỆT NAM</w:t>
            </w:r>
          </w:p>
          <w:p>
            <w:pPr>
              <w:spacing w:after="0" w:before="0" w:line="312" w:lineRule="auto"/>
              <w:jc w:val="center"/>
            </w:pPr>
            <w:r>
              <w:rPr>
                <w:rFonts w:ascii="Times New Roman" w:cs="Times New Roman" w:eastAsia="Times New Roman" w:hAnsi="Times New Roman"/>
                <w:b/>
                <w:bCs/>
                <w:i w:val="false"/>
                <w:iCs w:val="false"/>
                <w:sz w:val="25"/>
                <w:szCs w:val="25"/>
                <w:u w:val="single"/>
              </w:rPr>
              <w:t xml:space="preserve">Độc lập - Tự do - Hạnh phúc</w:t>
            </w:r>
          </w:p>
        </w:tc>
      </w:tr>
      <w:tr>
        <w:tc>
          <w:tcPr>
            <w:tcW w:type="dxa" w:w="4677"/>
            <w:tcBorders>
              <w:top w:val="none" w:color="FFFFFF" w:sz="0"/>
              <w:left w:val="none" w:color="FFFFFF" w:sz="0"/>
              <w:bottom w:val="none" w:color="FFFFFF" w:sz="0"/>
              <w:right w:val="none" w:color="FFFFFF" w:sz="0"/>
            </w:tcBorders>
          </w:tcPr>
          <w:p>
            <w:pPr>
              <w:spacing w:after="0" w:before="200" w:line="312" w:lineRule="auto"/>
              <w:jc w:val="center"/>
            </w:pPr>
            <w:r>
              <w:rPr>
                <w:rFonts w:ascii="Times New Roman" w:cs="Times New Roman" w:eastAsia="Times New Roman" w:hAnsi="Times New Roman"/>
                <w:b w:val="false"/>
                <w:bCs w:val="false"/>
                <w:i w:val="false"/>
                <w:iCs w:val="false"/>
                <w:sz w:val="25"/>
                <w:szCs w:val="25"/>
              </w:rPr>
              <w:t xml:space="preserve">Số: </w:t>
            </w:r>
            <w:r>
              <w:rPr>
                <w:rFonts w:ascii="Times New Roman" w:cs="Times New Roman" w:eastAsia="Times New Roman" w:hAnsi="Times New Roman"/>
                <w:b w:val="false"/>
                <w:bCs w:val="false"/>
                <w:i w:val="false"/>
                <w:iCs w:val="false"/>
                <w:sz w:val="25"/>
                <w:szCs w:val="25"/>
                <w:highlight w:val="yellow"/>
                <w:highlightCs w:val="yellow"/>
              </w:rPr>
              <w:t xml:space="preserve">[Số hợp đồng]</w:t>
            </w:r>
          </w:p>
        </w:tc>
        <w:tc>
          <w:tcPr>
            <w:tcW w:type="dxa" w:w="4677"/>
            <w:tcBorders>
              <w:top w:val="none" w:color="FFFFFF" w:sz="0"/>
              <w:left w:val="none" w:color="FFFFFF" w:sz="0"/>
              <w:bottom w:val="none" w:color="FFFFFF" w:sz="0"/>
              <w:right w:val="none" w:color="FFFFFF" w:sz="0"/>
            </w:tcBorders>
          </w:tcPr>
          <w:p>
            <w:pPr>
              <w:spacing w:after="0" w:before="200" w:line="312" w:lineRule="auto"/>
              <w:jc w:val="center"/>
            </w:pPr>
            <w:r>
              <w:rPr>
                <w:rFonts w:ascii="Times New Roman" w:cs="Times New Roman" w:eastAsia="Times New Roman" w:hAnsi="Times New Roman"/>
                <w:b w:val="false"/>
                <w:bCs w:val="false"/>
                <w:i/>
                <w:iCs/>
                <w:sz w:val="25"/>
                <w:szCs w:val="25"/>
              </w:rPr>
              <w:t xml:space="preserve">Thành phố Hồ Chí Minh, ngày </w:t>
            </w:r>
            <w:r>
              <w:rPr>
                <w:rFonts w:ascii="Times New Roman" w:cs="Times New Roman" w:eastAsia="Times New Roman" w:hAnsi="Times New Roman"/>
                <w:b w:val="false"/>
                <w:bCs w:val="false"/>
                <w:i/>
                <w:iCs/>
                <w:sz w:val="25"/>
                <w:szCs w:val="25"/>
                <w:highlight w:val="yellow"/>
                <w:highlightCs w:val="yellow"/>
              </w:rPr>
              <w:t xml:space="preserve">[ngày ký]</w:t>
            </w:r>
          </w:p>
        </w:tc>
      </w:tr>
    </w:tbl>
    <w:p>
      <w:pPr>
        <w:spacing w:after="200" w:before="320" w:line="312" w:lineRule="auto"/>
        <w:jc w:val="center"/>
      </w:pPr>
      <w:r>
        <w:rPr>
          <w:rFonts w:ascii="Times New Roman" w:cs="Times New Roman" w:eastAsia="Times New Roman" w:hAnsi="Times New Roman"/>
          <w:b w:val="1"/>
          <w:bCs w:val="1"/>
          <w:i w:val="false"/>
          <w:iCs w:val="false"/>
          <w:sz w:val="32"/>
          <w:szCs w:val="32"/>
        </w:rPr>
        <w:t xml:space="preserve">HỢP ĐỒNG LAO ĐỘNG</w:t>
      </w:r>
    </w:p>
    <w:p>
      <w:pPr>
        <w:spacing w:after="20" w:before="0" w:line="312" w:lineRule="auto"/>
        <w:ind w:left="312"/>
        <w:jc w:val="left"/>
      </w:pPr>
      <w:r>
        <w:rPr>
          <w:rFonts w:ascii="Times New Roman" w:cs="Times New Roman" w:eastAsia="Times New Roman" w:hAnsi="Times New Roman"/>
          <w:b w:val="false"/>
          <w:bCs w:val="false"/>
          <w:i/>
          <w:iCs/>
          <w:sz w:val="26"/>
          <w:szCs w:val="26"/>
        </w:rPr>
        <w:t xml:space="preserve">Căn cứ Bộ luật Lao động số 45/2019/QH14 ngày 20/11/2019.</w:t>
      </w:r>
    </w:p>
    <w:p>
      <w:pPr>
        <w:spacing w:after="20" w:before="0" w:line="312" w:lineRule="auto"/>
        <w:ind w:left="312"/>
        <w:jc w:val="left"/>
      </w:pPr>
      <w:r>
        <w:rPr>
          <w:rFonts w:ascii="Times New Roman" w:cs="Times New Roman" w:eastAsia="Times New Roman" w:hAnsi="Times New Roman"/>
          <w:b w:val="false"/>
          <w:bCs w:val="false"/>
          <w:i/>
          <w:iCs/>
          <w:sz w:val="26"/>
          <w:szCs w:val="26"/>
        </w:rPr>
        <w:t xml:space="preserve">Căn cứ Bộ luật Dân sự số 91/2015/QH13 ngày 24/11/2015.</w:t>
      </w:r>
    </w:p>
    <w:p>
      <w:pPr>
        <w:spacing w:after="20" w:before="0" w:line="312" w:lineRule="auto"/>
        <w:ind w:left="312"/>
        <w:jc w:val="left"/>
      </w:pPr>
      <w:r>
        <w:rPr>
          <w:rFonts w:ascii="Times New Roman" w:cs="Times New Roman" w:eastAsia="Times New Roman" w:hAnsi="Times New Roman"/>
          <w:b w:val="false"/>
          <w:bCs w:val="false"/>
          <w:i/>
          <w:iCs/>
          <w:sz w:val="26"/>
          <w:szCs w:val="26"/>
        </w:rPr>
        <w:t xml:space="preserve">Căn cứ nhu cầu sử dụng lao động của Công ty và năng lực của Người lao động.</w:t>
      </w:r>
    </w:p>
    <w:p>
      <w:pPr>
        <w:spacing w:after="60" w:before="160" w:line="312" w:lineRule="auto"/>
        <w:ind w:firstLine="312"/>
        <w:jc w:val="both"/>
      </w:pPr>
      <w:r>
        <w:rPr>
          <w:rFonts w:ascii="Times New Roman" w:cs="Times New Roman" w:eastAsia="Times New Roman" w:hAnsi="Times New Roman"/>
          <w:b w:val="false"/>
          <w:bCs w:val="false"/>
          <w:i w:val="false"/>
          <w:iCs w:val="false"/>
          <w:sz w:val="26"/>
          <w:szCs w:val="26"/>
        </w:rPr>
        <w:t xml:space="preserve">Hôm nay, ngày </w:t>
      </w:r>
      <w:r>
        <w:rPr>
          <w:rFonts w:ascii="Times New Roman" w:cs="Times New Roman" w:eastAsia="Times New Roman" w:hAnsi="Times New Roman"/>
          <w:b w:val="false"/>
          <w:bCs w:val="false"/>
          <w:i w:val="false"/>
          <w:iCs w:val="false"/>
          <w:sz w:val="26"/>
          <w:szCs w:val="26"/>
          <w:highlight w:val="yellow"/>
          <w:highlightCs w:val="yellow"/>
        </w:rPr>
        <w:t xml:space="preserve">[ngày ký]</w:t>
      </w:r>
      <w:r>
        <w:rPr>
          <w:rFonts w:ascii="Times New Roman" w:cs="Times New Roman" w:eastAsia="Times New Roman" w:hAnsi="Times New Roman"/>
          <w:b w:val="false"/>
          <w:bCs w:val="false"/>
          <w:i w:val="false"/>
          <w:iCs w:val="false"/>
          <w:sz w:val="26"/>
          <w:szCs w:val="26"/>
        </w:rPr>
        <w:t xml:space="preserve">, tại trụ sở Công ty TNHH Đầu tư và Phát triển ISC Group, chúng tôi gồm:</w:t>
      </w:r>
    </w:p>
    <w:p>
      <w:pPr>
        <w:keepNext/>
        <w:spacing w:after="60" w:before="200" w:line="312" w:lineRule="auto"/>
        <w:jc w:val="both"/>
      </w:pPr>
      <w:r>
        <w:rPr>
          <w:rFonts w:ascii="Times New Roman" w:cs="Times New Roman" w:eastAsia="Times New Roman" w:hAnsi="Times New Roman"/>
          <w:b w:val="1"/>
          <w:bCs w:val="1"/>
          <w:i w:val="false"/>
          <w:iCs w:val="false"/>
          <w:sz w:val="26"/>
          <w:szCs w:val="26"/>
        </w:rPr>
        <w:t xml:space="preserve">NGƯỜI SỬ DỤNG LAO ĐỘNG</w:t>
      </w:r>
      <w:r>
        <w:rPr>
          <w:rFonts w:ascii="Times New Roman" w:cs="Times New Roman" w:eastAsia="Times New Roman" w:hAnsi="Times New Roman"/>
          <w:b/>
          <w:bCs/>
          <w:sz w:val="26"/>
          <w:szCs w:val="26"/>
        </w:rPr>
        <w:t xml:space="preserve">:</w:t>
      </w:r>
    </w:p>
    <w:p>
      <w:pPr>
        <w:spacing w:after="60" w:before="0" w:line="312" w:lineRule="auto"/>
        <w:ind w:left="312"/>
        <w:jc w:val="both"/>
      </w:pPr>
      <w:r>
        <w:rPr>
          <w:rFonts w:ascii="Times New Roman" w:cs="Times New Roman" w:eastAsia="Times New Roman" w:hAnsi="Times New Roman"/>
          <w:b w:val="1"/>
          <w:bCs w:val="1"/>
          <w:i w:val="false"/>
          <w:iCs w:val="false"/>
          <w:sz w:val="26"/>
          <w:szCs w:val="26"/>
        </w:rPr>
        <w:t xml:space="preserve">CÔNG TY TNHH ĐẦU TƯ VÀ PHÁT TRIỂN ISC GROUP (sau đây gọi là “Công ty”)</w:t>
      </w:r>
    </w:p>
    <w:tbl>
      <w:tblPr>
        <w:tblW w:type="dxa" w:w="9042"/>
        <w:tblInd w:type="dxa" w:w="3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280"/>
        <w:gridCol w:w="6062"/>
      </w:tblGrid>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Tên tiếng nước ngoài</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ISC GROUP INVESTMENT AND DEVELOPMENT COMPANY LIMITED</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Tên viết tắt</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ISC GROUP CO.,LTD</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Đại diện</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Ông </w:t>
            </w:r>
            <w:r>
              <w:rPr>
                <w:rFonts w:ascii="Times New Roman" w:cs="Times New Roman" w:eastAsia="Times New Roman" w:hAnsi="Times New Roman"/>
                <w:b/>
                <w:bCs/>
                <w:i w:val="false"/>
                <w:iCs w:val="false"/>
                <w:sz w:val="26"/>
                <w:szCs w:val="26"/>
              </w:rPr>
              <w:t xml:space="preserve">LÊ THÁI SƠN</w:t>
            </w: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i w:val="false"/>
                <w:iCs w:val="false"/>
                <w:sz w:val="26"/>
                <w:szCs w:val="26"/>
              </w:rPr>
              <w:t xml:space="preserve">Quốc tịch: Việt Nam</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Chức vụ</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Giám đốc</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Trụ sở</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47 Đường số 10, Khu phố 63, Phường Hiệp Bình, Thành phố Hồ Chí Minh, Việt Nam</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Mã số thuế</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0319719705</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Điện thoại</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0901351678</w:t>
            </w:r>
          </w:p>
        </w:tc>
      </w:tr>
    </w:tbl>
    <w:p>
      <w:pPr>
        <w:keepNext/>
        <w:spacing w:after="60" w:before="200" w:line="312" w:lineRule="auto"/>
        <w:jc w:val="both"/>
      </w:pPr>
      <w:r>
        <w:rPr>
          <w:rFonts w:ascii="Times New Roman" w:cs="Times New Roman" w:eastAsia="Times New Roman" w:hAnsi="Times New Roman"/>
          <w:b w:val="1"/>
          <w:bCs w:val="1"/>
          <w:i w:val="false"/>
          <w:iCs w:val="false"/>
          <w:sz w:val="26"/>
          <w:szCs w:val="26"/>
        </w:rPr>
        <w:t xml:space="preserve">NGƯỜI LAO ĐỘNG</w:t>
      </w:r>
      <w:r>
        <w:rPr>
          <w:rFonts w:ascii="Times New Roman" w:cs="Times New Roman" w:eastAsia="Times New Roman" w:hAnsi="Times New Roman"/>
          <w:b/>
          <w:bCs/>
          <w:sz w:val="26"/>
          <w:szCs w:val="26"/>
        </w:rPr>
        <w:t xml:space="preserve">:</w:t>
      </w:r>
    </w:p>
    <w:tbl>
      <w:tblPr>
        <w:tblW w:type="dxa" w:w="9042"/>
        <w:tblInd w:type="dxa" w:w="3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280"/>
        <w:gridCol w:w="6062"/>
      </w:tblGrid>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Họ và tên</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[Ông/Bà]</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highlight w:val="yellow"/>
                <w:highlightCs w:val="yellow"/>
              </w:rPr>
              <w:t xml:space="preserve">[HỌ VÀ TÊN]</w:t>
            </w: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i w:val="false"/>
                <w:iCs w:val="false"/>
                <w:sz w:val="26"/>
                <w:szCs w:val="26"/>
              </w:rPr>
              <w:t xml:space="preserve">Quốc tịch: Việt Nam</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Ngày sinh</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[Ngày sinh]</w:t>
            </w: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i w:val="false"/>
                <w:iCs w:val="false"/>
                <w:sz w:val="26"/>
                <w:szCs w:val="26"/>
              </w:rPr>
              <w:t xml:space="preserve">Giới tính: </w:t>
            </w:r>
            <w:r>
              <w:rPr>
                <w:rFonts w:ascii="Times New Roman" w:cs="Times New Roman" w:eastAsia="Times New Roman" w:hAnsi="Times New Roman"/>
                <w:b w:val="false"/>
                <w:bCs w:val="false"/>
                <w:i w:val="false"/>
                <w:iCs w:val="false"/>
                <w:sz w:val="26"/>
                <w:szCs w:val="26"/>
                <w:highlight w:val="yellow"/>
                <w:highlightCs w:val="yellow"/>
              </w:rPr>
              <w:t xml:space="preserve">[Giới tính]</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Số CCCD</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[Số CCCD]</w:t>
            </w: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i w:val="false"/>
                <w:iCs w:val="false"/>
                <w:sz w:val="26"/>
                <w:szCs w:val="26"/>
              </w:rPr>
              <w:t xml:space="preserve">Cấp ngày: </w:t>
            </w:r>
            <w:r>
              <w:rPr>
                <w:rFonts w:ascii="Times New Roman" w:cs="Times New Roman" w:eastAsia="Times New Roman" w:hAnsi="Times New Roman"/>
                <w:b w:val="false"/>
                <w:bCs w:val="false"/>
                <w:i w:val="false"/>
                <w:iCs w:val="false"/>
                <w:sz w:val="26"/>
                <w:szCs w:val="26"/>
                <w:highlight w:val="yellow"/>
                <w:highlightCs w:val="yellow"/>
              </w:rPr>
              <w:t xml:space="preserve">[Ngày cấp]</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Nơi cấp</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[Nơi cấp]</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Địa chỉ thường trú</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[Địa chỉ thường trú]</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Nơi ở hiện tại</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[Nơi ở hiện tại]</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Điện thoại</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[Số điện thoại]</w:t>
            </w:r>
          </w:p>
        </w:tc>
      </w:tr>
    </w:tbl>
    <w:p>
      <w:pPr>
        <w:spacing w:after="60" w:before="160" w:line="312" w:lineRule="auto"/>
        <w:ind w:firstLine="312"/>
        <w:jc w:val="both"/>
      </w:pPr>
      <w:r>
        <w:rPr>
          <w:rFonts w:ascii="Times New Roman" w:cs="Times New Roman" w:eastAsia="Times New Roman" w:hAnsi="Times New Roman"/>
          <w:b w:val="false"/>
          <w:bCs w:val="false"/>
          <w:i/>
          <w:iCs/>
          <w:sz w:val="26"/>
          <w:szCs w:val="26"/>
        </w:rPr>
        <w:t xml:space="preserve">(sau đây gọi là “Người lao động”)</w:t>
      </w:r>
    </w:p>
    <w:p>
      <w:pPr>
        <w:spacing w:after="60" w:before="160" w:line="312" w:lineRule="auto"/>
        <w:ind w:firstLine="312"/>
        <w:jc w:val="both"/>
      </w:pPr>
      <w:r>
        <w:rPr>
          <w:rFonts w:ascii="Times New Roman" w:cs="Times New Roman" w:eastAsia="Times New Roman" w:hAnsi="Times New Roman"/>
          <w:b w:val="false"/>
          <w:bCs w:val="false"/>
          <w:i/>
          <w:iCs/>
          <w:sz w:val="26"/>
          <w:szCs w:val="26"/>
        </w:rPr>
        <w:t xml:space="preserve">Hai bên thỏa thuận ký kết Hợp đồng lao động (sau đây gọi là “Hợp đồng”) và cam kết thực hiện đúng những điều khoản sau đây:</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1	</w:t>
      </w:r>
      <w:r>
        <w:rPr>
          <w:rFonts w:ascii="Times New Roman" w:cs="Times New Roman" w:eastAsia="Times New Roman" w:hAnsi="Times New Roman"/>
          <w:b w:val="1"/>
          <w:bCs w:val="1"/>
          <w:i w:val="false"/>
          <w:iCs w:val="false"/>
          <w:sz w:val="26"/>
          <w:szCs w:val="26"/>
        </w:rPr>
        <w:t xml:space="preserve">Thời hạn, công việc và địa điểm làm việc</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1.1	</w:t>
      </w:r>
      <w:r>
        <w:rPr>
          <w:rFonts w:ascii="Times New Roman" w:cs="Times New Roman" w:eastAsia="Times New Roman" w:hAnsi="Times New Roman"/>
          <w:b w:val="1"/>
          <w:bCs w:val="1"/>
          <w:i w:val="false"/>
          <w:iCs w:val="false"/>
          <w:sz w:val="26"/>
          <w:szCs w:val="26"/>
        </w:rPr>
        <w:t xml:space="preserve">Loại hợp đồng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Loại hợp đồng: Hợp đồng lao động xác định thời hạn 12 (mười hai) tháng.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Thời hạn hợp đồng: Từ ngày </w:t>
      </w:r>
      <w:r>
        <w:rPr>
          <w:rFonts w:ascii="Times New Roman" w:cs="Times New Roman" w:eastAsia="Times New Roman" w:hAnsi="Times New Roman"/>
          <w:b w:val="false"/>
          <w:bCs w:val="false"/>
          <w:i w:val="false"/>
          <w:iCs w:val="false"/>
          <w:sz w:val="26"/>
          <w:szCs w:val="26"/>
          <w:highlight w:val="yellow"/>
          <w:highlightCs w:val="yellow"/>
        </w:rPr>
        <w:t xml:space="preserve">[ngày hiệu lực HĐLĐ]</w:t>
      </w:r>
      <w:r>
        <w:rPr>
          <w:rFonts w:ascii="Times New Roman" w:cs="Times New Roman" w:eastAsia="Times New Roman" w:hAnsi="Times New Roman"/>
          <w:b w:val="false"/>
          <w:bCs w:val="false"/>
          <w:i w:val="false"/>
          <w:iCs w:val="false"/>
          <w:sz w:val="26"/>
          <w:szCs w:val="26"/>
        </w:rPr>
        <w:t xml:space="preserve"> đến hết ngày </w:t>
      </w:r>
      <w:r>
        <w:rPr>
          <w:rFonts w:ascii="Times New Roman" w:cs="Times New Roman" w:eastAsia="Times New Roman" w:hAnsi="Times New Roman"/>
          <w:b w:val="false"/>
          <w:bCs w:val="false"/>
          <w:i w:val="false"/>
          <w:iCs w:val="false"/>
          <w:sz w:val="26"/>
          <w:szCs w:val="26"/>
          <w:highlight w:val="yellow"/>
          <w:highlightCs w:val="yellow"/>
        </w:rPr>
        <w:t xml:space="preserve">[ngày kết thúc HĐLĐ]</w:t>
      </w:r>
      <w:r>
        <w:rPr>
          <w:rFonts w:ascii="Times New Roman" w:cs="Times New Roman" w:eastAsia="Times New Roman" w:hAnsi="Times New Roman"/>
          <w:b w:val="false"/>
          <w:bCs w:val="false"/>
          <w:i w:val="false"/>
          <w:iCs w:val="false"/>
          <w:sz w:val="26"/>
          <w:szCs w:val="26"/>
        </w:rPr>
        <w:t xml:space="preserve">.</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1.2	</w:t>
      </w:r>
      <w:r>
        <w:rPr>
          <w:rFonts w:ascii="Times New Roman" w:cs="Times New Roman" w:eastAsia="Times New Roman" w:hAnsi="Times New Roman"/>
          <w:b w:val="1"/>
          <w:bCs w:val="1"/>
          <w:i w:val="false"/>
          <w:iCs w:val="false"/>
          <w:sz w:val="26"/>
          <w:szCs w:val="26"/>
        </w:rPr>
        <w:t xml:space="preserve">Địa điểm làm việc</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Địa điểm làm việc chính: </w:t>
      </w:r>
      <w:r>
        <w:rPr>
          <w:rFonts w:ascii="Times New Roman" w:cs="Times New Roman" w:eastAsia="Times New Roman" w:hAnsi="Times New Roman"/>
          <w:b w:val="false"/>
          <w:bCs w:val="false"/>
          <w:i w:val="false"/>
          <w:iCs w:val="false"/>
          <w:sz w:val="26"/>
          <w:szCs w:val="26"/>
          <w:highlight w:val="yellow"/>
          <w:highlightCs w:val="yellow"/>
        </w:rPr>
        <w:t xml:space="preserve">[Tên cửa hàng]</w:t>
      </w:r>
      <w:r>
        <w:rPr>
          <w:rFonts w:ascii="Times New Roman" w:cs="Times New Roman" w:eastAsia="Times New Roman" w:hAnsi="Times New Roman"/>
          <w:b w:val="false"/>
          <w:bCs w:val="false"/>
          <w:i w:val="false"/>
          <w:iCs w:val="false"/>
          <w:sz w:val="26"/>
          <w:szCs w:val="26"/>
        </w:rPr>
        <w:t xml:space="preserve">, địa chỉ </w:t>
      </w:r>
      <w:r>
        <w:rPr>
          <w:rFonts w:ascii="Times New Roman" w:cs="Times New Roman" w:eastAsia="Times New Roman" w:hAnsi="Times New Roman"/>
          <w:b w:val="false"/>
          <w:bCs w:val="false"/>
          <w:i w:val="false"/>
          <w:iCs w:val="false"/>
          <w:sz w:val="26"/>
          <w:szCs w:val="26"/>
          <w:highlight w:val="yellow"/>
          <w:highlightCs w:val="yellow"/>
        </w:rPr>
        <w:t xml:space="preserve">[Địa chỉ cửa hàng]</w:t>
      </w:r>
      <w:r>
        <w:rPr>
          <w:rFonts w:ascii="Times New Roman" w:cs="Times New Roman" w:eastAsia="Times New Roman" w:hAnsi="Times New Roman"/>
          <w:b w:val="false"/>
          <w:bCs w:val="false"/>
          <w:i w:val="false"/>
          <w:iCs w:val="false"/>
          <w:sz w:val="26"/>
          <w:szCs w:val="26"/>
        </w:rPr>
        <w:t xml:space="preserve">.</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Địa điểm làm việc khác: Căn cứ nhu cầu vận hành, Công ty có thể bố trí Người lao động làm việc tại các cửa hàng, địa điểm kinh doanh khác thuộc hệ thống của Công ty trên địa bàn Thành phố Hồ Chí Minh, phù hợp với công việc theo Hợp đồng. Việc bố trí này không làm thay đổi chức danh, tiền lương đã thỏa thuận và được thực hiện theo quy định pháp luật.</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1.3	</w:t>
      </w:r>
      <w:r>
        <w:rPr>
          <w:rFonts w:ascii="Times New Roman" w:cs="Times New Roman" w:eastAsia="Times New Roman" w:hAnsi="Times New Roman"/>
          <w:b w:val="1"/>
          <w:bCs w:val="1"/>
          <w:i w:val="false"/>
          <w:iCs w:val="false"/>
          <w:sz w:val="26"/>
          <w:szCs w:val="26"/>
        </w:rPr>
        <w:t xml:space="preserve">Chức vụ/chức danh: QUẢN LÝ CỬA HÀNG (STORE MANAGER)</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1.4	</w:t>
      </w:r>
      <w:r>
        <w:rPr>
          <w:rFonts w:ascii="Times New Roman" w:cs="Times New Roman" w:eastAsia="Times New Roman" w:hAnsi="Times New Roman"/>
          <w:b w:val="1"/>
          <w:bCs w:val="1"/>
          <w:i w:val="false"/>
          <w:iCs w:val="false"/>
          <w:sz w:val="26"/>
          <w:szCs w:val="26"/>
        </w:rPr>
        <w:t xml:space="preserve">Nội dung công việc/Mô tả công việc</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Vai trò chính: Chịu trách nhiệm cao nhất về hoạt động vận hành hằng ngày tại cửa hàng của thương hiệu Comfy Coffee &amp; Bakes (sau đây gọi là “Comfy”), gồm điều phối nhân sự, kiểm soát chất lượng dịch vụ, bảo vệ tài sản và xử lý sự cố phát sinh.</w:t>
      </w:r>
    </w:p>
    <w:p>
      <w:pPr>
        <w:keepNext/>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Nhiệm vụ công việc:</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Thực hiện công việc theo đúng chức danh tại khoản 1.3 dưới sự quản lý, phân công của Công ty, theo các quy trình vận hành chuẩn (SOP) và hướng dẫn công việc được phổ biến cho Người lao động.</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Phối hợp với các bộ phận khác để bảo đảm hiệu quả công việc.</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Thực hiện các công việc khác có liên quan đến chuyên môn, nghiệp vụ theo sự phân công hợp lý của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Thời gian làm việc: Người lao động sắp xếp thời giờ làm việc để có mặt tại cửa hàng trong khung giờ cao điểm, các ngày cuối tuần, lễ, Tết, và sẵn sàng có mặt khi lượng khách tăng đột biến hoặc cửa hàng thiếu nhân sự nghiêm trọng (Trách nhiệm Standby). Thù lao cho Trách nhiệm Standby đã được tính trong thu nhập tại điểm (i) khoản 3.1.</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Quyền hạn: Được quyền nhắc nhở, lập biên bản hoặc yêu cầu nhân viên ngừng làm việc trong ca nếu vi phạm nghiêm trọng nội quy an toàn, vệ sinh hoặc thái độ với khách. Việc tạm ngừng chỉ áp dụng trong ca, báo cáo ngay cho cấp quản lý trực tiếp và không phải là tạm đình chỉ công việc theo Điều 128 Bộ luật Lao động. Được quyền sắp xếp, thay đổi ca làm của nhân viên (có thông báo).</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	</w:t>
      </w:r>
      <w:r>
        <w:rPr>
          <w:rFonts w:ascii="Times New Roman" w:cs="Times New Roman" w:eastAsia="Times New Roman" w:hAnsi="Times New Roman"/>
          <w:b w:val="false"/>
          <w:bCs w:val="false"/>
          <w:i w:val="false"/>
          <w:iCs w:val="false"/>
          <w:sz w:val="26"/>
          <w:szCs w:val="26"/>
        </w:rPr>
        <w:t xml:space="preserve">Công ty có thể tạm thời chuyển Người lao động làm công việc khác so với Hợp đồng trong các trường hợp, thời hạn và theo trình tự quy định tại Điều 29 Bộ luật Lao động và Nội quy lao động. Việc thay đổi chức danh, công việc hoặc bộ phận làm việc lâu dài của Người lao động được thực hiện theo thỏa thuận của hai bên bằng phụ lục hợp đồng hoặc hợp đồng mới.</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(vi)	</w:t>
      </w:r>
      <w:r>
        <w:rPr>
          <w:rFonts w:ascii="Times New Roman" w:cs="Times New Roman" w:eastAsia="Times New Roman" w:hAnsi="Times New Roman"/>
          <w:b w:val="false"/>
          <w:bCs w:val="false"/>
          <w:i w:val="false"/>
          <w:iCs w:val="false"/>
          <w:sz w:val="26"/>
          <w:szCs w:val="26"/>
        </w:rPr>
        <w:t xml:space="preserve">Hoàn thành tốt công việc được giao theo định mức khối lượng, thời gian và đạt chất lượng theo quy định, chấp hành tốt nội quy kỷ luật, chấp hành nghiêm chỉnh quy trình vận hành, quy trình thao tác công nghệ, bảo quản thiết bị, quy trình an toàn lao động.</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2	</w:t>
      </w:r>
      <w:r>
        <w:rPr>
          <w:rFonts w:ascii="Times New Roman" w:cs="Times New Roman" w:eastAsia="Times New Roman" w:hAnsi="Times New Roman"/>
          <w:b w:val="1"/>
          <w:bCs w:val="1"/>
          <w:i w:val="false"/>
          <w:iCs w:val="false"/>
          <w:sz w:val="26"/>
          <w:szCs w:val="26"/>
        </w:rPr>
        <w:t xml:space="preserve">Chế độ làm việc</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2.1	</w:t>
      </w:r>
      <w:r>
        <w:rPr>
          <w:rFonts w:ascii="Times New Roman" w:cs="Times New Roman" w:eastAsia="Times New Roman" w:hAnsi="Times New Roman"/>
          <w:b w:val="1"/>
          <w:bCs w:val="1"/>
          <w:i w:val="false"/>
          <w:iCs w:val="false"/>
          <w:sz w:val="26"/>
          <w:szCs w:val="26"/>
        </w:rPr>
        <w:t xml:space="preserve">Thời giờ làm việc và nghỉ ngơi</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Thời gian làm việc: 08 giờ/ngày, 06 ngày/tuần, không áp dụng ca cố định. Người lao động chủ động bố trí giờ bắt đầu và giờ kết thúc trong khung giờ hoạt động của cửa hàng, bảo đảm đủ 08 giờ làm việc mỗi ngày và không vượt quá giới hạn thời giờ làm việc theo quy định pháp luật. Lịch làm việc do Người lao động đăng ký và được Tổng Quản lý (General Manager) phê duyệt theo điểm (v) khoản 2.1.</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Nghỉ giữa ca: Người lao động được nghỉ giữa ca ít nhất 30 phút liên tục, tự sắp xếp phù hợp với tình hình vận hành của cửa hàng.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Trực đóng ca: Để bảo đảm kiểm soát quy trình đóng ca, vệ sinh và bàn giao, Người lao động trực đóng ca (có mặt đến khi hoàn tất quy trình đóng cửa hàng) tối thiểu 10 (mười) ngày/tháng, bảo đảm định mức này trong một kỳ lương.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Nghỉ hằng tuần: Người lao động được nghỉ 01 ngày/tuần. Người lao động đăng ký ngày nghỉ của tuần kế tiếp với Tổng Quản lý (General Manager) chậm nhất vào Thứ Năm của tuần hiện tại, ngày đăng ký nghỉ không rơi vào Thứ Bảy, Chủ Nhật. Tổng Quản lý phê duyệt lịch nghỉ trên cơ sở nguyện vọng của Người lao động và tình hình nhân sự thực tế, bảo đảm đủ nhân sự vận hành trong các ngày cao điểm.</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	</w:t>
      </w:r>
      <w:r>
        <w:rPr>
          <w:rFonts w:ascii="Times New Roman" w:cs="Times New Roman" w:eastAsia="Times New Roman" w:hAnsi="Times New Roman"/>
          <w:b w:val="false"/>
          <w:bCs w:val="false"/>
          <w:i w:val="false"/>
          <w:iCs w:val="false"/>
          <w:sz w:val="26"/>
          <w:szCs w:val="26"/>
        </w:rPr>
        <w:t xml:space="preserve">Lịch làm việc chính thức của Người lao động do Tổng Quản lý chốt và công bố hằng tuần. Tổng Quản lý có quyền điều chỉnh lịch làm việc để phù hợp với tình hình nhân sự thực tế, với điều kiện thông báo trước cho Người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(vi)	</w:t>
      </w:r>
      <w:r>
        <w:rPr>
          <w:rFonts w:ascii="Times New Roman" w:cs="Times New Roman" w:eastAsia="Times New Roman" w:hAnsi="Times New Roman"/>
          <w:b w:val="false"/>
          <w:bCs w:val="false"/>
          <w:i w:val="false"/>
          <w:iCs w:val="false"/>
          <w:sz w:val="26"/>
          <w:szCs w:val="26"/>
        </w:rPr>
        <w:t xml:space="preserve">Làm thêm giờ: Việc làm thêm giờ chỉ được tính và chi trả khi có yêu cầu hoặc phê duyệt trước bằng văn bản, tin nhắn của Tổng Quản lý (General Manager) hoặc cấp quản lý cao hơn. Thời gian Người lao động tự ý ở lại cửa hàng khi không có yêu cầu không được tính là thời gian làm thêm giờ. Việc có mặt tại cửa hàng để thực hiện Trách nhiệm Standby hoặc giám sát ngoài ca theo điểm (iii) khoản 1.4, khi không có yêu cầu làm thêm giờ chính thức, không được tính là thời gian làm thêm giờ.</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2.2	</w:t>
      </w:r>
      <w:r>
        <w:rPr>
          <w:rFonts w:ascii="Times New Roman" w:cs="Times New Roman" w:eastAsia="Times New Roman" w:hAnsi="Times New Roman"/>
          <w:b w:val="1"/>
          <w:bCs w:val="1"/>
          <w:i w:val="false"/>
          <w:iCs w:val="false"/>
          <w:sz w:val="26"/>
          <w:szCs w:val="26"/>
        </w:rPr>
        <w:t xml:space="preserve">Trang thiết bị làm việc</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Công ty cấp phát thiết bị và công cụ làm việc theo nhu cầu công việc, do Tổng Quản lý đánh giá.</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2.3	</w:t>
      </w:r>
      <w:r>
        <w:rPr>
          <w:rFonts w:ascii="Times New Roman" w:cs="Times New Roman" w:eastAsia="Times New Roman" w:hAnsi="Times New Roman"/>
          <w:b w:val="1"/>
          <w:bCs w:val="1"/>
          <w:i w:val="false"/>
          <w:iCs w:val="false"/>
          <w:sz w:val="26"/>
          <w:szCs w:val="26"/>
        </w:rPr>
        <w:t xml:space="preserve">Điều kiện làm việc</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Điều kiện an toàn, vệ sinh lao động được thực hiện theo quy định pháp luật hiện hành.</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2.4	</w:t>
      </w:r>
      <w:r>
        <w:rPr>
          <w:rFonts w:ascii="Times New Roman" w:cs="Times New Roman" w:eastAsia="Times New Roman" w:hAnsi="Times New Roman"/>
          <w:b w:val="1"/>
          <w:bCs w:val="1"/>
          <w:i w:val="false"/>
          <w:iCs w:val="false"/>
          <w:sz w:val="26"/>
          <w:szCs w:val="26"/>
        </w:rPr>
        <w:t xml:space="preserve">Trang bị bảo hộ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Người lao động được trang bị đồng phục và các công cụ khác (nếu có) phù hợp với tính chất công việc.</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3	</w:t>
      </w:r>
      <w:r>
        <w:rPr>
          <w:rFonts w:ascii="Times New Roman" w:cs="Times New Roman" w:eastAsia="Times New Roman" w:hAnsi="Times New Roman"/>
          <w:b w:val="1"/>
          <w:bCs w:val="1"/>
          <w:i w:val="false"/>
          <w:iCs w:val="false"/>
          <w:sz w:val="26"/>
          <w:szCs w:val="26"/>
        </w:rPr>
        <w:t xml:space="preserve">Quyền lợi và nghĩa vụ của Người lao động</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3.1	</w:t>
      </w:r>
      <w:r>
        <w:rPr>
          <w:rFonts w:ascii="Times New Roman" w:cs="Times New Roman" w:eastAsia="Times New Roman" w:hAnsi="Times New Roman"/>
          <w:b w:val="1"/>
          <w:bCs w:val="1"/>
          <w:i w:val="false"/>
          <w:iCs w:val="false"/>
          <w:sz w:val="26"/>
          <w:szCs w:val="26"/>
        </w:rPr>
        <w:t xml:space="preserve">Quyền lợi</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Thu nhập hằng tháng</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bCs/>
          <w:i w:val="false"/>
          <w:iCs w:val="false"/>
          <w:sz w:val="26"/>
          <w:szCs w:val="26"/>
        </w:rPr>
        <w:t xml:space="preserve">Tiền lương:</w:t>
      </w:r>
    </w:p>
    <w:tbl>
      <w:tblPr>
        <w:tblW w:type="dxa" w:w="7794"/>
        <w:tblInd w:type="dxa" w:w="15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38"/>
        <w:gridCol w:w="2806"/>
        <w:gridCol w:w="2650"/>
      </w:tblGrid>
      <w:tr>
        <w:trPr>
          <w:cantSplit/>
          <w:tblHeader/>
        </w:trPr>
        <w:tc>
          <w:tcPr>
            <w:tcW w:type="dxa" w:w="2338"/>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Khoản</w:t>
            </w:r>
          </w:p>
        </w:tc>
        <w:tc>
          <w:tcPr>
            <w:tcW w:type="dxa" w:w="2806"/>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Mức</w:t>
            </w:r>
          </w:p>
        </w:tc>
        <w:tc>
          <w:tcPr>
            <w:tcW w:type="dxa" w:w="2650"/>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Bằng chữ</w:t>
            </w:r>
          </w:p>
        </w:tc>
      </w:tr>
      <w:tr>
        <w:trPr>
          <w:cantSplit/>
        </w:trPr>
        <w:tc>
          <w:tcPr>
            <w:tcW w:type="dxa" w:w="2338"/>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val="false"/>
                <w:bCs w:val="false"/>
                <w:i w:val="false"/>
                <w:iCs w:val="false"/>
                <w:sz w:val="24"/>
                <w:szCs w:val="24"/>
              </w:rPr>
              <w:t xml:space="preserve">Lương cơ bản</w:t>
            </w:r>
          </w:p>
        </w:tc>
        <w:tc>
          <w:tcPr>
            <w:tcW w:type="dxa" w:w="2806"/>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right"/>
            </w:pPr>
            <w:r>
              <w:rPr>
                <w:rFonts w:ascii="Times New Roman" w:cs="Times New Roman" w:eastAsia="Times New Roman" w:hAnsi="Times New Roman"/>
                <w:b w:val="false"/>
                <w:bCs w:val="false"/>
                <w:i w:val="false"/>
                <w:iCs w:val="false"/>
                <w:sz w:val="24"/>
                <w:szCs w:val="24"/>
              </w:rPr>
              <w:t xml:space="preserve">5.600.000 đồng/tháng</w:t>
            </w:r>
          </w:p>
        </w:tc>
        <w:tc>
          <w:tcPr>
            <w:tcW w:type="dxa" w:w="2650"/>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val="false"/>
                <w:bCs w:val="false"/>
                <w:i/>
                <w:iCs/>
                <w:sz w:val="24"/>
                <w:szCs w:val="24"/>
              </w:rPr>
              <w:t xml:space="preserve">Năm triệu sáu trăm nghìn đồng</w:t>
            </w:r>
          </w:p>
        </w:tc>
      </w:tr>
    </w:tbl>
    <w:p>
      <w:pPr>
        <w:spacing w:after="60" w:before="0" w:line="312" w:lineRule="auto"/>
        <w:jc w:val="both"/>
      </w:pP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bCs/>
          <w:i w:val="false"/>
          <w:iCs w:val="false"/>
          <w:sz w:val="26"/>
          <w:szCs w:val="26"/>
        </w:rPr>
        <w:t xml:space="preserve">Các chế độ phúc lợi và thưởng</w:t>
      </w:r>
      <w:r>
        <w:rPr>
          <w:rFonts w:ascii="Times New Roman" w:cs="Times New Roman" w:eastAsia="Times New Roman" w:hAnsi="Times New Roman"/>
          <w:b w:val="false"/>
          <w:bCs w:val="false"/>
          <w:i w:val="false"/>
          <w:iCs w:val="false"/>
          <w:sz w:val="26"/>
          <w:szCs w:val="26"/>
        </w:rPr>
        <w:t xml:space="preserve">:</w:t>
      </w:r>
    </w:p>
    <w:tbl>
      <w:tblPr>
        <w:tblW w:type="dxa" w:w="7794"/>
        <w:tblInd w:type="dxa" w:w="15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38"/>
        <w:gridCol w:w="2806"/>
        <w:gridCol w:w="2650"/>
      </w:tblGrid>
      <w:tr>
        <w:trPr>
          <w:cantSplit/>
          <w:tblHeader/>
        </w:trPr>
        <w:tc>
          <w:tcPr>
            <w:tcW w:type="dxa" w:w="2338"/>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Khoản</w:t>
            </w:r>
          </w:p>
        </w:tc>
        <w:tc>
          <w:tcPr>
            <w:tcW w:type="dxa" w:w="2806"/>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Mức</w:t>
            </w:r>
          </w:p>
        </w:tc>
        <w:tc>
          <w:tcPr>
            <w:tcW w:type="dxa" w:w="2650"/>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Bằng chữ</w:t>
            </w:r>
          </w:p>
        </w:tc>
      </w:tr>
      <w:tr>
        <w:trPr>
          <w:cantSplit/>
        </w:trPr>
        <w:tc>
          <w:tcPr>
            <w:tcW w:type="dxa" w:w="2338"/>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val="false"/>
                <w:bCs w:val="false"/>
                <w:i w:val="false"/>
                <w:iCs w:val="false"/>
                <w:sz w:val="24"/>
                <w:szCs w:val="24"/>
              </w:rPr>
              <w:t xml:space="preserve">Tiền ăn giữa ca</w:t>
            </w:r>
          </w:p>
        </w:tc>
        <w:tc>
          <w:tcPr>
            <w:tcW w:type="dxa" w:w="2806"/>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right"/>
            </w:pPr>
            <w:r>
              <w:rPr>
                <w:rFonts w:ascii="Times New Roman" w:cs="Times New Roman" w:eastAsia="Times New Roman" w:hAnsi="Times New Roman"/>
                <w:b w:val="false"/>
                <w:bCs w:val="false"/>
                <w:i w:val="false"/>
                <w:iCs w:val="false"/>
                <w:sz w:val="24"/>
                <w:szCs w:val="24"/>
                <w:highlight w:val="yellow"/>
                <w:highlightCs w:val="yellow"/>
              </w:rPr>
              <w:t xml:space="preserve">[Tiền ăn giữa ca]</w:t>
            </w:r>
          </w:p>
        </w:tc>
        <w:tc>
          <w:tcPr>
            <w:tcW w:type="dxa" w:w="2650"/>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val="false"/>
                <w:bCs w:val="false"/>
                <w:i/>
                <w:iCs/>
                <w:sz w:val="24"/>
                <w:szCs w:val="24"/>
                <w:highlight w:val="yellow"/>
                <w:highlightCs w:val="yellow"/>
              </w:rPr>
              <w:t xml:space="preserve">[bằng chữ]</w:t>
            </w:r>
          </w:p>
        </w:tc>
      </w:tr>
    </w:tbl>
    <w:p>
      <w:pPr>
        <w:spacing w:after="60" w:before="0" w:line="312" w:lineRule="auto"/>
        <w:jc w:val="both"/>
      </w:pP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Tổng thu nhập cố định (gồm Lương cơ bản và các khoản phúc lợi cố định nêu trên): </w:t>
      </w:r>
      <w:r>
        <w:rPr>
          <w:rFonts w:ascii="Times New Roman" w:cs="Times New Roman" w:eastAsia="Times New Roman" w:hAnsi="Times New Roman"/>
          <w:b w:val="false"/>
          <w:bCs w:val="false"/>
          <w:i w:val="false"/>
          <w:iCs w:val="false"/>
          <w:sz w:val="26"/>
          <w:szCs w:val="26"/>
          <w:highlight w:val="yellow"/>
          <w:highlightCs w:val="yellow"/>
        </w:rPr>
        <w:t xml:space="preserve">[Tổng thu nhập cố định]</w:t>
      </w:r>
      <w:r>
        <w:rPr>
          <w:rFonts w:ascii="Times New Roman" w:cs="Times New Roman" w:eastAsia="Times New Roman" w:hAnsi="Times New Roman"/>
          <w:b w:val="false"/>
          <w:bCs w:val="false"/>
          <w:i w:val="false"/>
          <w:iCs w:val="false"/>
          <w:sz w:val="26"/>
          <w:szCs w:val="26"/>
        </w:rPr>
        <w:t xml:space="preserve">. Các mức tổng hợp này để Người lao động tham khảo và không làm thay đổi tính chất của từng khoản.</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Phụ cấp và các khoản hỗ trợ khác (nếu có): Theo chính sách của Công ty từng thời kỳ.</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Thưởng KPI hằng tháng (nếu có): Người lao động được xem xét thưởng theo Quy chế thưởng KPI do Công ty ban hành theo từng thời kỳ và dựa trên tình hình kinh doanh của Công ty. Thưởng KPI là khoản tiền thưởng theo Điều 104 Bộ luật Lao động và không thuộc Tổng thu nhập cố định.</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Tiền lương làm căn cứ đóng bảo hiểm xã hội, bảo hiểm y tế, bảo hiểm thất nghiệp là Lương cơ bản. Tỷ lệ đóng của mỗi bên theo quy định pháp luật tại từng thời điểm. Phần Người lao động phải đóng và thuế thu nhập cá nhân (nếu có) được Công ty khấu trừ từ tiền lương hằng tháng.</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Tiền ăn giữa ca là khoản hỗ trợ phúc lợi, được chi theo Quy chế phúc lợi của Công ty và theo số ngày làm việc thực tế trong tháng.</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Số ngày công hưởng lương gồm số ngày làm việc thực tế và các ngày nghỉ lễ, Tết, nghỉ hằng năm, nghỉ việc riêng có hưởng lương theo quy định pháp luật.</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Thời hạn và hình thức trả lương: Tiền lương được chuyển khoản vào tài khoản ngân hàng của Người lao động vào ngày 05 hằng tháng cho kỳ lương của tháng liền trước. Kỳ lương tính từ ngày 01 đến ngày cuối cùng của tháng dương lịch. Trường hợp ngày trả lương trùng ngày nghỉ, tiền lương được trả vào ngày làm việc liền kề tiếp theo.</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Chế độ nâng lương: Người lao động được xem xét điều chỉnh lương theo chính sách Công ty, kết quả công việc và tình hình kinh doanh.</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Chế độ nghỉ</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Nghỉ lễ, Tết: Theo quy định của Bộ luật Lao động.</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Nghỉ hằng năm: 12 (mười hai) ngày làm việc/năm, hưởng nguyên lương, tính theo tỷ lệ tương ứng với thời gian làm việc thực tế. Người lao động báo trước tối thiểu 07 ngày cho Tổng Quản lý khi sử dụng ngày nghỉ hằng năm.</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Trong giai đoạn cuối tuần, lễ, Tết hoặc thời điểm cao điểm, Công ty được ưu tiên bố trí nhân sự làm việc để bảo đảm hoạt động của cửa hàng. Việc sắp xếp ngày nghỉ được thực hiện công bằng, hợp lý và thông báo trước cho Người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	</w:t>
      </w:r>
      <w:r>
        <w:rPr>
          <w:rFonts w:ascii="Times New Roman" w:cs="Times New Roman" w:eastAsia="Times New Roman" w:hAnsi="Times New Roman"/>
          <w:b w:val="false"/>
          <w:bCs w:val="false"/>
          <w:i w:val="false"/>
          <w:iCs w:val="false"/>
          <w:sz w:val="26"/>
          <w:szCs w:val="26"/>
        </w:rPr>
        <w:t xml:space="preserve">Bảo hiểm và các chế độ khác</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Được tham gia bảo hiểm xã hội, bảo hiểm y tế, bảo hiểm thất nghiệp theo quy định pháp luật.</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Được đào tạo, bồi dưỡng, nâng cao trình độ, kỹ năng nghề theo nhu cầu công việc và chính sách của Công ty. Thời gian, kinh phí đào tạo và nghĩa vụ của các bên thực hiện theo quy định của Công ty, pháp luật và thỏa thuận đào tạo riêng (nếu có).</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Được hưởng các chế độ phúc lợi theo chính sách của Công ty từng thời kỳ.</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Phương tiện đi lại làm việc: Người lao động tự túc.</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3.2	</w:t>
      </w:r>
      <w:r>
        <w:rPr>
          <w:rFonts w:ascii="Times New Roman" w:cs="Times New Roman" w:eastAsia="Times New Roman" w:hAnsi="Times New Roman"/>
          <w:b w:val="1"/>
          <w:bCs w:val="1"/>
          <w:i w:val="false"/>
          <w:iCs w:val="false"/>
          <w:sz w:val="26"/>
          <w:szCs w:val="26"/>
        </w:rPr>
        <w:t xml:space="preserve">Nghĩa vụ</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Thực hiện đầy đủ, nghiêm túc công việc theo Hợp đồng và theo sự phân công, điều hành của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Chấp hành Nội quy lao động, các quy trình vận hành chuẩn (SOP), quy định về vệ sinh an toàn thực phẩm, an toàn lao động, phòng cháy chữa cháy, bảo mật thông tin và các quy định nội bộ khác của Công ty đã được phổ biến.</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Giữ gìn, bảo quản tài sản, thiết bị và công cụ làm việc được giao. Báo cáo kịp thời cho người có thẩm quyền khi phát hiện hành vi hủy hoại, trộm cắp hoặc chiếm dụng tài sản của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Có trách nhiệm bồi thường thiệt hại thực tế do lỗi của mình gây ra theo quy định pháp luật và Nội quy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	</w:t>
      </w:r>
      <w:r>
        <w:rPr>
          <w:rFonts w:ascii="Times New Roman" w:cs="Times New Roman" w:eastAsia="Times New Roman" w:hAnsi="Times New Roman"/>
          <w:b w:val="false"/>
          <w:bCs w:val="false"/>
          <w:i w:val="false"/>
          <w:iCs w:val="false"/>
          <w:sz w:val="26"/>
          <w:szCs w:val="26"/>
        </w:rPr>
        <w:t xml:space="preserve">Tham gia đầy đủ các chương trình đào tạo, họp và hướng dẫn nghiệp vụ theo yêu cầu của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(vi)	</w:t>
      </w:r>
      <w:r>
        <w:rPr>
          <w:rFonts w:ascii="Times New Roman" w:cs="Times New Roman" w:eastAsia="Times New Roman" w:hAnsi="Times New Roman"/>
          <w:b w:val="false"/>
          <w:bCs w:val="false"/>
          <w:i w:val="false"/>
          <w:iCs w:val="false"/>
          <w:sz w:val="26"/>
          <w:szCs w:val="26"/>
        </w:rPr>
        <w:t xml:space="preserve">Thực hiện các chỉ tiêu công việc theo quy định và chính sách của Công ty từng thời kỳ.</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(vii)	</w:t>
      </w:r>
      <w:r>
        <w:rPr>
          <w:rFonts w:ascii="Times New Roman" w:cs="Times New Roman" w:eastAsia="Times New Roman" w:hAnsi="Times New Roman"/>
          <w:b w:val="false"/>
          <w:bCs w:val="false"/>
          <w:i w:val="false"/>
          <w:iCs w:val="false"/>
          <w:sz w:val="26"/>
          <w:szCs w:val="26"/>
        </w:rPr>
        <w:t xml:space="preserve">Bảo mật thông tin và tôn trọng quyền sở hữu trí tuệ của Công ty theo Mục 5 của Hợp đồng.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(viii)	</w:t>
      </w:r>
      <w:r>
        <w:rPr>
          <w:rFonts w:ascii="Times New Roman" w:cs="Times New Roman" w:eastAsia="Times New Roman" w:hAnsi="Times New Roman"/>
          <w:b w:val="false"/>
          <w:bCs w:val="false"/>
          <w:i w:val="false"/>
          <w:iCs w:val="false"/>
          <w:sz w:val="26"/>
          <w:szCs w:val="26"/>
        </w:rPr>
        <w:t xml:space="preserve">Khi đơn phương chấm dứt Hợp đồng, Người lao động phải báo trước bằng văn bản cho Công ty ít nhất 30 ngày.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(ix)	</w:t>
      </w:r>
      <w:r>
        <w:rPr>
          <w:rFonts w:ascii="Times New Roman" w:cs="Times New Roman" w:eastAsia="Times New Roman" w:hAnsi="Times New Roman"/>
          <w:b w:val="false"/>
          <w:bCs w:val="false"/>
          <w:i w:val="false"/>
          <w:iCs w:val="false"/>
          <w:sz w:val="26"/>
          <w:szCs w:val="26"/>
        </w:rPr>
        <w:t xml:space="preserve">Trường hợp đơn phương chấm dứt Hợp đồng trái pháp luật, Người lao động không được trợ cấp thôi việc, phải bồi thường cho Công ty nửa tháng tiền lương theo Hợp đồng và một khoản tiền tương ứng với tiền lương theo Hợp đồng trong những ngày không báo trước, đồng thời hoàn trả chi phí đào tạo (nếu có) theo quy định pháp luật.</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(x)	</w:t>
      </w:r>
      <w:r>
        <w:rPr>
          <w:rFonts w:ascii="Times New Roman" w:cs="Times New Roman" w:eastAsia="Times New Roman" w:hAnsi="Times New Roman"/>
          <w:b w:val="false"/>
          <w:bCs w:val="false"/>
          <w:i w:val="false"/>
          <w:iCs w:val="false"/>
          <w:sz w:val="26"/>
          <w:szCs w:val="26"/>
        </w:rPr>
        <w:t xml:space="preserve">Khi chấm dứt Hợp đồng hoặc theo yêu cầu của Công ty, bàn giao đầy đủ công việc, tài liệu, dữ liệu, tài sản, tài khoản hệ thống và các thông tin liên quan thuộc sở hữu của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(xi)	</w:t>
      </w:r>
      <w:r>
        <w:rPr>
          <w:rFonts w:ascii="Times New Roman" w:cs="Times New Roman" w:eastAsia="Times New Roman" w:hAnsi="Times New Roman"/>
          <w:b w:val="false"/>
          <w:bCs w:val="false"/>
          <w:i w:val="false"/>
          <w:iCs w:val="false"/>
          <w:sz w:val="26"/>
          <w:szCs w:val="26"/>
        </w:rPr>
        <w:t xml:space="preserve">Thực hiện nghĩa vụ thuế, bảo hiểm và các nghĩa vụ tài chính khác theo quy định pháp luật.</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4	</w:t>
      </w:r>
      <w:r>
        <w:rPr>
          <w:rFonts w:ascii="Times New Roman" w:cs="Times New Roman" w:eastAsia="Times New Roman" w:hAnsi="Times New Roman"/>
          <w:b w:val="1"/>
          <w:bCs w:val="1"/>
          <w:i w:val="false"/>
          <w:iCs w:val="false"/>
          <w:sz w:val="26"/>
          <w:szCs w:val="26"/>
        </w:rPr>
        <w:t xml:space="preserve">Nghĩa vụ và quyền hạn của Người sử dụng lao động</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4.1	</w:t>
      </w:r>
      <w:r>
        <w:rPr>
          <w:rFonts w:ascii="Times New Roman" w:cs="Times New Roman" w:eastAsia="Times New Roman" w:hAnsi="Times New Roman"/>
          <w:b w:val="1"/>
          <w:bCs w:val="1"/>
          <w:i w:val="false"/>
          <w:iCs w:val="false"/>
          <w:sz w:val="26"/>
          <w:szCs w:val="26"/>
        </w:rPr>
        <w:t xml:space="preserve">Nghĩa vụ</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Bảo đảm việc làm và các điều kiện cần thiết để Người lao động thực hiện công việc theo Hợp đồng.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Thanh toán đầy đủ, đúng thời hạn tiền lương và các quyền lợi của Người lao động theo Hợp đồng.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Đóng bảo hiểm xã hội, bảo hiểm y tế, bảo hiểm thất nghiệp và khấu trừ thuế thu nhập cá nhân theo quy định pháp luật.</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Thực hiện các nghĩa vụ khác theo quy định pháp luật.</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4.2	</w:t>
      </w:r>
      <w:r>
        <w:rPr>
          <w:rFonts w:ascii="Times New Roman" w:cs="Times New Roman" w:eastAsia="Times New Roman" w:hAnsi="Times New Roman"/>
          <w:b w:val="1"/>
          <w:bCs w:val="1"/>
          <w:i w:val="false"/>
          <w:iCs w:val="false"/>
          <w:sz w:val="26"/>
          <w:szCs w:val="26"/>
        </w:rPr>
        <w:t xml:space="preserve">Quyền hạn</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Điều hành, phân công và điều chuyển công việc phù hợp với chuyên môn của Người lao động và nhu cầu hoạt động của Công ty theo quy định pháp luật.</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Kiểm tra, giám sát, đánh giá hiệu quả công việc của Người lao động và quyết định việc nâng lương trên cơ sở quy định pháp luật và Nội quy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Khen thưởng, xử lý kỷ luật lao động, tạm hoãn hoặc chấm dứt Hợp đồng theo quy định pháp luật và Nội quy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Yêu cầu Người lao động bồi thường thiệt hại theo quy định pháp luật nếu Người lao động gây thiệt hại cho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	</w:t>
      </w:r>
      <w:r>
        <w:rPr>
          <w:rFonts w:ascii="Times New Roman" w:cs="Times New Roman" w:eastAsia="Times New Roman" w:hAnsi="Times New Roman"/>
          <w:b w:val="false"/>
          <w:bCs w:val="false"/>
          <w:i w:val="false"/>
          <w:iCs w:val="false"/>
          <w:sz w:val="26"/>
          <w:szCs w:val="26"/>
        </w:rPr>
        <w:t xml:space="preserve">Đơn phương chấm dứt Hợp đồng khi Người lao động thường xuyên không hoàn thành công việc theo tiêu chí tại Quy chế đánh giá mức độ hoàn thành công việc do Công ty ban hành, đồng thời thực hiện đầy đủ trình tự và thời hạn báo trước theo quy định pháp luật.</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(vi)	</w:t>
      </w:r>
      <w:r>
        <w:rPr>
          <w:rFonts w:ascii="Times New Roman" w:cs="Times New Roman" w:eastAsia="Times New Roman" w:hAnsi="Times New Roman"/>
          <w:b w:val="false"/>
          <w:bCs w:val="false"/>
          <w:i w:val="false"/>
          <w:iCs w:val="false"/>
          <w:sz w:val="26"/>
          <w:szCs w:val="26"/>
        </w:rPr>
        <w:t xml:space="preserve">Các quyền khác theo quy định pháp luật và quy định nội bộ của Công ty.</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5	</w:t>
      </w:r>
      <w:r>
        <w:rPr>
          <w:rFonts w:ascii="Times New Roman" w:cs="Times New Roman" w:eastAsia="Times New Roman" w:hAnsi="Times New Roman"/>
          <w:b w:val="1"/>
          <w:bCs w:val="1"/>
          <w:i w:val="false"/>
          <w:iCs w:val="false"/>
          <w:sz w:val="26"/>
          <w:szCs w:val="26"/>
        </w:rPr>
        <w:t xml:space="preserve">Quy định nội bộ, bảo mật thông tin, sở hữu trí tuệ và bảo vệ dữ liệu cá nhân</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5.1	</w:t>
      </w:r>
      <w:r>
        <w:rPr>
          <w:rFonts w:ascii="Times New Roman" w:cs="Times New Roman" w:eastAsia="Times New Roman" w:hAnsi="Times New Roman"/>
          <w:b w:val="1"/>
          <w:bCs w:val="1"/>
          <w:i w:val="false"/>
          <w:iCs w:val="false"/>
          <w:sz w:val="26"/>
          <w:szCs w:val="26"/>
        </w:rPr>
        <w:t xml:space="preserve">Nội quy và quy định nội bộ</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Nội quy lao động và các quy định nội bộ khác của Công ty được thông báo đến Người lao động theo quy định pháp luật và có giá trị áp dụng đối với Người lao động kể từ khi được thông báo.</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Các quy chế, quy định, chính sách do Công ty ban hành, sửa đổi, bổ sung sau khi được phổ biến hợp lệ cho Người lao động có giá trị áp dụng với điều kiện không trái quy định pháp luật và không làm thay đổi các nội dung đã được các bên thỏa thuận trong Hợp đồng, trừ trường hợp hai bên có thỏa thuận khác.</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5.2	</w:t>
      </w:r>
      <w:r>
        <w:rPr>
          <w:rFonts w:ascii="Times New Roman" w:cs="Times New Roman" w:eastAsia="Times New Roman" w:hAnsi="Times New Roman"/>
          <w:b w:val="1"/>
          <w:bCs w:val="1"/>
          <w:i w:val="false"/>
          <w:iCs w:val="false"/>
          <w:sz w:val="26"/>
          <w:szCs w:val="26"/>
        </w:rPr>
        <w:t xml:space="preserve">Phân loại thông tin bảo mật</w:t>
      </w:r>
    </w:p>
    <w:p>
      <w:pPr>
        <w:keepNext/>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Người lao động cam kết bảo mật tuyệt đối các thông tin sau, kể cả khi lưu trữ dưới dạng văn bản, dữ liệu điện tử hay truyền miệng:</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bCs/>
          <w:i w:val="false"/>
          <w:iCs w:val="false"/>
          <w:sz w:val="26"/>
          <w:szCs w:val="26"/>
        </w:rPr>
        <w:t xml:space="preserve">Thông tin tuyệt mật:</w:t>
      </w:r>
      <w:r>
        <w:rPr>
          <w:rFonts w:ascii="Times New Roman" w:cs="Times New Roman" w:eastAsia="Times New Roman" w:hAnsi="Times New Roman"/>
          <w:b w:val="false"/>
          <w:bCs w:val="false"/>
          <w:i w:val="false"/>
          <w:iCs w:val="false"/>
          <w:sz w:val="26"/>
          <w:szCs w:val="26"/>
        </w:rPr>
        <w:t xml:space="preserve"> Công thức pha chế, định lượng, quy trình chuẩn (SOP), giá vốn, dữ liệu nhà cung cấp, báo cáo doanh thu/chi phí, và dữ liệu cá nhân của khách hàng/nhân sự.</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bCs/>
          <w:i w:val="false"/>
          <w:iCs w:val="false"/>
          <w:sz w:val="26"/>
          <w:szCs w:val="26"/>
        </w:rPr>
        <w:t xml:space="preserve">Thông tin nội bộ:</w:t>
      </w:r>
      <w:r>
        <w:rPr>
          <w:rFonts w:ascii="Times New Roman" w:cs="Times New Roman" w:eastAsia="Times New Roman" w:hAnsi="Times New Roman"/>
          <w:b w:val="false"/>
          <w:bCs w:val="false"/>
          <w:i w:val="false"/>
          <w:iCs w:val="false"/>
          <w:sz w:val="26"/>
          <w:szCs w:val="26"/>
        </w:rPr>
        <w:t xml:space="preserve"> Tài liệu đào tạo, quy định vận hành, kế hoạch marketing và chính sách nhân sự.</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5.3	</w:t>
      </w:r>
      <w:r>
        <w:rPr>
          <w:rFonts w:ascii="Times New Roman" w:cs="Times New Roman" w:eastAsia="Times New Roman" w:hAnsi="Times New Roman"/>
          <w:b w:val="1"/>
          <w:bCs w:val="1"/>
          <w:i w:val="false"/>
          <w:iCs w:val="false"/>
          <w:sz w:val="26"/>
          <w:szCs w:val="26"/>
        </w:rPr>
        <w:t xml:space="preserve">Trách nhiệm và nghĩa vụ bảo mật của Người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Không sao chép, cung cấp, tiết lộ hay sử dụng thông tin bảo mật cho bất kỳ bên thứ ba nào, hoặc cho mục đích cá nhân nằm ngoài phạm vi công việc được giao.</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bCs/>
          <w:i w:val="false"/>
          <w:iCs w:val="false"/>
          <w:sz w:val="26"/>
          <w:szCs w:val="26"/>
        </w:rPr>
        <w:t xml:space="preserve">Nghĩa vụ hoàn trả:</w:t>
      </w:r>
      <w:r>
        <w:rPr>
          <w:rFonts w:ascii="Times New Roman" w:cs="Times New Roman" w:eastAsia="Times New Roman" w:hAnsi="Times New Roman"/>
          <w:b w:val="false"/>
          <w:bCs w:val="false"/>
          <w:i w:val="false"/>
          <w:iCs w:val="false"/>
          <w:sz w:val="26"/>
          <w:szCs w:val="26"/>
        </w:rPr>
        <w:t xml:space="preserve"> Khi chấm dứt Hợp đồng vì bất kỳ lý do gì, Người lao động phải lập tức bàn giao lại toàn bộ tài liệu, công thức, thiết bị lưu trữ dữ liệu cho Công ty và xóa bỏ vĩnh viễn các dữ liệu liên quan trên thiết bị cá nhân.</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Người lao động có trách nhiệm xóa hoặc bàn giao toàn bộ dữ liệu của Công ty đang lưu trên thiết bị/tài khoản cá nhân và ký biên bản xác nhận hoàn tất. Việc kiểm tra thiết bị/tài khoản cá nhân (nếu cần thiết) chỉ thực hiện trong phạm vi dữ liệu của Công ty và khi có sự đồng ý hợp pháp của Người lao động hoặc theo yêu cầu của cơ quan có thẩm quyền.</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5.4	</w:t>
      </w:r>
      <w:r>
        <w:rPr>
          <w:rFonts w:ascii="Times New Roman" w:cs="Times New Roman" w:eastAsia="Times New Roman" w:hAnsi="Times New Roman"/>
          <w:b w:val="1"/>
          <w:bCs w:val="1"/>
          <w:i w:val="false"/>
          <w:iCs w:val="false"/>
          <w:sz w:val="26"/>
          <w:szCs w:val="26"/>
        </w:rPr>
        <w:t xml:space="preserve">Thời hạn bảo mật và trường hợp ngoại trừ</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bCs/>
          <w:i w:val="false"/>
          <w:iCs w:val="false"/>
          <w:sz w:val="26"/>
          <w:szCs w:val="26"/>
        </w:rPr>
        <w:t xml:space="preserve">Thời hạn:</w:t>
      </w:r>
      <w:r>
        <w:rPr>
          <w:rFonts w:ascii="Times New Roman" w:cs="Times New Roman" w:eastAsia="Times New Roman" w:hAnsi="Times New Roman"/>
          <w:b w:val="false"/>
          <w:bCs w:val="false"/>
          <w:i w:val="false"/>
          <w:iCs w:val="false"/>
          <w:sz w:val="26"/>
          <w:szCs w:val="26"/>
        </w:rPr>
        <w:t xml:space="preserve"> Nghĩa vụ bảo mật tại Mục này có hiệu lực trong suốt thời gian Người lao động làm việc tại Công ty và kéo dài 05 (năm) năm kể từ ngày chấm dứt Hợp đồng.</w:t>
      </w:r>
    </w:p>
    <w:p>
      <w:pPr>
        <w:keepNext/>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bCs/>
          <w:i w:val="false"/>
          <w:iCs w:val="false"/>
          <w:sz w:val="26"/>
          <w:szCs w:val="26"/>
        </w:rPr>
        <w:t xml:space="preserve">Ngoại trừ:</w:t>
      </w:r>
      <w:r>
        <w:rPr>
          <w:rFonts w:ascii="Times New Roman" w:cs="Times New Roman" w:eastAsia="Times New Roman" w:hAnsi="Times New Roman"/>
          <w:b w:val="false"/>
          <w:bCs w:val="false"/>
          <w:i w:val="false"/>
          <w:iCs w:val="false"/>
          <w:sz w:val="26"/>
          <w:szCs w:val="26"/>
        </w:rPr>
        <w:t xml:space="preserve"> Người lao động được miễn trừ trách nhiệm bảo mật nếu:</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Thông tin đã được Công ty công bố công khai hợp pháp.</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Thông tin Người lao động tự phát triển độc lập, không sử dụng tài liệu của Công ty.</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Buộc phải cung cấp theo yêu cầu bằng văn bản của cơ quan nhà nước có thẩm quyền.</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bCs/>
          <w:i w:val="false"/>
          <w:iCs w:val="false"/>
          <w:sz w:val="26"/>
          <w:szCs w:val="26"/>
        </w:rPr>
        <w:t xml:space="preserve">Bồi thường thiệt hại:</w:t>
      </w:r>
      <w:r>
        <w:rPr>
          <w:rFonts w:ascii="Times New Roman" w:cs="Times New Roman" w:eastAsia="Times New Roman" w:hAnsi="Times New Roman"/>
          <w:b w:val="false"/>
          <w:bCs w:val="false"/>
          <w:i w:val="false"/>
          <w:iCs w:val="false"/>
          <w:sz w:val="26"/>
          <w:szCs w:val="26"/>
        </w:rPr>
        <w:t xml:space="preserve"> Trường hợp hành vi vi phạm (lộ công thức, đánh cắp dữ liệu khách hàng và các hành vi tương tự) gây thiệt hại cho Công ty, Người lao động có trách nhiệm bồi thường thiệt hại thực tế phát sinh. Mức bồi thường được xác định căn cứ vào lỗi của Người lao động và mức độ thiệt hại, trên cơ sở thiệt hại thực tế, trực tiếp, có chứng cứ chứng minh và có quan hệ nhân quả với hành vi vi phạm.</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Trường hợp vi phạm có tính chất nghiêm trọng, Công ty có quyền trình báo cơ quan điều tra để xử lý theo quy định của pháp luật hình sự.</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5.5	</w:t>
      </w:r>
      <w:r>
        <w:rPr>
          <w:rFonts w:ascii="Times New Roman" w:cs="Times New Roman" w:eastAsia="Times New Roman" w:hAnsi="Times New Roman"/>
          <w:b w:val="1"/>
          <w:bCs w:val="1"/>
          <w:i w:val="false"/>
          <w:iCs w:val="false"/>
          <w:sz w:val="26"/>
          <w:szCs w:val="26"/>
        </w:rPr>
        <w:t xml:space="preserve">Sở hữu trí tuệ</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Toàn bộ công thức pha chế, công thức bánh, thực đơn, quy trình vận hành chuẩn (SOP), tài liệu đào tạo, dữ liệu khách hàng, dữ liệu kinh doanh và các sản phẩm công việc khác do Người lao động tạo ra trong phạm vi nhiệm vụ được giao, theo yêu cầu của Công ty hoặc phục vụ hoạt động của Comfy thuộc quyền sở hữu của Công ty trong phạm vi pháp luật cho phép. Người lao động không sao chép, sử dụng, tiết lộ hoặc chuyển giao cho bên thứ ba dưới bất kỳ hình thức nào khi chưa có sự đồng ý bằng văn bản của Công ty, trong thời gian làm việc và sau khi Hợp đồng chấm dứt.</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5.6	</w:t>
      </w:r>
      <w:r>
        <w:rPr>
          <w:rFonts w:ascii="Times New Roman" w:cs="Times New Roman" w:eastAsia="Times New Roman" w:hAnsi="Times New Roman"/>
          <w:b w:val="1"/>
          <w:bCs w:val="1"/>
          <w:i w:val="false"/>
          <w:iCs w:val="false"/>
          <w:sz w:val="26"/>
          <w:szCs w:val="26"/>
        </w:rPr>
        <w:t xml:space="preserve">Bảo vệ dữ liệu cá nhân và thông báo</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Người lao động xác nhận Công ty được thu thập, lưu trữ và xử lý dữ liệu cá nhân trong phạm vi cần thiết để giao kết, thực hiện Hợp đồng, quản lý nhân sự, chấm công, tiền lương, thuế, bảo hiểm, phúc lợi, bảo đảm an toàn thông tin và thực hiện các nghĩa vụ theo quy định pháp luật. Việc xử lý dữ liệu cho mục đích khác được thực hiện sau khi thông báo cho Người lao động và lấy sự đồng ý trong trường hợp pháp luật yêu cầu. Việc lưu trữ, xử lý, chia sẻ, xóa hoặc hủy dữ liệu cá nhân của Người lao động được thực hiện theo quy định của pháp luật về bảo vệ dữ liệu cá nhân.</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Các thông báo, quyết định, quy định của Công ty có thể được gửi qua email, hệ thống nội bộ hoặc các kênh làm việc chính thức của Công ty và được xem là đã thông báo hợp lệ đến Người lao động.</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6	</w:t>
      </w:r>
      <w:r>
        <w:rPr>
          <w:rFonts w:ascii="Times New Roman" w:cs="Times New Roman" w:eastAsia="Times New Roman" w:hAnsi="Times New Roman"/>
          <w:b w:val="1"/>
          <w:bCs w:val="1"/>
          <w:i w:val="false"/>
          <w:iCs w:val="false"/>
          <w:sz w:val="26"/>
          <w:szCs w:val="26"/>
        </w:rPr>
        <w:t xml:space="preserve">Điều khoản thi hành</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6.1	</w:t>
      </w:r>
      <w:r>
        <w:rPr>
          <w:rFonts w:ascii="Times New Roman" w:cs="Times New Roman" w:eastAsia="Times New Roman" w:hAnsi="Times New Roman"/>
          <w:b w:val="false"/>
          <w:bCs w:val="false"/>
          <w:i w:val="false"/>
          <w:iCs w:val="false"/>
          <w:sz w:val="26"/>
          <w:szCs w:val="26"/>
        </w:rPr>
        <w:t xml:space="preserve">Hai bên cam kết thực hiện đầy đủ các nội dung đã thỏa thuận trong Hợp đồng. Mọi sửa đổi, bổ sung Hợp đồng chỉ có giá trị khi được lập thành văn bản hoặc phụ lục hợp đồng có chữ ký của hai bên.</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6.2	</w:t>
      </w:r>
      <w:r>
        <w:rPr>
          <w:rFonts w:ascii="Times New Roman" w:cs="Times New Roman" w:eastAsia="Times New Roman" w:hAnsi="Times New Roman"/>
          <w:b w:val="false"/>
          <w:bCs w:val="false"/>
          <w:i w:val="false"/>
          <w:iCs w:val="false"/>
          <w:sz w:val="26"/>
          <w:szCs w:val="26"/>
        </w:rPr>
        <w:t xml:space="preserve">Những nội dung chưa được quy định trong Hợp đồng được áp dụng theo Bộ luật Lao động, Nội quy lao động, các quy chế, quy định của Công ty và các quy định pháp luật có liên quan.</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6.3	</w:t>
      </w:r>
      <w:r>
        <w:rPr>
          <w:rFonts w:ascii="Times New Roman" w:cs="Times New Roman" w:eastAsia="Times New Roman" w:hAnsi="Times New Roman"/>
          <w:b w:val="false"/>
          <w:bCs w:val="false"/>
          <w:i w:val="false"/>
          <w:iCs w:val="false"/>
          <w:sz w:val="26"/>
          <w:szCs w:val="26"/>
        </w:rPr>
        <w:t xml:space="preserve">Các phụ lục Hợp đồng (nếu có) là bộ phận không tách rời của Hợp đồng.</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6.4	</w:t>
      </w:r>
      <w:r>
        <w:rPr>
          <w:rFonts w:ascii="Times New Roman" w:cs="Times New Roman" w:eastAsia="Times New Roman" w:hAnsi="Times New Roman"/>
          <w:b w:val="false"/>
          <w:bCs w:val="false"/>
          <w:i w:val="false"/>
          <w:iCs w:val="false"/>
          <w:sz w:val="26"/>
          <w:szCs w:val="26"/>
        </w:rPr>
        <w:t xml:space="preserve">Tranh chấp phát sinh từ Hợp đồng được ưu tiên giải quyết thông qua thương lượng. Trường hợp không thương lượng được, các bên giải quyết theo quy định của pháp luật lao động hiện hành.</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6.5	</w:t>
      </w:r>
      <w:r>
        <w:rPr>
          <w:rFonts w:ascii="Times New Roman" w:cs="Times New Roman" w:eastAsia="Times New Roman" w:hAnsi="Times New Roman"/>
          <w:b w:val="false"/>
          <w:bCs w:val="false"/>
          <w:i w:val="false"/>
          <w:iCs w:val="false"/>
          <w:sz w:val="26"/>
          <w:szCs w:val="26"/>
        </w:rPr>
        <w:t xml:space="preserve">Hợp đồng được lập thành 02 (hai) bản có giá trị pháp lý như nhau, mỗi bên giữ 01 (một) bản và có hiệu lực kể từ ngày </w:t>
      </w:r>
      <w:r>
        <w:rPr>
          <w:rFonts w:ascii="Times New Roman" w:cs="Times New Roman" w:eastAsia="Times New Roman" w:hAnsi="Times New Roman"/>
          <w:b w:val="false"/>
          <w:bCs w:val="false"/>
          <w:i w:val="false"/>
          <w:iCs w:val="false"/>
          <w:sz w:val="26"/>
          <w:szCs w:val="26"/>
          <w:highlight w:val="yellow"/>
          <w:highlightCs w:val="yellow"/>
        </w:rPr>
        <w:t xml:space="preserve">[ngày hiệu lực HĐLĐ]</w:t>
      </w:r>
      <w:r>
        <w:rPr>
          <w:rFonts w:ascii="Times New Roman" w:cs="Times New Roman" w:eastAsia="Times New Roman" w:hAnsi="Times New Roman"/>
          <w:b w:val="false"/>
          <w:bCs w:val="false"/>
          <w:i w:val="false"/>
          <w:iCs w:val="false"/>
          <w:sz w:val="26"/>
          <w:szCs w:val="26"/>
        </w:rPr>
        <w:t xml:space="preserve">.</w:t>
      </w:r>
    </w:p>
    <w:p>
      <w:pPr>
        <w:spacing w:after="0" w:before="300" w:line="312" w:lineRule="auto"/>
        <w:jc w:val="both"/>
      </w:pPr>
    </w:p>
    <w:tbl>
      <w:tblPr>
        <w:tblW w:type="dxa" w:w="935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77"/>
        <w:gridCol w:w="4677"/>
      </w:tblGrid>
      <w:tr>
        <w:trPr>
          <w:cantSplit/>
        </w:trPr>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6"/>
                <w:szCs w:val="26"/>
              </w:rPr>
              <w:t xml:space="preserve">NGƯỜI LAO ĐỘNG</w:t>
            </w:r>
          </w:p>
          <w:p>
            <w:pPr>
              <w:spacing w:after="0" w:before="0" w:line="312" w:lineRule="auto"/>
              <w:jc w:val="center"/>
            </w:pPr>
            <w:r>
              <w:rPr>
                <w:rFonts w:ascii="Times New Roman" w:cs="Times New Roman" w:eastAsia="Times New Roman" w:hAnsi="Times New Roman"/>
                <w:b w:val="false"/>
                <w:bCs w:val="false"/>
                <w:i/>
                <w:iCs/>
                <w:sz w:val="26"/>
                <w:szCs w:val="26"/>
              </w:rPr>
              <w:t xml:space="preserve">(Ký, ghi rõ họ tên)</w:t>
            </w:r>
          </w:p>
        </w:tc>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6"/>
                <w:szCs w:val="26"/>
              </w:rPr>
              <w:t xml:space="preserve">NGƯỜI SỬ DỤNG LAO ĐỘNG</w:t>
            </w:r>
          </w:p>
          <w:p>
            <w:pPr>
              <w:spacing w:after="0" w:before="0" w:line="312" w:lineRule="auto"/>
              <w:jc w:val="center"/>
            </w:pPr>
            <w:r>
              <w:rPr>
                <w:rFonts w:ascii="Times New Roman" w:cs="Times New Roman" w:eastAsia="Times New Roman" w:hAnsi="Times New Roman"/>
                <w:b/>
                <w:bCs/>
                <w:i w:val="false"/>
                <w:iCs w:val="false"/>
                <w:sz w:val="26"/>
                <w:szCs w:val="26"/>
              </w:rPr>
              <w:t xml:space="preserve">CÔNG TY TNHH ĐẦU TƯ VÀ PHÁT TRIỂN ISC GROUP</w:t>
            </w:r>
          </w:p>
          <w:p>
            <w:pPr>
              <w:spacing w:after="0" w:before="0" w:line="312" w:lineRule="auto"/>
              <w:jc w:val="center"/>
            </w:pPr>
            <w:r>
              <w:rPr>
                <w:rFonts w:ascii="Times New Roman" w:cs="Times New Roman" w:eastAsia="Times New Roman" w:hAnsi="Times New Roman"/>
                <w:b/>
                <w:bCs/>
                <w:i w:val="false"/>
                <w:iCs w:val="false"/>
                <w:sz w:val="26"/>
                <w:szCs w:val="26"/>
              </w:rPr>
              <w:t xml:space="preserve">GIÁM ĐỐC</w:t>
            </w:r>
          </w:p>
          <w:p>
            <w:pPr>
              <w:spacing w:after="0" w:before="0" w:line="312" w:lineRule="auto"/>
              <w:jc w:val="center"/>
            </w:pPr>
            <w:r>
              <w:rPr>
                <w:rFonts w:ascii="Times New Roman" w:cs="Times New Roman" w:eastAsia="Times New Roman" w:hAnsi="Times New Roman"/>
                <w:b w:val="false"/>
                <w:bCs w:val="false"/>
                <w:i/>
                <w:iCs/>
                <w:sz w:val="26"/>
                <w:szCs w:val="26"/>
              </w:rPr>
              <w:t xml:space="preserve">(Ký, đóng dấu, ghi rõ họ tên)</w:t>
            </w:r>
          </w:p>
        </w:tc>
      </w:tr>
      <w:tr>
        <w:trPr>
          <w:cantSplit/>
          <w:trHeight w:val="1700" w:hRule="atLeast"/>
        </w:trPr>
        <w:tc>
          <w:tcPr>
            <w:tcW w:type="dxa" w:w="4677"/>
            <w:tcBorders>
              <w:top w:val="none" w:color="FFFFFF" w:sz="0"/>
              <w:left w:val="none" w:color="FFFFFF" w:sz="0"/>
              <w:bottom w:val="none" w:color="FFFFFF" w:sz="0"/>
              <w:right w:val="none" w:color="FFFFFF" w:sz="0"/>
            </w:tcBorders>
          </w:tcPr>
          <w:p>
            <w:pPr>
              <w:spacing w:after="0" w:before="0" w:line="312" w:lineRule="auto"/>
              <w:jc w:val="center"/>
            </w:pPr>
          </w:p>
        </w:tc>
        <w:tc>
          <w:tcPr>
            <w:tcW w:type="dxa" w:w="4677"/>
            <w:tcBorders>
              <w:top w:val="none" w:color="FFFFFF" w:sz="0"/>
              <w:left w:val="none" w:color="FFFFFF" w:sz="0"/>
              <w:bottom w:val="none" w:color="FFFFFF" w:sz="0"/>
              <w:right w:val="none" w:color="FFFFFF" w:sz="0"/>
            </w:tcBorders>
          </w:tcPr>
          <w:p>
            <w:pPr>
              <w:spacing w:after="0" w:before="0" w:line="312" w:lineRule="auto"/>
              <w:jc w:val="center"/>
            </w:pPr>
          </w:p>
        </w:tc>
      </w:tr>
      <w:tr>
        <w:trPr>
          <w:cantSplit/>
        </w:trPr>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6"/>
                <w:szCs w:val="26"/>
                <w:highlight w:val="yellow"/>
                <w:highlightCs w:val="yellow"/>
              </w:rPr>
              <w:t xml:space="preserve">[HỌ VÀ TÊN]</w:t>
            </w:r>
          </w:p>
        </w:tc>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6"/>
                <w:szCs w:val="26"/>
              </w:rPr>
              <w:t xml:space="preserve">LÊ THÁI SƠN</w:t>
            </w:r>
          </w:p>
        </w:tc>
      </w:tr>
    </w:tbl>
    <w:sectPr>
      <w:footerReference w:type="default" r:id="rId7"/>
      <w:pgSz w:w="11906" w:h="16838" w:orient="portrait"/>
      <w:pgMar w:top="1134" w:right="1134" w:bottom="1134" w:left="1418" w:header="708"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t xml:space="preserve">Trang </w:t>
      <w:fldChar w:fldCharType="begin"/>
      <w:instrText xml:space="preserve">PAGE</w:instrText>
      <w:fldChar w:fldCharType="separate"/>
      <w:fldChar w:fldCharType="end"/>
      <w:t xml:space="preserve">/</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lao động - Mẫu Store Manager</dc:title>
  <dc:creator>ISC Group</dc:creator>
  <cp:lastModifiedBy>Un-named</cp:lastModifiedBy>
  <cp:revision>1</cp:revision>
  <dcterms:created xsi:type="dcterms:W3CDTF">2026-10-03T18:29:13.285Z</dcterms:created>
  <dcterms:modified xsi:type="dcterms:W3CDTF">2026-10-03T18:29:13.285Z</dcterms:modified>
</cp:coreProperties>
</file>

<file path=docProps/custom.xml><?xml version="1.0" encoding="utf-8"?>
<Properties xmlns="http://schemas.openxmlformats.org/officeDocument/2006/custom-properties" xmlns:vt="http://schemas.openxmlformats.org/officeDocument/2006/docPropsVTypes"/>
</file>