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7"/>
        <w:gridCol w:w="4677"/>
      </w:tblGrid>
      <w:t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5"/>
                <w:szCs w:val="25"/>
              </w:rPr>
              <w:t xml:space="preserve">CÔNG TY TNHH ĐẦU TƯ VÀ PHÁT TRIỂN ISC GROUP</w:t>
            </w:r>
          </w:p>
          <w:p>
            <w:pPr>
              <w:pBdr>
                <w:bottom w:val="single" w:color="222222" w:sz="6" w:space="1"/>
              </w:pBdr>
              <w:spacing w:after="0" w:before="0" w:line="312" w:lineRule="auto"/>
              <w:ind w:left="1403" w:right="1403"/>
              <w:jc w:val="center"/>
            </w:pP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5"/>
                <w:szCs w:val="25"/>
              </w:rPr>
              <w:t xml:space="preserve">CỘNG HÒA XÃ HỘI CHỦ NGHĨA VIỆT NAM</w:t>
            </w:r>
          </w:p>
          <w:p>
            <w:pPr>
              <w:spacing w:after="0" w:before="0" w:line="312" w:lineRule="auto"/>
              <w:jc w:val="center"/>
            </w:pPr>
            <w:r>
              <w:rPr>
                <w:rFonts w:ascii="Times New Roman" w:cs="Times New Roman" w:eastAsia="Times New Roman" w:hAnsi="Times New Roman"/>
                <w:b/>
                <w:bCs/>
                <w:i w:val="false"/>
                <w:iCs w:val="false"/>
                <w:sz w:val="25"/>
                <w:szCs w:val="25"/>
                <w:u w:val="single"/>
              </w:rPr>
              <w:t xml:space="preserve">Độc lập - Tự do - Hạnh phúc</w:t>
            </w:r>
          </w:p>
        </w:tc>
      </w:tr>
      <w:tr>
        <w:tc>
          <w:tcPr>
            <w:tcW w:type="dxa" w:w="4677"/>
            <w:tcBorders>
              <w:top w:val="none" w:color="FFFFFF" w:sz="0"/>
              <w:left w:val="none" w:color="FFFFFF" w:sz="0"/>
              <w:bottom w:val="none" w:color="FFFFFF" w:sz="0"/>
              <w:right w:val="none" w:color="FFFFFF" w:sz="0"/>
            </w:tcBorders>
          </w:tcPr>
          <w:p>
            <w:pPr>
              <w:spacing w:after="0" w:before="200" w:line="312" w:lineRule="auto"/>
              <w:jc w:val="center"/>
            </w:pPr>
            <w:r>
              <w:rPr>
                <w:rFonts w:ascii="Times New Roman" w:cs="Times New Roman" w:eastAsia="Times New Roman" w:hAnsi="Times New Roman"/>
                <w:b w:val="false"/>
                <w:bCs w:val="false"/>
                <w:i w:val="false"/>
                <w:iCs w:val="false"/>
                <w:sz w:val="25"/>
                <w:szCs w:val="25"/>
              </w:rPr>
              <w:t xml:space="preserve">Số: </w:t>
            </w:r>
            <w:r>
              <w:rPr>
                <w:rFonts w:ascii="Times New Roman" w:cs="Times New Roman" w:eastAsia="Times New Roman" w:hAnsi="Times New Roman"/>
                <w:b w:val="false"/>
                <w:bCs w:val="false"/>
                <w:i w:val="false"/>
                <w:iCs w:val="false"/>
                <w:sz w:val="25"/>
                <w:szCs w:val="25"/>
                <w:highlight w:val="yellow"/>
                <w:highlightCs w:val="yellow"/>
              </w:rPr>
              <w:t xml:space="preserve">[Số hợp đồng]</w:t>
            </w:r>
          </w:p>
        </w:tc>
        <w:tc>
          <w:tcPr>
            <w:tcW w:type="dxa" w:w="4677"/>
            <w:tcBorders>
              <w:top w:val="none" w:color="FFFFFF" w:sz="0"/>
              <w:left w:val="none" w:color="FFFFFF" w:sz="0"/>
              <w:bottom w:val="none" w:color="FFFFFF" w:sz="0"/>
              <w:right w:val="none" w:color="FFFFFF" w:sz="0"/>
            </w:tcBorders>
          </w:tcPr>
          <w:p>
            <w:pPr>
              <w:spacing w:after="0" w:before="200" w:line="312" w:lineRule="auto"/>
              <w:jc w:val="center"/>
            </w:pPr>
            <w:r>
              <w:rPr>
                <w:rFonts w:ascii="Times New Roman" w:cs="Times New Roman" w:eastAsia="Times New Roman" w:hAnsi="Times New Roman"/>
                <w:b w:val="false"/>
                <w:bCs w:val="false"/>
                <w:i/>
                <w:iCs/>
                <w:sz w:val="25"/>
                <w:szCs w:val="25"/>
              </w:rPr>
              <w:t xml:space="preserve">Thành phố Hồ Chí Minh, ngày </w:t>
            </w:r>
            <w:r>
              <w:rPr>
                <w:rFonts w:ascii="Times New Roman" w:cs="Times New Roman" w:eastAsia="Times New Roman" w:hAnsi="Times New Roman"/>
                <w:b w:val="false"/>
                <w:bCs w:val="false"/>
                <w:i/>
                <w:iCs/>
                <w:sz w:val="25"/>
                <w:szCs w:val="25"/>
                <w:highlight w:val="yellow"/>
                <w:highlightCs w:val="yellow"/>
              </w:rPr>
              <w:t xml:space="preserve">[ngày ký]</w:t>
            </w:r>
          </w:p>
        </w:tc>
      </w:tr>
    </w:tbl>
    <w:p>
      <w:pPr>
        <w:spacing w:after="200" w:before="320" w:line="312" w:lineRule="auto"/>
        <w:jc w:val="center"/>
      </w:pPr>
      <w:r>
        <w:rPr>
          <w:rFonts w:ascii="Times New Roman" w:cs="Times New Roman" w:eastAsia="Times New Roman" w:hAnsi="Times New Roman"/>
          <w:b w:val="1"/>
          <w:bCs w:val="1"/>
          <w:i w:val="false"/>
          <w:iCs w:val="false"/>
          <w:sz w:val="32"/>
          <w:szCs w:val="32"/>
        </w:rPr>
        <w:t xml:space="preserve">HỢP ĐỒNG LAO ĐỘNG</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Bộ luật Lao động số 45/2019/QH14 ngày 20/11/2019.</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Bộ luật Dân sự số 91/2015/QH13 ngày 24/11/2015.</w:t>
      </w:r>
    </w:p>
    <w:p>
      <w:pPr>
        <w:spacing w:after="20" w:before="0" w:line="312" w:lineRule="auto"/>
        <w:ind w:left="312"/>
        <w:jc w:val="left"/>
      </w:pPr>
      <w:r>
        <w:rPr>
          <w:rFonts w:ascii="Times New Roman" w:cs="Times New Roman" w:eastAsia="Times New Roman" w:hAnsi="Times New Roman"/>
          <w:b w:val="false"/>
          <w:bCs w:val="false"/>
          <w:i/>
          <w:iCs/>
          <w:sz w:val="26"/>
          <w:szCs w:val="26"/>
        </w:rPr>
        <w:t xml:space="preserve">Căn cứ nhu cầu sử dụng lao động của Công ty và năng lực của Người lao động.</w:t>
      </w:r>
    </w:p>
    <w:p>
      <w:pPr>
        <w:spacing w:after="60" w:before="160" w:line="312" w:lineRule="auto"/>
        <w:ind w:firstLine="312"/>
        <w:jc w:val="both"/>
      </w:pPr>
      <w:r>
        <w:rPr>
          <w:rFonts w:ascii="Times New Roman" w:cs="Times New Roman" w:eastAsia="Times New Roman" w:hAnsi="Times New Roman"/>
          <w:b w:val="false"/>
          <w:bCs w:val="false"/>
          <w:i w:val="false"/>
          <w:iCs w:val="false"/>
          <w:sz w:val="26"/>
          <w:szCs w:val="26"/>
        </w:rPr>
        <w:t xml:space="preserve">Hôm nay, ngày </w:t>
      </w:r>
      <w:r>
        <w:rPr>
          <w:rFonts w:ascii="Times New Roman" w:cs="Times New Roman" w:eastAsia="Times New Roman" w:hAnsi="Times New Roman"/>
          <w:b w:val="false"/>
          <w:bCs w:val="false"/>
          <w:i w:val="false"/>
          <w:iCs w:val="false"/>
          <w:sz w:val="26"/>
          <w:szCs w:val="26"/>
          <w:highlight w:val="yellow"/>
          <w:highlightCs w:val="yellow"/>
        </w:rPr>
        <w:t xml:space="preserve">[ngày ký]</w:t>
      </w:r>
      <w:r>
        <w:rPr>
          <w:rFonts w:ascii="Times New Roman" w:cs="Times New Roman" w:eastAsia="Times New Roman" w:hAnsi="Times New Roman"/>
          <w:b w:val="false"/>
          <w:bCs w:val="false"/>
          <w:i w:val="false"/>
          <w:iCs w:val="false"/>
          <w:sz w:val="26"/>
          <w:szCs w:val="26"/>
        </w:rPr>
        <w:t xml:space="preserve">, tại trụ sở Công ty TNHH Đầu tư và Phát triển ISC Group, chúng tôi gồm:</w:t>
      </w:r>
    </w:p>
    <w:p>
      <w:pPr>
        <w:keepNext/>
        <w:spacing w:after="60" w:before="200" w:line="312" w:lineRule="auto"/>
        <w:jc w:val="both"/>
      </w:pPr>
      <w:r>
        <w:rPr>
          <w:rFonts w:ascii="Times New Roman" w:cs="Times New Roman" w:eastAsia="Times New Roman" w:hAnsi="Times New Roman"/>
          <w:b w:val="1"/>
          <w:bCs w:val="1"/>
          <w:i w:val="false"/>
          <w:iCs w:val="false"/>
          <w:sz w:val="26"/>
          <w:szCs w:val="26"/>
        </w:rPr>
        <w:t xml:space="preserve">NGƯỜI SỬ DỤNG LAO ĐỘNG</w:t>
      </w:r>
      <w:r>
        <w:rPr>
          <w:rFonts w:ascii="Times New Roman" w:cs="Times New Roman" w:eastAsia="Times New Roman" w:hAnsi="Times New Roman"/>
          <w:b/>
          <w:bCs/>
          <w:sz w:val="26"/>
          <w:szCs w:val="26"/>
        </w:rPr>
        <w:t xml:space="preserve">:</w:t>
      </w:r>
    </w:p>
    <w:p>
      <w:pPr>
        <w:spacing w:after="60" w:before="0" w:line="312" w:lineRule="auto"/>
        <w:ind w:left="312"/>
        <w:jc w:val="both"/>
      </w:pPr>
      <w:r>
        <w:rPr>
          <w:rFonts w:ascii="Times New Roman" w:cs="Times New Roman" w:eastAsia="Times New Roman" w:hAnsi="Times New Roman"/>
          <w:b w:val="1"/>
          <w:bCs w:val="1"/>
          <w:i w:val="false"/>
          <w:iCs w:val="false"/>
          <w:sz w:val="26"/>
          <w:szCs w:val="26"/>
        </w:rPr>
        <w:t xml:space="preserve">CÔNG TY TNHH ĐẦU TƯ VÀ PHÁT TRIỂN ISC GROUP (sau đây gọi là “Công ty”)</w:t>
      </w:r>
    </w:p>
    <w:tbl>
      <w:tblPr>
        <w:tblW w:type="dxa" w:w="9042"/>
        <w:tblInd w:type="dxa" w:w="3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280"/>
        <w:gridCol w:w="6062"/>
      </w:tblGrid>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Tên tiếng nước ngoài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ISC GROUP INVESTMENT AND DEVELOPMENT COMPANY LIMITED</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Tên viết tắt</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ISC GROUP CO.,LTD</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Đại diện</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Ông </w:t>
            </w:r>
            <w:r>
              <w:rPr>
                <w:rFonts w:ascii="Times New Roman" w:cs="Times New Roman" w:eastAsia="Times New Roman" w:hAnsi="Times New Roman"/>
                <w:b/>
                <w:bCs/>
                <w:i w:val="false"/>
                <w:iCs w:val="false"/>
                <w:sz w:val="26"/>
                <w:szCs w:val="26"/>
              </w:rPr>
              <w:t xml:space="preserve">LÊ THÁI SƠN</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Quốc tịch: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Chức vụ</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Giám đốc</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Trụ sở</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47 Đường số 10, Khu phố 63, Phường Hiệp Bình, Thành phố Hồ Chí Minh,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Mã số thuế</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0319719705</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Điện thoại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rPr>
              <w:t xml:space="preserve">0901351678</w:t>
            </w:r>
          </w:p>
        </w:tc>
      </w:tr>
    </w:tbl>
    <w:p>
      <w:pPr>
        <w:keepNext/>
        <w:spacing w:after="60" w:before="200" w:line="312" w:lineRule="auto"/>
        <w:jc w:val="both"/>
      </w:pPr>
      <w:r>
        <w:rPr>
          <w:rFonts w:ascii="Times New Roman" w:cs="Times New Roman" w:eastAsia="Times New Roman" w:hAnsi="Times New Roman"/>
          <w:b w:val="1"/>
          <w:bCs w:val="1"/>
          <w:i w:val="false"/>
          <w:iCs w:val="false"/>
          <w:sz w:val="26"/>
          <w:szCs w:val="26"/>
        </w:rPr>
        <w:t xml:space="preserve">NGƯỜI LAO ĐỘNG</w:t>
      </w:r>
      <w:r>
        <w:rPr>
          <w:rFonts w:ascii="Times New Roman" w:cs="Times New Roman" w:eastAsia="Times New Roman" w:hAnsi="Times New Roman"/>
          <w:b/>
          <w:bCs/>
          <w:sz w:val="26"/>
          <w:szCs w:val="26"/>
        </w:rPr>
        <w:t xml:space="preserve">:</w:t>
      </w:r>
    </w:p>
    <w:tbl>
      <w:tblPr>
        <w:tblW w:type="dxa" w:w="9042"/>
        <w:tblInd w:type="dxa" w:w="3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280"/>
        <w:gridCol w:w="6062"/>
      </w:tblGrid>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Họ và tên</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[Ông/Bà]</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highlight w:val="yellow"/>
                <w:highlightCs w:val="yellow"/>
              </w:rPr>
              <w:t xml:space="preserve">[HỌ VÀ TÊN]</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Quốc tịch: Việt Nam</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Ngày sinh</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[Ngày sinh]</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Giới tính: </w:t>
            </w:r>
            <w:r>
              <w:rPr>
                <w:rFonts w:ascii="Times New Roman" w:cs="Times New Roman" w:eastAsia="Times New Roman" w:hAnsi="Times New Roman"/>
                <w:b w:val="false"/>
                <w:bCs w:val="false"/>
                <w:i w:val="false"/>
                <w:iCs w:val="false"/>
                <w:sz w:val="26"/>
                <w:szCs w:val="26"/>
                <w:highlight w:val="yellow"/>
                <w:highlightCs w:val="yellow"/>
              </w:rPr>
              <w:t xml:space="preserve">[Giới tính]</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Số CCCD</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[Số CCCD]</w:t>
            </w:r>
            <w:r>
              <w:rPr>
                <w:rFonts w:ascii="Times New Roman" w:cs="Times New Roman" w:eastAsia="Times New Roman" w:hAnsi="Times New Roman"/>
                <w:sz w:val="26"/>
                <w:szCs w:val="26"/>
              </w:rPr>
              <w:t xml:space="preserve">	</w:t>
            </w:r>
            <w:r>
              <w:rPr>
                <w:rFonts w:ascii="Times New Roman" w:cs="Times New Roman" w:eastAsia="Times New Roman" w:hAnsi="Times New Roman"/>
                <w:b w:val="false"/>
                <w:bCs w:val="false"/>
                <w:i w:val="false"/>
                <w:iCs w:val="false"/>
                <w:sz w:val="26"/>
                <w:szCs w:val="26"/>
              </w:rPr>
              <w:t xml:space="preserve">Cấp ngày: </w:t>
            </w:r>
            <w:r>
              <w:rPr>
                <w:rFonts w:ascii="Times New Roman" w:cs="Times New Roman" w:eastAsia="Times New Roman" w:hAnsi="Times New Roman"/>
                <w:b w:val="false"/>
                <w:bCs w:val="false"/>
                <w:i w:val="false"/>
                <w:iCs w:val="false"/>
                <w:sz w:val="26"/>
                <w:szCs w:val="26"/>
                <w:highlight w:val="yellow"/>
                <w:highlightCs w:val="yellow"/>
              </w:rPr>
              <w:t xml:space="preserve">[Ngày cấp]</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Nơi cấp</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[Nơi cấp]</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Địa chỉ thường trú</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[Địa chỉ thường trú]</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Nơi ở hiện tại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[Nơi ở hiện tại]</w:t>
            </w:r>
          </w:p>
        </w:tc>
      </w:tr>
      <w:tr>
        <w:tc>
          <w:tcPr>
            <w:tcW w:type="dxa" w:w="270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Điện thoại</w:t>
            </w:r>
          </w:p>
        </w:tc>
        <w:tc>
          <w:tcPr>
            <w:tcW w:type="dxa" w:w="280"/>
            <w:tcBorders>
              <w:top w:val="none" w:color="FFFFFF" w:sz="0"/>
              <w:left w:val="none" w:color="FFFFFF" w:sz="0"/>
              <w:bottom w:val="none" w:color="FFFFFF" w:sz="0"/>
              <w:right w:val="none" w:color="FFFFFF" w:sz="0"/>
            </w:tcBorders>
            <w:tcMar>
              <w:top w:type="dxa" w:w="0"/>
              <w:left w:type="dxa" w:w="0"/>
              <w:bottom w:type="dxa" w:w="0"/>
              <w:right w:type="dxa" w:w="60"/>
            </w:tcMar>
          </w:tcPr>
          <w:p>
            <w:pPr>
              <w:spacing w:after="20" w:before="0" w:line="312" w:lineRule="auto"/>
              <w:jc w:val="left"/>
            </w:pPr>
            <w:r>
              <w:rPr>
                <w:rFonts w:ascii="Times New Roman" w:cs="Times New Roman" w:eastAsia="Times New Roman" w:hAnsi="Times New Roman"/>
                <w:b w:val="false"/>
                <w:bCs w:val="false"/>
                <w:i w:val="false"/>
                <w:iCs w:val="false"/>
                <w:sz w:val="26"/>
                <w:szCs w:val="26"/>
              </w:rPr>
              <w:t xml:space="preserve">:</w:t>
            </w:r>
          </w:p>
        </w:tc>
        <w:tc>
          <w:tcPr>
            <w:tcW w:type="dxa" w:w="6062"/>
            <w:tcBorders>
              <w:top w:val="none" w:color="FFFFFF" w:sz="0"/>
              <w:left w:val="none" w:color="FFFFFF" w:sz="0"/>
              <w:bottom w:val="none" w:color="FFFFFF" w:sz="0"/>
              <w:right w:val="none" w:color="FFFFFF" w:sz="0"/>
            </w:tcBorders>
            <w:tcMar>
              <w:top w:type="dxa" w:w="0"/>
              <w:left w:type="dxa" w:w="0"/>
              <w:bottom w:type="dxa" w:w="0"/>
              <w:right w:type="dxa" w:w="60"/>
            </w:tcMar>
          </w:tcPr>
          <w:p>
            <w:pPr>
              <w:tabs>
                <w:tab w:val="right" w:pos="5982"/>
              </w:tabs>
              <w:spacing w:after="20" w:before="0" w:line="312" w:lineRule="auto"/>
              <w:jc w:val="left"/>
            </w:pPr>
            <w:r>
              <w:rPr>
                <w:rFonts w:ascii="Times New Roman" w:cs="Times New Roman" w:eastAsia="Times New Roman" w:hAnsi="Times New Roman"/>
                <w:b w:val="false"/>
                <w:bCs w:val="false"/>
                <w:i w:val="false"/>
                <w:iCs w:val="false"/>
                <w:sz w:val="26"/>
                <w:szCs w:val="26"/>
                <w:highlight w:val="yellow"/>
                <w:highlightCs w:val="yellow"/>
              </w:rPr>
              <w:t xml:space="preserve">[Số điện thoại]</w:t>
            </w:r>
          </w:p>
        </w:tc>
      </w:tr>
    </w:tbl>
    <w:p>
      <w:pPr>
        <w:spacing w:after="60" w:before="160" w:line="312" w:lineRule="auto"/>
        <w:ind w:firstLine="312"/>
        <w:jc w:val="both"/>
      </w:pPr>
      <w:r>
        <w:rPr>
          <w:rFonts w:ascii="Times New Roman" w:cs="Times New Roman" w:eastAsia="Times New Roman" w:hAnsi="Times New Roman"/>
          <w:b w:val="false"/>
          <w:bCs w:val="false"/>
          <w:i/>
          <w:iCs/>
          <w:sz w:val="26"/>
          <w:szCs w:val="26"/>
        </w:rPr>
        <w:t xml:space="preserve">(sau đây gọi là “Người lao động”)</w:t>
      </w:r>
    </w:p>
    <w:p>
      <w:pPr>
        <w:spacing w:after="60" w:before="160" w:line="312" w:lineRule="auto"/>
        <w:ind w:firstLine="312"/>
        <w:jc w:val="both"/>
      </w:pPr>
      <w:r>
        <w:rPr>
          <w:rFonts w:ascii="Times New Roman" w:cs="Times New Roman" w:eastAsia="Times New Roman" w:hAnsi="Times New Roman"/>
          <w:b w:val="false"/>
          <w:bCs w:val="false"/>
          <w:i/>
          <w:iCs/>
          <w:sz w:val="26"/>
          <w:szCs w:val="26"/>
        </w:rPr>
        <w:t xml:space="preserve">Hai bên thỏa thuận ký kết Hợp đồng lao động (sau đây gọi là “Hợp đồng”) và cam kết thực hiện đúng những điều khoản sau đây:</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1	</w:t>
      </w:r>
      <w:r>
        <w:rPr>
          <w:rFonts w:ascii="Times New Roman" w:cs="Times New Roman" w:eastAsia="Times New Roman" w:hAnsi="Times New Roman"/>
          <w:b w:val="1"/>
          <w:bCs w:val="1"/>
          <w:i w:val="false"/>
          <w:iCs w:val="false"/>
          <w:sz w:val="26"/>
          <w:szCs w:val="26"/>
        </w:rPr>
        <w:t xml:space="preserve">Thời hạn, công việc và địa điểm làm việc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1.1	</w:t>
      </w:r>
      <w:r>
        <w:rPr>
          <w:rFonts w:ascii="Times New Roman" w:cs="Times New Roman" w:eastAsia="Times New Roman" w:hAnsi="Times New Roman"/>
          <w:b w:val="1"/>
          <w:bCs w:val="1"/>
          <w:i w:val="false"/>
          <w:iCs w:val="false"/>
          <w:sz w:val="26"/>
          <w:szCs w:val="26"/>
        </w:rPr>
        <w:t xml:space="preserve">Loại hợp đồng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Loại hợp đồng: Hợp đồng lao động xác định thời hạn 12 (mười hai) tháng.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Thời hạn hợp đồng: Từ ngày </w:t>
      </w:r>
      <w:r>
        <w:rPr>
          <w:rFonts w:ascii="Times New Roman" w:cs="Times New Roman" w:eastAsia="Times New Roman" w:hAnsi="Times New Roman"/>
          <w:b w:val="false"/>
          <w:bCs w:val="false"/>
          <w:i w:val="false"/>
          <w:iCs w:val="false"/>
          <w:sz w:val="26"/>
          <w:szCs w:val="26"/>
          <w:highlight w:val="yellow"/>
          <w:highlightCs w:val="yellow"/>
        </w:rPr>
        <w:t xml:space="preserve">[ngày hiệu lực HĐLĐ]</w:t>
      </w:r>
      <w:r>
        <w:rPr>
          <w:rFonts w:ascii="Times New Roman" w:cs="Times New Roman" w:eastAsia="Times New Roman" w:hAnsi="Times New Roman"/>
          <w:b w:val="false"/>
          <w:bCs w:val="false"/>
          <w:i w:val="false"/>
          <w:iCs w:val="false"/>
          <w:sz w:val="26"/>
          <w:szCs w:val="26"/>
        </w:rPr>
        <w:t xml:space="preserve"> đến hết ngày </w:t>
      </w:r>
      <w:r>
        <w:rPr>
          <w:rFonts w:ascii="Times New Roman" w:cs="Times New Roman" w:eastAsia="Times New Roman" w:hAnsi="Times New Roman"/>
          <w:b w:val="false"/>
          <w:bCs w:val="false"/>
          <w:i w:val="false"/>
          <w:iCs w:val="false"/>
          <w:sz w:val="26"/>
          <w:szCs w:val="26"/>
          <w:highlight w:val="yellow"/>
          <w:highlightCs w:val="yellow"/>
        </w:rPr>
        <w:t xml:space="preserve">[ngày kết thúc HĐLĐ]</w:t>
      </w:r>
      <w:r>
        <w:rPr>
          <w:rFonts w:ascii="Times New Roman" w:cs="Times New Roman" w:eastAsia="Times New Roman" w:hAnsi="Times New Roman"/>
          <w:b w:val="false"/>
          <w:bCs w:val="false"/>
          <w:i w:val="false"/>
          <w:iCs w:val="false"/>
          <w:sz w:val="26"/>
          <w:szCs w:val="26"/>
        </w:rPr>
        <w:t xml:space="preserve">.</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1.2	</w:t>
      </w:r>
      <w:r>
        <w:rPr>
          <w:rFonts w:ascii="Times New Roman" w:cs="Times New Roman" w:eastAsia="Times New Roman" w:hAnsi="Times New Roman"/>
          <w:b w:val="1"/>
          <w:bCs w:val="1"/>
          <w:i w:val="false"/>
          <w:iCs w:val="false"/>
          <w:sz w:val="26"/>
          <w:szCs w:val="26"/>
        </w:rPr>
        <w:t xml:space="preserve">Địa điểm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Địa điểm làm việc chính: </w:t>
      </w:r>
      <w:r>
        <w:rPr>
          <w:rFonts w:ascii="Times New Roman" w:cs="Times New Roman" w:eastAsia="Times New Roman" w:hAnsi="Times New Roman"/>
          <w:b w:val="false"/>
          <w:bCs w:val="false"/>
          <w:i w:val="false"/>
          <w:iCs w:val="false"/>
          <w:sz w:val="26"/>
          <w:szCs w:val="26"/>
          <w:highlight w:val="yellow"/>
          <w:highlightCs w:val="yellow"/>
        </w:rPr>
        <w:t xml:space="preserve">[Tên nơi làm việc]</w:t>
      </w: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highlightCs w:val="yellow"/>
        </w:rPr>
        <w:t xml:space="preserve">[Địa chỉ nơi làm việc]</w:t>
      </w:r>
      <w:r>
        <w:rPr>
          <w:rFonts w:ascii="Times New Roman" w:cs="Times New Roman" w:eastAsia="Times New Roman" w:hAnsi="Times New Roman"/>
          <w:b w:val="false"/>
          <w:bCs w:val="false"/>
          <w:i w:val="false"/>
          <w:iCs w:val="false"/>
          <w:sz w:val="26"/>
          <w:szCs w:val="26"/>
        </w:rPr>
        <w:t xml:space="preserve">.</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Địa điểm làm việc khác: Căn cứ nhu cầu vận hành, Công ty có thể bố trí Người lao động làm việc tại các cửa hàng, địa điểm kinh doanh khác thuộc hệ thống của Công ty trên địa bàn Thành phố Hồ Chí Minh, phù hợp với công việc theo Hợp đồng. Việc bố trí này không làm thay đổi chức danh, tiền lương đã thỏa thuận và được thực hiện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1.3	</w:t>
      </w:r>
      <w:r>
        <w:rPr>
          <w:rFonts w:ascii="Times New Roman" w:cs="Times New Roman" w:eastAsia="Times New Roman" w:hAnsi="Times New Roman"/>
          <w:b w:val="1"/>
          <w:bCs w:val="1"/>
          <w:i w:val="false"/>
          <w:iCs w:val="false"/>
          <w:sz w:val="26"/>
          <w:szCs w:val="26"/>
        </w:rPr>
        <w:t xml:space="preserve">Chức vụ/chức danh: ĐẦU BẾP BÁNH (PASTRY CHEF)</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1.4	</w:t>
      </w:r>
      <w:r>
        <w:rPr>
          <w:rFonts w:ascii="Times New Roman" w:cs="Times New Roman" w:eastAsia="Times New Roman" w:hAnsi="Times New Roman"/>
          <w:b w:val="1"/>
          <w:bCs w:val="1"/>
          <w:i w:val="false"/>
          <w:iCs w:val="false"/>
          <w:sz w:val="26"/>
          <w:szCs w:val="26"/>
        </w:rPr>
        <w:t xml:space="preserve">Nội dung công việc/Mô tả công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Vai trò chính: Phụ trách chuyên môn mảng bánh của thương hiệu Comfy Coffee &amp; Bakes (sau đây gọi là “Comfy”), gồm sản xuất bánh cung cấp cho các cửa hàng, kiểm soát chất lượng và phát triển sản phẩm mới, dưới sự điều phối và phê duyệt của Trưởng Bộ phận Sản phẩm (Head of Product).</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Nhiệm vụ công việc: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Thực hiện công việc theo đúng chức danh tại khoản 1.3 dưới sự quản lý, phân công của Công ty, theo các quy trình vận hành chuẩn (SOP) và hướng dẫn công việc được phổ biến cho Người lao động.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Phối hợp với các bộ phận khác để bảo đảm hiệu quả công việc.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Thực hiện các công việc khác có liên quan đến chuyên môn, nghiệp vụ theo sự phân công hợp lý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Quyền hạn: Được quyền yêu cầu nhân viên phụ bếp (nếu có) tạm ngừng công việc trong ca nếu vi phạm nghiêm trọng quy trình vận hành hoặc an toàn vệ sinh thực phẩm. Việc tạm ngừng chỉ áp dụng trong ca, báo cáo ngay cho cấp quản lý trực tiếp và không phải là tạm đình chỉ công việc theo Điều 128 Bộ luật Lao động.</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Yêu cầu kết quả (KPIs):</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Ra mắt món mới đạt theo yêu cầu của Công ty. Số lượng món mới tối thiểu: </w:t>
      </w:r>
      <w:r>
        <w:rPr>
          <w:rFonts w:ascii="Times New Roman" w:cs="Times New Roman" w:eastAsia="Times New Roman" w:hAnsi="Times New Roman"/>
          <w:b/>
          <w:bCs/>
          <w:i w:val="false"/>
          <w:iCs w:val="false"/>
          <w:sz w:val="26"/>
          <w:szCs w:val="26"/>
        </w:rPr>
        <w:t xml:space="preserve">01 món bánh mới/tháng</w:t>
      </w:r>
      <w:r>
        <w:rPr>
          <w:rFonts w:ascii="Times New Roman" w:cs="Times New Roman" w:eastAsia="Times New Roman" w:hAnsi="Times New Roman"/>
          <w:b w:val="false"/>
          <w:bCs w:val="false"/>
          <w:i w:val="false"/>
          <w:iCs w:val="false"/>
          <w:sz w:val="26"/>
          <w:szCs w:val="26"/>
        </w:rPr>
        <w:t xml:space="preserve"> theo xu hướng thị trường. KPI này được tính độc lập và không nằm trong những đợt chỉnh sửa, nâng cấp menu của Comfy.</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Tỷ lệ hao hụt nguyên vật liệu làm bánh (Waste) nằm trong định mức cho phép của Công ty.</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Đảm bảo 100% bánh phục vụ khách hàng đạt chuẩn, không có phản hồi tiêu cực từ khách hàng về chất lượng bánh do lỗi sản xuất.</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Kết quả các yêu cầu trên là một căn cứ chấm Thưởng KPI hằng tháng theo điểm (i) khoản 3.1.</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Công ty có thể tạm thời chuyển Người lao động làm công việc khác so với Hợp đồng trong các trường hợp, thời hạn và theo trình tự quy định tại Điều 29 Bộ luật Lao động và Nội quy lao động. Việc thay đổi chức danh, công việc hoặc bộ phận làm việc lâu dài của Người lao động được thực hiện theo thỏa thuận của hai bên bằng phụ lục hợp đồng hoặc hợp đồng mới.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Hoàn thành tốt công việc được giao theo định mức khối lượng, thời gian và đạt chất lượng theo quy định, chấp hành tốt nội quy kỷ luật, chấp hành nghiêm chỉnh quy trình vận hành, quy trình thao tác công nghệ, bảo quản thiết bị, quy trình an toàn lao động.</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2	</w:t>
      </w:r>
      <w:r>
        <w:rPr>
          <w:rFonts w:ascii="Times New Roman" w:cs="Times New Roman" w:eastAsia="Times New Roman" w:hAnsi="Times New Roman"/>
          <w:b w:val="1"/>
          <w:bCs w:val="1"/>
          <w:i w:val="false"/>
          <w:iCs w:val="false"/>
          <w:sz w:val="26"/>
          <w:szCs w:val="26"/>
        </w:rPr>
        <w:t xml:space="preserve">Chế độ làm việc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2.1	</w:t>
      </w:r>
      <w:r>
        <w:rPr>
          <w:rFonts w:ascii="Times New Roman" w:cs="Times New Roman" w:eastAsia="Times New Roman" w:hAnsi="Times New Roman"/>
          <w:b w:val="1"/>
          <w:bCs w:val="1"/>
          <w:i w:val="false"/>
          <w:iCs w:val="false"/>
          <w:sz w:val="26"/>
          <w:szCs w:val="26"/>
        </w:rPr>
        <w:t xml:space="preserve">Thời giờ làm việc và nghỉ ngơi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Thời gian làm việc: 08 giờ/ngày, 06 ngày/tuần, không áp dụng ca cố định. Người lao động chủ động bố trí giờ bắt đầu và giờ kết thúc theo kế hoạch sản xuất bánh và nhu cầu cung ứng cho các cửa hàng, bảo đảm đủ 08 giờ làm việc mỗi ngày và không vượt quá giới hạn thời giờ làm việc theo quy định pháp luật. Lịch làm việc do Người lao động đăng ký và được Trưởng Bộ phận Sản phẩm (Head of Product) phê duyệt theo điểm (v) khoản 2.1.</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Nghỉ giữa ca: Người lao động được nghỉ giữa ca ít nhất 30 phút liên tục, tự sắp xếp phù hợp với tiến độ sản xuất.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Bảo đảm nguồn cung: Người lao động sắp xếp lịch làm việc và kế hoạch sản xuất sao cho bảo đảm nguồn cung sản phẩm bánh cho các cửa hàng hằng ngày, đặc biệt trong các ngày cuối tuần, lễ, Tết.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Nghỉ hằng tuần: Người lao động được nghỉ 01 ngày/tuần, chủ động sắp xếp ngày nghỉ linh hoạt, không bắt buộc cố định. Người lao động đăng ký ngày nghỉ của tuần kế tiếp với Trưởng Bộ phận Sản phẩm (Head of Product) chậm nhất vào Thứ Năm của tuần hiện tại. Trưởng Bộ phận Sản phẩm phê duyệt lịch nghỉ trên cơ sở nguyện vọng của Người lao động và kế hoạch sản xuất, bảo đảm nguồn cung sản phẩm bánh trong các ngày cao điểm.</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Lịch làm việc chính thức của Người lao động do Trưởng Bộ phận Sản phẩm chốt và công bố hằng tuần. Trưởng Bộ phận Sản phẩm có quyền điều chỉnh lịch làm việc để phù hợp với kế hoạch sản xuất thực tế, với điều kiện thông báo trước cho Người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Làm thêm giờ: Việc làm thêm giờ chỉ được tính và chi trả khi có yêu cầu hoặc phê duyệt trước bằng văn bản, tin nhắn của Trưởng Bộ phận Sản phẩm (Head of Product) hoặc cấp quản lý cao hơn. Thời gian Người lao động tự ý ở lại nơi làm việc khi không có yêu cầu không được tính là thời gian làm thêm giờ.</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2.2	</w:t>
      </w:r>
      <w:r>
        <w:rPr>
          <w:rFonts w:ascii="Times New Roman" w:cs="Times New Roman" w:eastAsia="Times New Roman" w:hAnsi="Times New Roman"/>
          <w:b w:val="1"/>
          <w:bCs w:val="1"/>
          <w:i w:val="false"/>
          <w:iCs w:val="false"/>
          <w:sz w:val="26"/>
          <w:szCs w:val="26"/>
        </w:rPr>
        <w:t xml:space="preserve">Trang thiết bị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Công ty cấp phát thiết bị và công cụ làm việc theo nhu cầu công việc, do Trưởng Bộ phận Sản phẩm đánh giá.</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2.3	</w:t>
      </w:r>
      <w:r>
        <w:rPr>
          <w:rFonts w:ascii="Times New Roman" w:cs="Times New Roman" w:eastAsia="Times New Roman" w:hAnsi="Times New Roman"/>
          <w:b w:val="1"/>
          <w:bCs w:val="1"/>
          <w:i w:val="false"/>
          <w:iCs w:val="false"/>
          <w:sz w:val="26"/>
          <w:szCs w:val="26"/>
        </w:rPr>
        <w:t xml:space="preserve">Điều kiện làm việc</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Điều kiện an toàn, vệ sinh lao động được thực hiện theo quy định pháp luật hiện hành.</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2.4	</w:t>
      </w:r>
      <w:r>
        <w:rPr>
          <w:rFonts w:ascii="Times New Roman" w:cs="Times New Roman" w:eastAsia="Times New Roman" w:hAnsi="Times New Roman"/>
          <w:b w:val="1"/>
          <w:bCs w:val="1"/>
          <w:i w:val="false"/>
          <w:iCs w:val="false"/>
          <w:sz w:val="26"/>
          <w:szCs w:val="26"/>
        </w:rPr>
        <w:t xml:space="preserve">Trang bị bảo hộ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được trang bị đồng phục và các công cụ khác (nếu có) phù hợp với tính chất công việc.</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3	</w:t>
      </w:r>
      <w:r>
        <w:rPr>
          <w:rFonts w:ascii="Times New Roman" w:cs="Times New Roman" w:eastAsia="Times New Roman" w:hAnsi="Times New Roman"/>
          <w:b w:val="1"/>
          <w:bCs w:val="1"/>
          <w:i w:val="false"/>
          <w:iCs w:val="false"/>
          <w:sz w:val="26"/>
          <w:szCs w:val="26"/>
        </w:rPr>
        <w:t xml:space="preserve">Quyền lợi và nghĩa vụ của Người lao động</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3.1	</w:t>
      </w:r>
      <w:r>
        <w:rPr>
          <w:rFonts w:ascii="Times New Roman" w:cs="Times New Roman" w:eastAsia="Times New Roman" w:hAnsi="Times New Roman"/>
          <w:b w:val="1"/>
          <w:bCs w:val="1"/>
          <w:i w:val="false"/>
          <w:iCs w:val="false"/>
          <w:sz w:val="26"/>
          <w:szCs w:val="26"/>
        </w:rPr>
        <w:t xml:space="preserve">Quyền lợi</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Thu nhập hằng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Tiền lương:</w:t>
      </w:r>
    </w:p>
    <w:tbl>
      <w:tblPr>
        <w:tblW w:type="dxa" w:w="7794"/>
        <w:tblInd w:type="dxa" w:w="15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2806"/>
        <w:gridCol w:w="2650"/>
      </w:tblGrid>
      <w:tr>
        <w:trPr>
          <w:cantSplit/>
          <w:tblHeader/>
        </w:trPr>
        <w:tc>
          <w:tcPr>
            <w:tcW w:type="dxa" w:w="2338"/>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Khoản</w:t>
            </w:r>
          </w:p>
        </w:tc>
        <w:tc>
          <w:tcPr>
            <w:tcW w:type="dxa" w:w="2806"/>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Mức</w:t>
            </w:r>
          </w:p>
        </w:tc>
        <w:tc>
          <w:tcPr>
            <w:tcW w:type="dxa" w:w="2650"/>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Bằng chữ</w:t>
            </w:r>
          </w:p>
        </w:tc>
      </w:tr>
      <w:tr>
        <w:trPr>
          <w:cantSplit/>
        </w:trPr>
        <w:tc>
          <w:tcPr>
            <w:tcW w:type="dxa" w:w="2338"/>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val="false"/>
                <w:iCs w:val="false"/>
                <w:sz w:val="24"/>
                <w:szCs w:val="24"/>
              </w:rPr>
              <w:t xml:space="preserve">Lương cơ bản</w:t>
            </w:r>
          </w:p>
        </w:tc>
        <w:tc>
          <w:tcPr>
            <w:tcW w:type="dxa" w:w="2806"/>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right"/>
            </w:pPr>
            <w:r>
              <w:rPr>
                <w:rFonts w:ascii="Times New Roman" w:cs="Times New Roman" w:eastAsia="Times New Roman" w:hAnsi="Times New Roman"/>
                <w:b w:val="false"/>
                <w:bCs w:val="false"/>
                <w:i w:val="false"/>
                <w:iCs w:val="false"/>
                <w:sz w:val="24"/>
                <w:szCs w:val="24"/>
              </w:rPr>
              <w:t xml:space="preserve">5.600.000 đồng/tháng</w:t>
            </w:r>
          </w:p>
        </w:tc>
        <w:tc>
          <w:tcPr>
            <w:tcW w:type="dxa" w:w="2650"/>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iCs/>
                <w:sz w:val="24"/>
                <w:szCs w:val="24"/>
              </w:rPr>
              <w:t xml:space="preserve">Năm triệu sáu trăm nghìn đồng</w:t>
            </w:r>
          </w:p>
        </w:tc>
      </w:tr>
    </w:tbl>
    <w:p>
      <w:pPr>
        <w:spacing w:after="60" w:before="0" w:line="312" w:lineRule="auto"/>
        <w:jc w:val="both"/>
      </w:pP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Các chế độ phúc lợi và thưởng</w:t>
      </w:r>
      <w:r>
        <w:rPr>
          <w:rFonts w:ascii="Times New Roman" w:cs="Times New Roman" w:eastAsia="Times New Roman" w:hAnsi="Times New Roman"/>
          <w:b w:val="false"/>
          <w:bCs w:val="false"/>
          <w:i w:val="false"/>
          <w:iCs w:val="false"/>
          <w:sz w:val="26"/>
          <w:szCs w:val="26"/>
        </w:rPr>
        <w:t xml:space="preserve">:</w:t>
      </w:r>
    </w:p>
    <w:tbl>
      <w:tblPr>
        <w:tblW w:type="dxa" w:w="7794"/>
        <w:tblInd w:type="dxa" w:w="15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8"/>
        <w:gridCol w:w="2806"/>
        <w:gridCol w:w="2650"/>
      </w:tblGrid>
      <w:tr>
        <w:trPr>
          <w:cantSplit/>
          <w:tblHeader/>
        </w:trPr>
        <w:tc>
          <w:tcPr>
            <w:tcW w:type="dxa" w:w="2338"/>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Khoản</w:t>
            </w:r>
          </w:p>
        </w:tc>
        <w:tc>
          <w:tcPr>
            <w:tcW w:type="dxa" w:w="2806"/>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Mức</w:t>
            </w:r>
          </w:p>
        </w:tc>
        <w:tc>
          <w:tcPr>
            <w:tcW w:type="dxa" w:w="2650"/>
            <w:tcBorders>
              <w:top w:val="single" w:color="222222" w:sz="4"/>
              <w:left w:val="single" w:color="222222" w:sz="4"/>
              <w:bottom w:val="single" w:color="222222" w:sz="4"/>
              <w:right w:val="single" w:color="222222" w:sz="4"/>
            </w:tcBorders>
            <w:shd w:fill="F2F2F2" w:color="auto" w:val="clear"/>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bCs/>
                <w:i w:val="false"/>
                <w:iCs w:val="false"/>
                <w:sz w:val="24"/>
                <w:szCs w:val="24"/>
              </w:rPr>
              <w:t xml:space="preserve">Bằng chữ</w:t>
            </w:r>
          </w:p>
        </w:tc>
      </w:tr>
      <w:tr>
        <w:trPr>
          <w:cantSplit/>
        </w:trPr>
        <w:tc>
          <w:tcPr>
            <w:tcW w:type="dxa" w:w="2338"/>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val="false"/>
                <w:iCs w:val="false"/>
                <w:sz w:val="24"/>
                <w:szCs w:val="24"/>
              </w:rPr>
              <w:t xml:space="preserve">Tiền ăn giữa ca</w:t>
            </w:r>
          </w:p>
        </w:tc>
        <w:tc>
          <w:tcPr>
            <w:tcW w:type="dxa" w:w="2806"/>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right"/>
            </w:pPr>
            <w:r>
              <w:rPr>
                <w:rFonts w:ascii="Times New Roman" w:cs="Times New Roman" w:eastAsia="Times New Roman" w:hAnsi="Times New Roman"/>
                <w:b w:val="false"/>
                <w:bCs w:val="false"/>
                <w:i w:val="false"/>
                <w:iCs w:val="false"/>
                <w:sz w:val="24"/>
                <w:szCs w:val="24"/>
                <w:highlight w:val="yellow"/>
                <w:highlightCs w:val="yellow"/>
              </w:rPr>
              <w:t xml:space="preserve">[Tiền ăn giữa ca]</w:t>
            </w:r>
          </w:p>
        </w:tc>
        <w:tc>
          <w:tcPr>
            <w:tcW w:type="dxa" w:w="2650"/>
            <w:tcBorders>
              <w:top w:val="single" w:color="222222" w:sz="4"/>
              <w:left w:val="single" w:color="222222" w:sz="4"/>
              <w:bottom w:val="single" w:color="222222" w:sz="4"/>
              <w:right w:val="single" w:color="222222" w:sz="4"/>
            </w:tcBorders>
            <w:tcMar>
              <w:top w:type="dxa" w:w="40"/>
              <w:left w:type="dxa" w:w="100"/>
              <w:bottom w:type="dxa" w:w="40"/>
              <w:right w:type="dxa" w:w="100"/>
            </w:tcMar>
          </w:tcPr>
          <w:p>
            <w:pPr>
              <w:spacing w:after="0" w:before="0" w:line="312" w:lineRule="auto"/>
              <w:jc w:val="left"/>
            </w:pPr>
            <w:r>
              <w:rPr>
                <w:rFonts w:ascii="Times New Roman" w:cs="Times New Roman" w:eastAsia="Times New Roman" w:hAnsi="Times New Roman"/>
                <w:b w:val="false"/>
                <w:bCs w:val="false"/>
                <w:i/>
                <w:iCs/>
                <w:sz w:val="24"/>
                <w:szCs w:val="24"/>
                <w:highlight w:val="yellow"/>
                <w:highlightCs w:val="yellow"/>
              </w:rPr>
              <w:t xml:space="preserve">[bằng chữ]</w:t>
            </w:r>
          </w:p>
        </w:tc>
      </w:tr>
    </w:tbl>
    <w:p>
      <w:pPr>
        <w:spacing w:after="60" w:before="0" w:line="312" w:lineRule="auto"/>
        <w:jc w:val="both"/>
      </w:pP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Tổng thu nhập cố định (gồm Lương cơ bản và các khoản phúc lợi cố định nêu trên): </w:t>
      </w:r>
      <w:r>
        <w:rPr>
          <w:rFonts w:ascii="Times New Roman" w:cs="Times New Roman" w:eastAsia="Times New Roman" w:hAnsi="Times New Roman"/>
          <w:b w:val="false"/>
          <w:bCs w:val="false"/>
          <w:i w:val="false"/>
          <w:iCs w:val="false"/>
          <w:sz w:val="26"/>
          <w:szCs w:val="26"/>
          <w:highlight w:val="yellow"/>
          <w:highlightCs w:val="yellow"/>
        </w:rPr>
        <w:t xml:space="preserve">[Tổng thu nhập cố định]</w:t>
      </w:r>
      <w:r>
        <w:rPr>
          <w:rFonts w:ascii="Times New Roman" w:cs="Times New Roman" w:eastAsia="Times New Roman" w:hAnsi="Times New Roman"/>
          <w:b w:val="false"/>
          <w:bCs w:val="false"/>
          <w:i w:val="false"/>
          <w:iCs w:val="false"/>
          <w:sz w:val="26"/>
          <w:szCs w:val="26"/>
        </w:rPr>
        <w:t xml:space="preserve">. Các mức tổng hợp này để Người lao động tham khảo và không làm thay đổi tính chất của từng khoản.</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Phụ cấp và các khoản hỗ trợ khác (nếu có): Theo chính sách của Công ty từng thời kỳ.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Thưởng KPI hằng tháng (nếu có): Người lao động được xem xét thưởng theo Quy chế thưởng KPI do Công ty ban hành theo từng thời kỳ và dựa trên tình hình kinh doanh của Công ty. Thưởng KPI là khoản tiền thưởng theo Điều 104 Bộ luật Lao động và không thuộc Tổng thu nhập cố định.</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Tiền lương làm căn cứ đóng bảo hiểm xã hội, bảo hiểm y tế, bảo hiểm thất nghiệp là Lương cơ bản. Tỷ lệ đóng của mỗi bên theo quy định pháp luật tại từng thời điểm. Phần Người lao động phải đóng và thuế thu nhập cá nhân (nếu có) được Công ty khấu trừ từ tiền lương hằng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Tiền ăn giữa ca là khoản hỗ trợ phúc lợi, được chi theo Quy chế phúc lợi của Công ty và theo số ngày làm việc thực tế trong tháng.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Số ngày công hưởng lương gồm số ngày làm việc thực tế và các ngày nghỉ lễ, Tết, nghỉ hằng năm, nghỉ việc riêng có hưởng lương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Thời hạn và hình thức trả lương: Tiền lương được chuyển khoản vào tài khoản ngân hàng của Người lao động vào ngày 05 hằng tháng cho kỳ lương của tháng liền trước. Kỳ lương tính từ ngày 01 đến ngày cuối cùng của tháng dương lịch. Trường hợp ngày trả lương trùng ngày nghỉ, tiền lương được trả vào ngày làm việc liền kề tiếp theo.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Chế độ nâng lương: Người lao động được xem xét điều chỉnh lương theo chính sách Công ty, kết quả công việc và tình hình kinh doanh.</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Chế độ nghỉ</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Nghỉ lễ, Tết: Theo quy định của Bộ luật Lao động.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Nghỉ hằng năm: 12 (mười hai) ngày làm việc/năm, hưởng nguyên lương, tính theo tỷ lệ tương ứng với thời gian làm việc thực tế. Người lao động báo trước tối thiểu 07 ngày cho Trưởng Bộ phận Sản phẩm khi sử dụng ngày nghỉ hằng năm.</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Trong giai đoạn cuối tuần, lễ, Tết hoặc thời điểm cao điểm, Công ty được ưu tiên bố trí nhân sự làm việc để bảo đảm nguồn cung sản phẩm bánh cho các cửa hàng. Việc sắp xếp ngày nghỉ được thực hiện công bằng, hợp lý và thông báo trước cho Người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Bảo hiểm và các chế độ khác</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tham gia bảo hiểm xã hội, bảo hiểm y tế, bảo hiểm thất nghiệp theo quy định pháp luật.</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đào tạo, bồi dưỡng, nâng cao trình độ, kỹ năng nghề theo nhu cầu công việc và chính sách của Công ty. Thời gian, kinh phí đào tạo và nghĩa vụ của các bên thực hiện theo quy định của Công ty, pháp luật và thỏa thuận đào tạo riêng (nếu có).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Được hưởng các chế độ phúc lợi theo chính sách của Công ty từng thời kỳ.</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Phương tiện đi lại làm việc: Người lao động tự túc.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3.2	</w:t>
      </w:r>
      <w:r>
        <w:rPr>
          <w:rFonts w:ascii="Times New Roman" w:cs="Times New Roman" w:eastAsia="Times New Roman" w:hAnsi="Times New Roman"/>
          <w:b w:val="1"/>
          <w:bCs w:val="1"/>
          <w:i w:val="false"/>
          <w:iCs w:val="false"/>
          <w:sz w:val="26"/>
          <w:szCs w:val="26"/>
        </w:rPr>
        <w:t xml:space="preserve">Nghĩa vụ</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Thực hiện đầy đủ, nghiêm túc công việc theo Hợp đồng và theo sự phân công, điều hành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Chấp hành Nội quy lao động, các quy trình vận hành chuẩn (SOP), quy định về vệ sinh an toàn thực phẩm, an toàn lao động, phòng cháy chữa cháy, bảo mật thông tin và các quy định nội bộ khác của Công ty đã được phổ biến.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Giữ gìn, bảo quản tài sản, thiết bị và công cụ làm việc được giao. Báo cáo kịp thời cho người có thẩm quyền khi phát hiện hành vi hủy hoại, trộm cắp hoặc chiếm dụng tài sản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Có trách nhiệm bồi thường thiệt hại thực tế do lỗi của mình gây ra theo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Tham gia đầy đủ các chương trình đào tạo, họp và hướng dẫn nghiệp vụ theo yêu cầu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Thực hiện các chỉ tiêu công việc theo quy định và chính sách của Công ty từng thời kỳ.</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(vii)	</w:t>
      </w:r>
      <w:r>
        <w:rPr>
          <w:rFonts w:ascii="Times New Roman" w:cs="Times New Roman" w:eastAsia="Times New Roman" w:hAnsi="Times New Roman"/>
          <w:b w:val="false"/>
          <w:bCs w:val="false"/>
          <w:i w:val="false"/>
          <w:iCs w:val="false"/>
          <w:sz w:val="26"/>
          <w:szCs w:val="26"/>
        </w:rPr>
        <w:t xml:space="preserve">Bảo mật thông tin và tôn trọng quyền sở hữu trí tuệ của Công ty theo Mục 5 của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(viii)	</w:t>
      </w:r>
      <w:r>
        <w:rPr>
          <w:rFonts w:ascii="Times New Roman" w:cs="Times New Roman" w:eastAsia="Times New Roman" w:hAnsi="Times New Roman"/>
          <w:b w:val="false"/>
          <w:bCs w:val="false"/>
          <w:i w:val="false"/>
          <w:iCs w:val="false"/>
          <w:sz w:val="26"/>
          <w:szCs w:val="26"/>
        </w:rPr>
        <w:t xml:space="preserve">Khi đơn phương chấm dứt Hợp đồng, Người lao động phải báo trước bằng văn bản cho Công ty ít nhất 30 ngày.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(ix)	</w:t>
      </w:r>
      <w:r>
        <w:rPr>
          <w:rFonts w:ascii="Times New Roman" w:cs="Times New Roman" w:eastAsia="Times New Roman" w:hAnsi="Times New Roman"/>
          <w:b w:val="false"/>
          <w:bCs w:val="false"/>
          <w:i w:val="false"/>
          <w:iCs w:val="false"/>
          <w:sz w:val="26"/>
          <w:szCs w:val="26"/>
        </w:rPr>
        <w:t xml:space="preserve">Trường hợp đơn phương chấm dứt Hợp đồng trái pháp luật, Người lao động không được trợ cấp thôi việc, phải bồi thường cho Công ty nửa tháng tiền lương theo Hợp đồng và một khoản tiền tương ứng với tiền lương theo Hợp đồng trong những ngày không báo trước, đồng thời hoàn trả chi phí đào tạo (nếu có)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(x)	</w:t>
      </w:r>
      <w:r>
        <w:rPr>
          <w:rFonts w:ascii="Times New Roman" w:cs="Times New Roman" w:eastAsia="Times New Roman" w:hAnsi="Times New Roman"/>
          <w:b w:val="false"/>
          <w:bCs w:val="false"/>
          <w:i w:val="false"/>
          <w:iCs w:val="false"/>
          <w:sz w:val="26"/>
          <w:szCs w:val="26"/>
        </w:rPr>
        <w:t xml:space="preserve">Khi chấm dứt Hợp đồng hoặc theo yêu cầu của Công ty, bàn giao đầy đủ công việc, tài liệu, dữ liệu, tài sản, tài khoản hệ thống và các thông tin liên quan thuộc sở hữu của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(xi)	</w:t>
      </w:r>
      <w:r>
        <w:rPr>
          <w:rFonts w:ascii="Times New Roman" w:cs="Times New Roman" w:eastAsia="Times New Roman" w:hAnsi="Times New Roman"/>
          <w:b w:val="false"/>
          <w:bCs w:val="false"/>
          <w:i w:val="false"/>
          <w:iCs w:val="false"/>
          <w:sz w:val="26"/>
          <w:szCs w:val="26"/>
        </w:rPr>
        <w:t xml:space="preserve">Thực hiện nghĩa vụ thuế, bảo hiểm và các nghĩa vụ tài chính khác theo quy định pháp luật.</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4	</w:t>
      </w:r>
      <w:r>
        <w:rPr>
          <w:rFonts w:ascii="Times New Roman" w:cs="Times New Roman" w:eastAsia="Times New Roman" w:hAnsi="Times New Roman"/>
          <w:b w:val="1"/>
          <w:bCs w:val="1"/>
          <w:i w:val="false"/>
          <w:iCs w:val="false"/>
          <w:sz w:val="26"/>
          <w:szCs w:val="26"/>
        </w:rPr>
        <w:t xml:space="preserve">Nghĩa vụ và quyền hạn của Người sử dụng lao động</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4.1	</w:t>
      </w:r>
      <w:r>
        <w:rPr>
          <w:rFonts w:ascii="Times New Roman" w:cs="Times New Roman" w:eastAsia="Times New Roman" w:hAnsi="Times New Roman"/>
          <w:b w:val="1"/>
          <w:bCs w:val="1"/>
          <w:i w:val="false"/>
          <w:iCs w:val="false"/>
          <w:sz w:val="26"/>
          <w:szCs w:val="26"/>
        </w:rPr>
        <w:t xml:space="preserve">Nghĩa vụ</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Bảo đảm việc làm và các điều kiện cần thiết để Người lao động thực hiện công việc theo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Thanh toán đầy đủ, đúng thời hạn tiền lương và các quyền lợi của Người lao động theo Hợp đồng.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Đóng bảo hiểm xã hội, bảo hiểm y tế, bảo hiểm thất nghiệp và khấu trừ thuế thu nhập cá nhân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Thực hiện các nghĩa vụ khác theo quy định pháp luật.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4.2	</w:t>
      </w:r>
      <w:r>
        <w:rPr>
          <w:rFonts w:ascii="Times New Roman" w:cs="Times New Roman" w:eastAsia="Times New Roman" w:hAnsi="Times New Roman"/>
          <w:b w:val="1"/>
          <w:bCs w:val="1"/>
          <w:i w:val="false"/>
          <w:iCs w:val="false"/>
          <w:sz w:val="26"/>
          <w:szCs w:val="26"/>
        </w:rPr>
        <w:t xml:space="preserve">Quyền hạn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Điều hành, phân công và điều chuyển công việc phù hợp với chuyên môn của Người lao động và nhu cầu hoạt động của Công ty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Kiểm tra, giám sát, đánh giá hiệu quả công việc của Người lao động và quyết định việc nâng lương trên cơ sở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Khen thưởng, xử lý kỷ luật lao động, tạm hoãn hoặc chấm dứt Hợp đồng theo quy định pháp luật và Nội quy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Yêu cầu Người lao động bồi thường thiệt hại theo quy định pháp luật nếu Người lao động gây thiệt hại cho Công ty.</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	</w:t>
      </w:r>
      <w:r>
        <w:rPr>
          <w:rFonts w:ascii="Times New Roman" w:cs="Times New Roman" w:eastAsia="Times New Roman" w:hAnsi="Times New Roman"/>
          <w:b w:val="false"/>
          <w:bCs w:val="false"/>
          <w:i w:val="false"/>
          <w:iCs w:val="false"/>
          <w:sz w:val="26"/>
          <w:szCs w:val="26"/>
        </w:rPr>
        <w:t xml:space="preserve">Đơn phương chấm dứt Hợp đồng khi Người lao động thường xuyên không hoàn thành công việc theo tiêu chí tại Quy chế đánh giá mức độ hoàn thành công việc do Công ty ban hành, đồng thời thực hiện đầy đủ trình tự và thời hạn báo trước theo quy định pháp luật.</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(vi)	</w:t>
      </w:r>
      <w:r>
        <w:rPr>
          <w:rFonts w:ascii="Times New Roman" w:cs="Times New Roman" w:eastAsia="Times New Roman" w:hAnsi="Times New Roman"/>
          <w:b w:val="false"/>
          <w:bCs w:val="false"/>
          <w:i w:val="false"/>
          <w:iCs w:val="false"/>
          <w:sz w:val="26"/>
          <w:szCs w:val="26"/>
        </w:rPr>
        <w:t xml:space="preserve">Các quyền khác theo quy định pháp luật và quy định nội bộ của Công ty.</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5	</w:t>
      </w:r>
      <w:r>
        <w:rPr>
          <w:rFonts w:ascii="Times New Roman" w:cs="Times New Roman" w:eastAsia="Times New Roman" w:hAnsi="Times New Roman"/>
          <w:b w:val="1"/>
          <w:bCs w:val="1"/>
          <w:i w:val="false"/>
          <w:iCs w:val="false"/>
          <w:sz w:val="26"/>
          <w:szCs w:val="26"/>
        </w:rPr>
        <w:t xml:space="preserve">Quy định nội bộ, bảo mật thông tin, sở hữu trí tuệ và bảo vệ dữ liệu cá nhân</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5.1	</w:t>
      </w:r>
      <w:r>
        <w:rPr>
          <w:rFonts w:ascii="Times New Roman" w:cs="Times New Roman" w:eastAsia="Times New Roman" w:hAnsi="Times New Roman"/>
          <w:b w:val="1"/>
          <w:bCs w:val="1"/>
          <w:i w:val="false"/>
          <w:iCs w:val="false"/>
          <w:sz w:val="26"/>
          <w:szCs w:val="26"/>
        </w:rPr>
        <w:t xml:space="preserve">Nội quy và quy định nội bộ</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Nội quy lao động và các quy định nội bộ khác của Công ty được thông báo đến Người lao động theo quy định pháp luật và có giá trị áp dụng đối với Người lao động kể từ khi được 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Các quy chế, quy định, chính sách do Công ty ban hành, sửa đổi, bổ sung sau khi được phổ biến hợp lệ cho Người lao động có giá trị áp dụng với điều kiện không trái quy định pháp luật và không làm thay đổi các nội dung đã được các bên thỏa thuận trong Hợp đồng, trừ trường hợp hai bên có thỏa thuận khác.</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5.2	</w:t>
      </w:r>
      <w:r>
        <w:rPr>
          <w:rFonts w:ascii="Times New Roman" w:cs="Times New Roman" w:eastAsia="Times New Roman" w:hAnsi="Times New Roman"/>
          <w:b w:val="1"/>
          <w:bCs w:val="1"/>
          <w:i w:val="false"/>
          <w:iCs w:val="false"/>
          <w:sz w:val="26"/>
          <w:szCs w:val="26"/>
        </w:rPr>
        <w:t xml:space="preserve">Phân loại thông tin bảo mật</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cam kết bảo mật tuyệt đối các thông tin sau, kể cả khi lưu trữ dưới dạng văn bản, dữ liệu điện tử hay truyền miệng:</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Thông tin tuyệt mật:</w:t>
      </w:r>
      <w:r>
        <w:rPr>
          <w:rFonts w:ascii="Times New Roman" w:cs="Times New Roman" w:eastAsia="Times New Roman" w:hAnsi="Times New Roman"/>
          <w:b w:val="false"/>
          <w:bCs w:val="false"/>
          <w:i w:val="false"/>
          <w:iCs w:val="false"/>
          <w:sz w:val="26"/>
          <w:szCs w:val="26"/>
        </w:rPr>
        <w:t xml:space="preserve"> Công thức pha chế, công thức bánh, định lượng, quy trình chuẩn (SOP), giá vốn, dữ liệu nhà cung cấp, báo cáo doanh thu/chi phí, và dữ liệu cá nhân của khách hàng/nhân sự.</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bCs/>
          <w:i w:val="false"/>
          <w:iCs w:val="false"/>
          <w:sz w:val="26"/>
          <w:szCs w:val="26"/>
        </w:rPr>
        <w:t xml:space="preserve">Thông tin nội bộ:</w:t>
      </w:r>
      <w:r>
        <w:rPr>
          <w:rFonts w:ascii="Times New Roman" w:cs="Times New Roman" w:eastAsia="Times New Roman" w:hAnsi="Times New Roman"/>
          <w:b w:val="false"/>
          <w:bCs w:val="false"/>
          <w:i w:val="false"/>
          <w:iCs w:val="false"/>
          <w:sz w:val="26"/>
          <w:szCs w:val="26"/>
        </w:rPr>
        <w:t xml:space="preserve"> Tài liệu đào tạo, quy định vận hành, kế hoạch marketing và chính sách nhân sự.</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5.3	</w:t>
      </w:r>
      <w:r>
        <w:rPr>
          <w:rFonts w:ascii="Times New Roman" w:cs="Times New Roman" w:eastAsia="Times New Roman" w:hAnsi="Times New Roman"/>
          <w:b w:val="1"/>
          <w:bCs w:val="1"/>
          <w:i w:val="false"/>
          <w:iCs w:val="false"/>
          <w:sz w:val="26"/>
          <w:szCs w:val="26"/>
        </w:rPr>
        <w:t xml:space="preserve">Trách nhiệm và nghĩa vụ bảo mật của Người lao động</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Không sao chép, cung cấp, tiết lộ hay sử dụng thông tin bảo mật cho bất kỳ bên thứ ba nào, hoặc cho mục đích cá nhân nằm ngoài phạm vi công việc được giao.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bCs/>
          <w:i w:val="false"/>
          <w:iCs w:val="false"/>
          <w:sz w:val="26"/>
          <w:szCs w:val="26"/>
        </w:rPr>
        <w:t xml:space="preserve">Nghĩa vụ hoàn trả:</w:t>
      </w:r>
      <w:r>
        <w:rPr>
          <w:rFonts w:ascii="Times New Roman" w:cs="Times New Roman" w:eastAsia="Times New Roman" w:hAnsi="Times New Roman"/>
          <w:b w:val="false"/>
          <w:bCs w:val="false"/>
          <w:i w:val="false"/>
          <w:iCs w:val="false"/>
          <w:sz w:val="26"/>
          <w:szCs w:val="26"/>
        </w:rPr>
        <w:t xml:space="preserve"> Khi chấm dứt Hợp đồng vì bất kỳ lý do gì, Người lao động phải lập tức bàn giao lại toàn bộ tài liệu, công thức, thiết bị lưu trữ dữ liệu cho Công ty và xóa bỏ vĩnh viễn các dữ liệu liên quan trên thiết bị cá nhân.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val="false"/>
          <w:bCs w:val="false"/>
          <w:i w:val="false"/>
          <w:iCs w:val="false"/>
          <w:sz w:val="26"/>
          <w:szCs w:val="26"/>
        </w:rPr>
        <w:t xml:space="preserve">Người lao động có trách nhiệm xóa hoặc bàn giao toàn bộ dữ liệu của Công ty đang lưu trên thiết bị/tài khoản cá nhân và ký biên bản xác nhận hoàn tất. Việc kiểm tra thiết bị/tài khoản cá nhân (nếu cần thiết) chỉ thực hiện trong phạm vi dữ liệu của Công ty và khi có sự đồng ý hợp pháp của Người lao động hoặc theo yêu cầu của cơ quan có thẩm quyền.</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5.4	</w:t>
      </w:r>
      <w:r>
        <w:rPr>
          <w:rFonts w:ascii="Times New Roman" w:cs="Times New Roman" w:eastAsia="Times New Roman" w:hAnsi="Times New Roman"/>
          <w:b w:val="1"/>
          <w:bCs w:val="1"/>
          <w:i w:val="false"/>
          <w:iCs w:val="false"/>
          <w:sz w:val="26"/>
          <w:szCs w:val="26"/>
        </w:rPr>
        <w:t xml:space="preserve">Thời hạn bảo mật và trường hợp ngoại trừ</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bCs/>
          <w:i w:val="false"/>
          <w:iCs w:val="false"/>
          <w:sz w:val="26"/>
          <w:szCs w:val="26"/>
        </w:rPr>
        <w:t xml:space="preserve">Thời hạn:</w:t>
      </w:r>
      <w:r>
        <w:rPr>
          <w:rFonts w:ascii="Times New Roman" w:cs="Times New Roman" w:eastAsia="Times New Roman" w:hAnsi="Times New Roman"/>
          <w:b w:val="false"/>
          <w:bCs w:val="false"/>
          <w:i w:val="false"/>
          <w:iCs w:val="false"/>
          <w:sz w:val="26"/>
          <w:szCs w:val="26"/>
        </w:rPr>
        <w:t xml:space="preserve"> Nghĩa vụ bảo mật tại Mục này có hiệu lực trong suốt thời gian Người lao động làm việc tại Công ty và kéo dài 05 (năm) năm kể từ ngày chấm dứt Hợp đồng.</w:t>
      </w:r>
    </w:p>
    <w:p>
      <w:pPr>
        <w:keepNext/>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bCs/>
          <w:i w:val="false"/>
          <w:iCs w:val="false"/>
          <w:sz w:val="26"/>
          <w:szCs w:val="26"/>
        </w:rPr>
        <w:t xml:space="preserve">Ngoại trừ:</w:t>
      </w:r>
      <w:r>
        <w:rPr>
          <w:rFonts w:ascii="Times New Roman" w:cs="Times New Roman" w:eastAsia="Times New Roman" w:hAnsi="Times New Roman"/>
          <w:b w:val="false"/>
          <w:bCs w:val="false"/>
          <w:i w:val="false"/>
          <w:iCs w:val="false"/>
          <w:sz w:val="26"/>
          <w:szCs w:val="26"/>
        </w:rPr>
        <w:t xml:space="preserve"> Người lao động được miễn trừ trách nhiệm bảo mật nếu:</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Thông tin đã được Công ty công bố công khai hợp pháp.</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Thông tin Người lao động tự phát triển độc lập, không sử dụng tài liệu của Công ty.</w:t>
      </w:r>
    </w:p>
    <w:p>
      <w:pPr>
        <w:tabs>
          <w:tab w:val="left" w:pos="1820"/>
        </w:tabs>
        <w:spacing w:after="60" w:before="0" w:line="312" w:lineRule="auto"/>
        <w:ind w:left="1820" w:hanging="260"/>
        <w:jc w:val="both"/>
      </w:pPr>
      <w:r>
        <w:rPr>
          <w:rFonts w:ascii="Times New Roman" w:cs="Times New Roman" w:eastAsia="Times New Roman" w:hAnsi="Times New Roman"/>
          <w:b w:val="0"/>
          <w:bCs w:val="0"/>
          <w:sz w:val="26"/>
          <w:szCs w:val="26"/>
        </w:rPr>
        <w:t xml:space="preserve">-	</w:t>
      </w:r>
      <w:r>
        <w:rPr>
          <w:rFonts w:ascii="Times New Roman" w:cs="Times New Roman" w:eastAsia="Times New Roman" w:hAnsi="Times New Roman"/>
          <w:b w:val="false"/>
          <w:bCs w:val="false"/>
          <w:i w:val="false"/>
          <w:iCs w:val="false"/>
          <w:sz w:val="26"/>
          <w:szCs w:val="26"/>
        </w:rPr>
        <w:t xml:space="preserve">Buộc phải cung cấp theo yêu cầu bằng văn bản của cơ quan nhà nước có thẩm quyền.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(iii)	</w:t>
      </w:r>
      <w:r>
        <w:rPr>
          <w:rFonts w:ascii="Times New Roman" w:cs="Times New Roman" w:eastAsia="Times New Roman" w:hAnsi="Times New Roman"/>
          <w:b/>
          <w:bCs/>
          <w:i w:val="false"/>
          <w:iCs w:val="false"/>
          <w:sz w:val="26"/>
          <w:szCs w:val="26"/>
        </w:rPr>
        <w:t xml:space="preserve">Bồi thường thiệt hại:</w:t>
      </w:r>
      <w:r>
        <w:rPr>
          <w:rFonts w:ascii="Times New Roman" w:cs="Times New Roman" w:eastAsia="Times New Roman" w:hAnsi="Times New Roman"/>
          <w:b w:val="false"/>
          <w:bCs w:val="false"/>
          <w:i w:val="false"/>
          <w:iCs w:val="false"/>
          <w:sz w:val="26"/>
          <w:szCs w:val="26"/>
        </w:rPr>
        <w:t xml:space="preserve"> Trường hợp hành vi vi phạm (lộ công thức, đánh cắp dữ liệu khách hàng và các hành vi tương tự) gây thiệt hại cho Công ty, Người lao động có trách nhiệm bồi thường thiệt hại thực tế phát sinh. Mức bồi thường được xác định căn cứ vào lỗi của Người lao động và mức độ thiệt hại, trên cơ sở thiệt hại thực tế, trực tiếp, có chứng cứ chứng minh và có quan hệ nhân quả với hành vi vi phạm.</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(iv)	</w:t>
      </w:r>
      <w:r>
        <w:rPr>
          <w:rFonts w:ascii="Times New Roman" w:cs="Times New Roman" w:eastAsia="Times New Roman" w:hAnsi="Times New Roman"/>
          <w:b w:val="false"/>
          <w:bCs w:val="false"/>
          <w:i w:val="false"/>
          <w:iCs w:val="false"/>
          <w:sz w:val="26"/>
          <w:szCs w:val="26"/>
        </w:rPr>
        <w:t xml:space="preserve">Trường hợp vi phạm có tính chất nghiêm trọng, Công ty có quyền trình báo cơ quan điều tra để xử lý theo quy định của pháp luật hình sự.</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5.5	</w:t>
      </w:r>
      <w:r>
        <w:rPr>
          <w:rFonts w:ascii="Times New Roman" w:cs="Times New Roman" w:eastAsia="Times New Roman" w:hAnsi="Times New Roman"/>
          <w:b w:val="1"/>
          <w:bCs w:val="1"/>
          <w:i w:val="false"/>
          <w:iCs w:val="false"/>
          <w:sz w:val="26"/>
          <w:szCs w:val="26"/>
        </w:rPr>
        <w:t xml:space="preserve">Sở hữu trí tuệ</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Toàn bộ công thức pha chế, công thức bánh, thực đơn, quy trình vận hành chuẩn (SOP), tài liệu đào tạo, dữ liệu khách hàng, dữ liệu kinh doanh và các sản phẩm công việc khác do Người lao động tạo ra trong phạm vi nhiệm vụ được giao, theo yêu cầu của Công ty hoặc phục vụ hoạt động của Comfy thuộc quyền sở hữu của Công ty trong phạm vi pháp luật cho phép. Người lao động không sao chép, sử dụng, tiết lộ hoặc chuyển giao cho bên thứ ba dưới bất kỳ hình thức nào khi chưa có sự đồng ý bằng văn bản của Công ty, trong thời gian làm việc và sau khi Hợp đồng chấm dứt.</w:t>
      </w:r>
    </w:p>
    <w:p>
      <w:pPr>
        <w:keepNext/>
        <w:tabs>
          <w:tab w:val="left" w:pos="832"/>
        </w:tabs>
        <w:spacing w:after="40" w:before="120" w:line="312" w:lineRule="auto"/>
        <w:ind w:left="832" w:hanging="832"/>
        <w:jc w:val="both"/>
      </w:pPr>
      <w:r>
        <w:rPr>
          <w:rFonts w:ascii="Times New Roman" w:cs="Times New Roman" w:eastAsia="Times New Roman" w:hAnsi="Times New Roman"/>
          <w:b/>
          <w:bCs/>
          <w:sz w:val="26"/>
          <w:szCs w:val="26"/>
        </w:rPr>
        <w:t xml:space="preserve">5.6	</w:t>
      </w:r>
      <w:r>
        <w:rPr>
          <w:rFonts w:ascii="Times New Roman" w:cs="Times New Roman" w:eastAsia="Times New Roman" w:hAnsi="Times New Roman"/>
          <w:b w:val="1"/>
          <w:bCs w:val="1"/>
          <w:i w:val="false"/>
          <w:iCs w:val="false"/>
          <w:sz w:val="26"/>
          <w:szCs w:val="26"/>
        </w:rPr>
        <w:t xml:space="preserve">Bảo vệ dữ liệu cá nhân và thông báo</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b w:val="false"/>
          <w:bCs w:val="false"/>
          <w:i w:val="false"/>
          <w:iCs w:val="false"/>
          <w:sz w:val="26"/>
          <w:szCs w:val="26"/>
        </w:rPr>
        <w:t xml:space="preserve">Người lao động xác nhận Công ty được thu thập, lưu trữ và xử lý dữ liệu cá nhân trong phạm vi cần thiết để giao kết, thực hiện Hợp đồng, quản lý nhân sự, chấm công, tiền lương, thuế, bảo hiểm, phúc lợi, bảo đảm an toàn thông tin và thực hiện các nghĩa vụ theo quy định pháp luật. Việc xử lý dữ liệu cho mục đích khác được thực hiện sau khi thông báo cho Người lao động và lấy sự đồng ý trong trường hợp pháp luật yêu cầu. Việc lưu trữ, xử lý, chia sẻ, xóa hoặc hủy dữ liệu cá nhân của Người lao động được thực hiện theo quy định của pháp luật về bảo vệ dữ liệu cá nhân.</w:t>
      </w:r>
    </w:p>
    <w:p>
      <w:pPr>
        <w:keepNext w:val="false"/>
        <w:tabs>
          <w:tab w:val="left" w:pos="1560"/>
        </w:tabs>
        <w:spacing w:after="60" w:before="0" w:line="312" w:lineRule="auto"/>
        <w:ind w:left="1560" w:hanging="728"/>
        <w:jc w:val="both"/>
      </w:pPr>
      <w:r>
        <w:rPr>
          <w:rFonts w:ascii="Times New Roman" w:cs="Times New Roman" w:eastAsia="Times New Roman" w:hAnsi="Times New Roman"/>
          <w:sz w:val="26"/>
          <w:szCs w:val="26"/>
        </w:rPr>
        <w:t xml:space="preserve">(ii)	</w:t>
      </w:r>
      <w:r>
        <w:rPr>
          <w:rFonts w:ascii="Times New Roman" w:cs="Times New Roman" w:eastAsia="Times New Roman" w:hAnsi="Times New Roman"/>
          <w:b w:val="false"/>
          <w:bCs w:val="false"/>
          <w:i w:val="false"/>
          <w:iCs w:val="false"/>
          <w:sz w:val="26"/>
          <w:szCs w:val="26"/>
        </w:rPr>
        <w:t xml:space="preserve">Các thông báo, quyết định, quy định của Công ty có thể được gửi qua email, hệ thống nội bộ hoặc các kênh làm việc chính thức của Công ty và được xem là đã thông báo hợp lệ đến Người lao động.</w:t>
      </w:r>
    </w:p>
    <w:p>
      <w:pPr>
        <w:keepNext/>
        <w:tabs>
          <w:tab w:val="left" w:pos="364"/>
        </w:tabs>
        <w:spacing w:after="80" w:before="280" w:line="312" w:lineRule="auto"/>
        <w:jc w:val="left"/>
      </w:pPr>
      <w:r>
        <w:rPr>
          <w:rFonts w:ascii="Times New Roman" w:cs="Times New Roman" w:eastAsia="Times New Roman" w:hAnsi="Times New Roman"/>
          <w:b/>
          <w:bCs/>
          <w:sz w:val="26"/>
          <w:szCs w:val="26"/>
        </w:rPr>
        <w:t xml:space="preserve">6	</w:t>
      </w:r>
      <w:r>
        <w:rPr>
          <w:rFonts w:ascii="Times New Roman" w:cs="Times New Roman" w:eastAsia="Times New Roman" w:hAnsi="Times New Roman"/>
          <w:b w:val="1"/>
          <w:bCs w:val="1"/>
          <w:i w:val="false"/>
          <w:iCs w:val="false"/>
          <w:sz w:val="26"/>
          <w:szCs w:val="26"/>
        </w:rPr>
        <w:t xml:space="preserve">Điều khoản thi hành</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6.1	</w:t>
      </w:r>
      <w:r>
        <w:rPr>
          <w:rFonts w:ascii="Times New Roman" w:cs="Times New Roman" w:eastAsia="Times New Roman" w:hAnsi="Times New Roman"/>
          <w:b w:val="false"/>
          <w:bCs w:val="false"/>
          <w:i w:val="false"/>
          <w:iCs w:val="false"/>
          <w:sz w:val="26"/>
          <w:szCs w:val="26"/>
        </w:rPr>
        <w:t xml:space="preserve">Hai bên cam kết thực hiện đầy đủ các nội dung đã thỏa thuận trong Hợp đồng. Mọi sửa đổi, bổ sung Hợp đồng chỉ có giá trị khi được lập thành văn bản hoặc phụ lục hợp đồng có chữ ký của hai bên.</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6.2	</w:t>
      </w:r>
      <w:r>
        <w:rPr>
          <w:rFonts w:ascii="Times New Roman" w:cs="Times New Roman" w:eastAsia="Times New Roman" w:hAnsi="Times New Roman"/>
          <w:b w:val="false"/>
          <w:bCs w:val="false"/>
          <w:i w:val="false"/>
          <w:iCs w:val="false"/>
          <w:sz w:val="26"/>
          <w:szCs w:val="26"/>
        </w:rPr>
        <w:t xml:space="preserve">Những nội dung chưa được quy định trong Hợp đồng được áp dụng theo Bộ luật Lao động, Nội quy lao động, các quy chế, quy định của Công ty và các quy định pháp luật có liên quan.</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6.3	</w:t>
      </w:r>
      <w:r>
        <w:rPr>
          <w:rFonts w:ascii="Times New Roman" w:cs="Times New Roman" w:eastAsia="Times New Roman" w:hAnsi="Times New Roman"/>
          <w:b w:val="false"/>
          <w:bCs w:val="false"/>
          <w:i w:val="false"/>
          <w:iCs w:val="false"/>
          <w:sz w:val="26"/>
          <w:szCs w:val="26"/>
        </w:rPr>
        <w:t xml:space="preserve">Các phụ lục Hợp đồng (nếu có) là bộ phận không tách rời của Hợp đồng.</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6.4	</w:t>
      </w:r>
      <w:r>
        <w:rPr>
          <w:rFonts w:ascii="Times New Roman" w:cs="Times New Roman" w:eastAsia="Times New Roman" w:hAnsi="Times New Roman"/>
          <w:b w:val="false"/>
          <w:bCs w:val="false"/>
          <w:i w:val="false"/>
          <w:iCs w:val="false"/>
          <w:sz w:val="26"/>
          <w:szCs w:val="26"/>
        </w:rPr>
        <w:t xml:space="preserve">Tranh chấp phát sinh từ Hợp đồng được ưu tiên giải quyết thông qua thương lượng. Trường hợp không thương lượng được, các bên giải quyết theo quy định của pháp luật lao động hiện hành.</w:t>
      </w:r>
    </w:p>
    <w:p>
      <w:pPr>
        <w:tabs>
          <w:tab w:val="left" w:pos="832"/>
        </w:tabs>
        <w:spacing w:after="60" w:before="0" w:line="312" w:lineRule="auto"/>
        <w:ind w:left="832" w:hanging="832"/>
        <w:jc w:val="both"/>
      </w:pPr>
      <w:r>
        <w:rPr>
          <w:rFonts w:ascii="Times New Roman" w:cs="Times New Roman" w:eastAsia="Times New Roman" w:hAnsi="Times New Roman"/>
          <w:b/>
          <w:bCs/>
          <w:sz w:val="26"/>
          <w:szCs w:val="26"/>
        </w:rPr>
        <w:t xml:space="preserve">6.5	</w:t>
      </w:r>
      <w:r>
        <w:rPr>
          <w:rFonts w:ascii="Times New Roman" w:cs="Times New Roman" w:eastAsia="Times New Roman" w:hAnsi="Times New Roman"/>
          <w:b w:val="false"/>
          <w:bCs w:val="false"/>
          <w:i w:val="false"/>
          <w:iCs w:val="false"/>
          <w:sz w:val="26"/>
          <w:szCs w:val="26"/>
        </w:rPr>
        <w:t xml:space="preserve">Hợp đồng được lập thành 02 (hai) bản có giá trị pháp lý như nhau, mỗi bên giữ 01 (một) bản và có hiệu lực kể từ ngày </w:t>
      </w:r>
      <w:r>
        <w:rPr>
          <w:rFonts w:ascii="Times New Roman" w:cs="Times New Roman" w:eastAsia="Times New Roman" w:hAnsi="Times New Roman"/>
          <w:b w:val="false"/>
          <w:bCs w:val="false"/>
          <w:i w:val="false"/>
          <w:iCs w:val="false"/>
          <w:sz w:val="26"/>
          <w:szCs w:val="26"/>
          <w:highlight w:val="yellow"/>
          <w:highlightCs w:val="yellow"/>
        </w:rPr>
        <w:t xml:space="preserve">[ngày hiệu lực HĐLĐ]</w:t>
      </w:r>
      <w:r>
        <w:rPr>
          <w:rFonts w:ascii="Times New Roman" w:cs="Times New Roman" w:eastAsia="Times New Roman" w:hAnsi="Times New Roman"/>
          <w:b w:val="false"/>
          <w:bCs w:val="false"/>
          <w:i w:val="false"/>
          <w:iCs w:val="false"/>
          <w:sz w:val="26"/>
          <w:szCs w:val="26"/>
        </w:rPr>
        <w:t xml:space="preserve">.</w:t>
      </w:r>
    </w:p>
    <w:p>
      <w:pPr>
        <w:spacing w:after="0" w:before="300" w:line="312" w:lineRule="auto"/>
        <w:jc w:val="both"/>
      </w:pPr>
    </w:p>
    <w:tbl>
      <w:tblPr>
        <w:tblW w:type="dxa" w:w="935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77"/>
        <w:gridCol w:w="4677"/>
      </w:tblGrid>
      <w:tr>
        <w:trPr>
          <w:cantSplit/>
        </w:trP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NGƯỜI LAO ĐỘNG</w:t>
            </w:r>
          </w:p>
          <w:p>
            <w:pPr>
              <w:spacing w:after="0" w:before="0" w:line="312" w:lineRule="auto"/>
              <w:jc w:val="center"/>
            </w:pPr>
            <w:r>
              <w:rPr>
                <w:rFonts w:ascii="Times New Roman" w:cs="Times New Roman" w:eastAsia="Times New Roman" w:hAnsi="Times New Roman"/>
                <w:b w:val="false"/>
                <w:bCs w:val="false"/>
                <w:i/>
                <w:iCs/>
                <w:sz w:val="26"/>
                <w:szCs w:val="26"/>
              </w:rPr>
              <w:t xml:space="preserve">(Ký, ghi rõ họ tên)</w:t>
            </w: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NGƯỜI SỬ DỤNG LAO ĐỘNG</w:t>
            </w:r>
          </w:p>
          <w:p>
            <w:pPr>
              <w:spacing w:after="0" w:before="0" w:line="312" w:lineRule="auto"/>
              <w:jc w:val="center"/>
            </w:pPr>
            <w:r>
              <w:rPr>
                <w:rFonts w:ascii="Times New Roman" w:cs="Times New Roman" w:eastAsia="Times New Roman" w:hAnsi="Times New Roman"/>
                <w:b/>
                <w:bCs/>
                <w:i w:val="false"/>
                <w:iCs w:val="false"/>
                <w:sz w:val="26"/>
                <w:szCs w:val="26"/>
              </w:rPr>
              <w:t xml:space="preserve">CÔNG TY TNHH ĐẦU TƯ VÀ PHÁT TRIỂN ISC GROUP</w:t>
            </w:r>
          </w:p>
          <w:p>
            <w:pPr>
              <w:spacing w:after="0" w:before="0" w:line="312" w:lineRule="auto"/>
              <w:jc w:val="center"/>
            </w:pPr>
            <w:r>
              <w:rPr>
                <w:rFonts w:ascii="Times New Roman" w:cs="Times New Roman" w:eastAsia="Times New Roman" w:hAnsi="Times New Roman"/>
                <w:b/>
                <w:bCs/>
                <w:i w:val="false"/>
                <w:iCs w:val="false"/>
                <w:sz w:val="26"/>
                <w:szCs w:val="26"/>
              </w:rPr>
              <w:t xml:space="preserve">GIÁM ĐỐC</w:t>
            </w:r>
          </w:p>
          <w:p>
            <w:pPr>
              <w:spacing w:after="0" w:before="0" w:line="312" w:lineRule="auto"/>
              <w:jc w:val="center"/>
            </w:pPr>
            <w:r>
              <w:rPr>
                <w:rFonts w:ascii="Times New Roman" w:cs="Times New Roman" w:eastAsia="Times New Roman" w:hAnsi="Times New Roman"/>
                <w:b w:val="false"/>
                <w:bCs w:val="false"/>
                <w:i/>
                <w:iCs/>
                <w:sz w:val="26"/>
                <w:szCs w:val="26"/>
              </w:rPr>
              <w:t xml:space="preserve">(Ký, đóng dấu, ghi rõ họ tên)</w:t>
            </w:r>
          </w:p>
        </w:tc>
      </w:tr>
      <w:tr>
        <w:trPr>
          <w:cantSplit/>
          <w:trHeight w:val="1700" w:hRule="atLeast"/>
        </w:trPr>
        <w:tc>
          <w:tcPr>
            <w:tcW w:type="dxa" w:w="4677"/>
            <w:tcBorders>
              <w:top w:val="none" w:color="FFFFFF" w:sz="0"/>
              <w:left w:val="none" w:color="FFFFFF" w:sz="0"/>
              <w:bottom w:val="none" w:color="FFFFFF" w:sz="0"/>
              <w:right w:val="none" w:color="FFFFFF" w:sz="0"/>
            </w:tcBorders>
          </w:tcPr>
          <w:p>
            <w:pPr>
              <w:spacing w:after="0" w:before="0" w:line="312" w:lineRule="auto"/>
              <w:jc w:val="center"/>
            </w:pP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p>
        </w:tc>
      </w:tr>
      <w:tr>
        <w:trPr>
          <w:cantSplit/>
        </w:trPr>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highlight w:val="yellow"/>
                <w:highlightCs w:val="yellow"/>
              </w:rPr>
              <w:t xml:space="preserve">[HỌ VÀ TÊN]</w:t>
            </w:r>
          </w:p>
        </w:tc>
        <w:tc>
          <w:tcPr>
            <w:tcW w:type="dxa" w:w="4677"/>
            <w:tcBorders>
              <w:top w:val="none" w:color="FFFFFF" w:sz="0"/>
              <w:left w:val="none" w:color="FFFFFF" w:sz="0"/>
              <w:bottom w:val="none" w:color="FFFFFF" w:sz="0"/>
              <w:right w:val="none" w:color="FFFFFF" w:sz="0"/>
            </w:tcBorders>
          </w:tcPr>
          <w:p>
            <w:pPr>
              <w:spacing w:after="0" w:before="0" w:line="312" w:lineRule="auto"/>
              <w:jc w:val="center"/>
            </w:pPr>
            <w:r>
              <w:rPr>
                <w:rFonts w:ascii="Times New Roman" w:cs="Times New Roman" w:eastAsia="Times New Roman" w:hAnsi="Times New Roman"/>
                <w:b/>
                <w:bCs/>
                <w:i w:val="false"/>
                <w:iCs w:val="false"/>
                <w:sz w:val="26"/>
                <w:szCs w:val="26"/>
              </w:rPr>
              <w:t xml:space="preserve">LÊ THÁI SƠN</w:t>
            </w:r>
          </w:p>
        </w:tc>
      </w:tr>
    </w:tbl>
    <w:sectPr>
      <w:footerReference w:type="default" r:id="rId7"/>
      <w:pgSz w:w="11906" w:h="16838" w:orient="portrait"/>
      <w:pgMar w:top="1134" w:right="1134" w:bottom="1134" w:left="1418"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Trang </w:t>
      <w:fldChar w:fldCharType="begin"/>
      <w:instrText xml:space="preserve">PAGE</w:instrText>
      <w:fldChar w:fldCharType="separate"/>
      <w:fldChar w:fldCharType="end"/>
      <w:t xml:space="preserve">/</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lao động - Mẫu Pastry Chef</dc:title>
  <dc:creator>ISC Group</dc:creator>
  <cp:lastModifiedBy>Un-named</cp:lastModifiedBy>
  <cp:revision>1</cp:revision>
  <dcterms:created xsi:type="dcterms:W3CDTF">2026-10-03T18:29:13.388Z</dcterms:created>
  <dcterms:modified xsi:type="dcterms:W3CDTF">2026-10-03T18:29:13.388Z</dcterms:modified>
</cp:coreProperties>
</file>

<file path=docProps/custom.xml><?xml version="1.0" encoding="utf-8"?>
<Properties xmlns="http://schemas.openxmlformats.org/officeDocument/2006/custom-properties" xmlns:vt="http://schemas.openxmlformats.org/officeDocument/2006/docPropsVTypes"/>
</file>