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LAO ĐỘNG</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lao động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hạn,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Loại hợp đồng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lao động xác định thời hạn 12 (mười hai) tháng.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hợp đồng: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HĐLĐ]</w:t>
      </w:r>
      <w:r>
        <w:rPr>
          <w:rFonts w:ascii="Times New Roman" w:cs="Times New Roman" w:eastAsia="Times New Roman" w:hAnsi="Times New Roman"/>
          <w:b w:val="false"/>
          <w:bCs w:val="false"/>
          <w:i w:val="false"/>
          <w:iCs w:val="false"/>
          <w:sz w:val="26"/>
          <w:szCs w:val="26"/>
        </w:rPr>
        <w:t xml:space="preserve">.</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NHÂN VIÊN PHỤC VỤ (SERVICE STAFF)</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Phục vụ khách hàng tại khu vực khách hàng (Floor Operation) của thương hiệu Comfy Coffee &amp; Bakes (sau đây gọi là “Comfy”) theo tiêu chuẩn phục vụ, vệ sinh và tác phong do Công ty quy định.</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Quản lý Cửa hàng (Store Manager) hoặc các cấp Quản lý cao hơn,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theo lịch phân công ca của Quản lý Cửa hàng, gồm: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sáng: từ 07 giờ 00 đến 15 giờ 00.</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Ca tối: từ 15 giờ 00 đến 23 giờ 00.</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theo sắp xếp của Trưởng ca.</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Phân bổ ca: Người lao động luân phiên đảm nhận ca tối (bao gồm quy trình vệ sinh, đóng cửa hàng) và ca vào ngày cuối tuần (Thứ Sáu, Thứ Bảy, Chủ Nhật) theo lịch phân công công bằng giữa các nhân viên của cửa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Người lao động đăng ký ngày nghỉ của tuần kế tiếp với Quản lý Cửa hàng chậm nhất vào Thứ Năm của tuần hiện tại. Quản lý Cửa hàng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do Quản lý Cửa hàng chốt và công bố hằng tuần. Quản lý Cửa hàng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Quản lý Cửa hàng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Quản lý Cửa hàng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w:t>
      </w:r>
      <w:r>
        <w:rPr>
          <w:rFonts w:ascii="Times New Roman" w:cs="Times New Roman" w:eastAsia="Times New Roman" w:hAnsi="Times New Roman"/>
          <w:b w:val="false"/>
          <w:bCs w:val="false"/>
          <w:i w:val="false"/>
          <w:iCs w:val="false"/>
          <w:sz w:val="26"/>
          <w:szCs w:val="26"/>
          <w:highlight w:val="yellow"/>
          <w:highlightCs w:val="yellow"/>
        </w:rPr>
        <w:t xml:space="preserve">[Tổng thu nhập]</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hiệu quả công việc (nếu có): Người lao động được xem xét hưởng khi đáp ứng điều kiện theo Quy chế thưởng hiệu quả công việc của Công ty. Mức thưởng không cố định, phụ thuộc kết quả đánh giá từng kỳ và quyết định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lương làm căn cứ đóng bảo hiểm xã hội, bảo hiểm y tế, bảo hiểm thất nghiệp là Lương cơ bản. Tỷ lệ đóng của mỗi bên theo quy định pháp luật tại từng thời điểm. Phần Người lao động phải đóng và thuế thu nhập cá nhân (nếu có) được Công ty khấu trừ từ tiền lương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bữa ăn, được chi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nâng lương: Người lao động được xem xét điều chỉnh lương theo chính sách Công ty, kết quả công việc và tình hình kinh doanh.</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Chế độ nghỉ</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lễ, Tết: Theo quy định của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hằng năm: 12 (mười hai) ngày làm việc/năm, hưởng nguyên lương, tính theo tỷ lệ tương ứng với thời gian làm việc thực tế. Người lao động báo trước tối thiểu 07 ngày cho Quản lý Cửa hàng khi sử dụng ngày nghỉ hằng năm.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Trong giai đoạn cuối tuần, lễ, Tết hoặc thời điểm cao điểm, Công ty được ưu tiên bố trí nhân sự làm việc để bảo đảm hoạt động của cửa hàng. Việc sắp xếp ngày nghỉ được thực hiện công bằng, hợp lý và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Bảo hiểm và 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tham gia bảo hiểm xã hội, bảo hiểm y tế, bảo hiểm thất nghiệp theo quy định pháp luật.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đơn phương chấm dứt Hợp đồng, Người lao động phải báo trước bằng văn bản cho Công ty ít nhất 30 ngày.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Trường hợp đơn phương chấm dứt Hợp đồng trái pháp luật, Người lao động không được trợ cấp thôi việc, phải bồi thường cho Công ty nửa tháng tiền lương theo Hợp đồng và một khoản tiền tương ứng với tiền lương theo Hợp đồng trong những ngày không báo trước, đồng thời hoàn trả chi phí đào tạo (nếu có)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(xi)	</w:t>
      </w:r>
      <w:r>
        <w:rPr>
          <w:rFonts w:ascii="Times New Roman" w:cs="Times New Roman" w:eastAsia="Times New Roman" w:hAnsi="Times New Roman"/>
          <w:b w:val="false"/>
          <w:bCs w:val="false"/>
          <w:i w:val="false"/>
          <w:iCs w:val="false"/>
          <w:sz w:val="26"/>
          <w:szCs w:val="26"/>
        </w:rPr>
        <w:t xml:space="preserve">Thực hiện nghĩa vụ thuế, bảo hiểm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Đóng bảo hiểm xã hội, bảo hiểm y tế, bảo hiểm thất nghiệp và khấu trừ thuế thu nhập cá nhân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quyết định việc nâng lương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Đơn phương chấm dứt Hợp đồng khi Người lao động thường xuyên không hoàn thành công việc theo tiêu chí tại Quy chế đánh giá mức độ hoàn thành công việc do Công ty ban hành, đồng thời thực hiện đầy đủ trình tự và thời hạn báo trước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Phân loại thông tin bảo mật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cam kết bảo mật tuyệt đối các thông tin sau, kể cả khi lưu trữ dưới dạng văn bản, dữ liệu điện tử hay truyền miệng: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tuyệt mật:</w:t>
      </w:r>
      <w:r>
        <w:rPr>
          <w:rFonts w:ascii="Times New Roman" w:cs="Times New Roman" w:eastAsia="Times New Roman" w:hAnsi="Times New Roman"/>
          <w:b w:val="false"/>
          <w:bCs w:val="false"/>
          <w:i w:val="false"/>
          <w:iCs w:val="false"/>
          <w:sz w:val="26"/>
          <w:szCs w:val="26"/>
        </w:rPr>
        <w:t xml:space="preserve"> Công thức pha chế, định lượng, quy trình chuẩn (SOP), giá vốn, dữ liệu nhà cung cấp, báo cáo doanh thu/chi phí, và dữ liệu cá nhân của khách hàng/nhân sự.</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nội bộ:</w:t>
      </w:r>
      <w:r>
        <w:rPr>
          <w:rFonts w:ascii="Times New Roman" w:cs="Times New Roman" w:eastAsia="Times New Roman" w:hAnsi="Times New Roman"/>
          <w:b w:val="false"/>
          <w:bCs w:val="false"/>
          <w:i w:val="false"/>
          <w:iCs w:val="false"/>
          <w:sz w:val="26"/>
          <w:szCs w:val="26"/>
        </w:rPr>
        <w:t xml:space="preserve"> Tài liệu đào tạo, quy định vận hành, kế hoạch marketing và chính sách nhân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Trách nhiệm và nghĩa vụ bảo mật của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Không sao chép, cung cấp, tiết lộ hay sử dụng thông tin bảo mật cho bất kỳ bên thứ ba nào, hoặc cho mục đích cá nhân nằm ngoài phạm vi công việc được giao.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Nghĩa vụ hoàn trả:</w:t>
      </w:r>
      <w:r>
        <w:rPr>
          <w:rFonts w:ascii="Times New Roman" w:cs="Times New Roman" w:eastAsia="Times New Roman" w:hAnsi="Times New Roman"/>
          <w:b w:val="false"/>
          <w:bCs w:val="false"/>
          <w:i w:val="false"/>
          <w:iCs w:val="false"/>
          <w:sz w:val="26"/>
          <w:szCs w:val="26"/>
        </w:rPr>
        <w:t xml:space="preserve"> Khi chấm dứt Hợp đồng vì bất kỳ lý do gì, Người lao động phải lập tức bàn giao lại toàn bộ tài liệu, công thức, thiết bị lưu trữ dữ liệu cho Công ty và xóa bỏ vĩnh viễn các dữ liệu liên quan trên thiết bị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Người lao động có trách nhiệm xóa hoặc bàn giao toàn bộ dữ liệu của Công ty đang lưu trên thiết bị/tài khoản cá nhân và ký biên bản xác nhận hoàn tất. Việc kiểm tra thiết bị/tài khoản cá nhân (nếu cần thiết) chỉ thực hiện trong phạm vi dữ liệu của Công ty và khi có sự đồng ý hợp pháp của Người lao động hoặc theo yêu cầu của cơ quan có thẩm quyền.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val="1"/>
          <w:bCs w:val="1"/>
          <w:i w:val="false"/>
          <w:iCs w:val="false"/>
          <w:sz w:val="26"/>
          <w:szCs w:val="26"/>
        </w:rPr>
        <w:t xml:space="preserve">Thời hạn bảo mật và trường hợp ngoại trừ</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Nghĩa vụ bảo mật tại Mục này có hiệu lực trong suốt thời gian Người lao động làm việc tại Công ty và kéo dài 05 (năm) năm kể từ ngày chấm dứt Hợp đồng.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Ngoại trừ:</w:t>
      </w:r>
      <w:r>
        <w:rPr>
          <w:rFonts w:ascii="Times New Roman" w:cs="Times New Roman" w:eastAsia="Times New Roman" w:hAnsi="Times New Roman"/>
          <w:b w:val="false"/>
          <w:bCs w:val="false"/>
          <w:i w:val="false"/>
          <w:iCs w:val="false"/>
          <w:sz w:val="26"/>
          <w:szCs w:val="26"/>
        </w:rPr>
        <w:t xml:space="preserve"> Người lao động được miễn trừ trách nhiệm bảo mật nếu:</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đã được Công ty công bố công khai hợp pháp.</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Người lao động tự phát triển độc lập, không sử dụng tài liệu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Buộc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bCs/>
          <w:i w:val="false"/>
          <w:iCs w:val="false"/>
          <w:sz w:val="26"/>
          <w:szCs w:val="26"/>
        </w:rPr>
        <w:t xml:space="preserve">Bồi thường thiệt hại:</w:t>
      </w:r>
      <w:r>
        <w:rPr>
          <w:rFonts w:ascii="Times New Roman" w:cs="Times New Roman" w:eastAsia="Times New Roman" w:hAnsi="Times New Roman"/>
          <w:b w:val="false"/>
          <w:bCs w:val="false"/>
          <w:i w:val="false"/>
          <w:iCs w:val="false"/>
          <w:sz w:val="26"/>
          <w:szCs w:val="26"/>
        </w:rPr>
        <w:t xml:space="preserve"> Trường hợp hành vi vi phạm (lộ công thức, đánh cắp dữ liệu khách hàng và các hành vi tương tự) gây thiệt hại cho Công ty, Người lao động có trách nhiệm bồi thường thiệt hại thực tế phát sinh. Mức bồi thường được xác định căn cứ vào lỗi của Người lao động và mức độ thiệt hại, trên cơ sở thiệt hại thực tế, trực tiếp, có chứng cứ chứng minh và có quan hệ nhân quả với hành vi vi phạm.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Trường hợp vi phạm có tính chất nghiêm trọng, Công ty có quyền trình báo cơ quan điều tra để xử lý theo quy định của pháp luật hình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5.5	</w:t>
      </w:r>
      <w:r>
        <w:rPr>
          <w:rFonts w:ascii="Times New Roman" w:cs="Times New Roman" w:eastAsia="Times New Roman" w:hAnsi="Times New Roman"/>
          <w:b w:val="1"/>
          <w:bCs w:val="1"/>
          <w:i w:val="false"/>
          <w:iCs w:val="false"/>
          <w:sz w:val="26"/>
          <w:szCs w:val="26"/>
        </w:rPr>
        <w:t xml:space="preserve">Sở hữu trí tuệ</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Toàn bộ công thức pha chế, công thức bánh, thực đơn, quy trình vận hành chuẩn (SOP), tài liệu đào tạo, dữ liệu khách hàng, dữ liệu kinh doanh và các sản phẩm công việc khác do Người lao động tạo ra trong phạm vi nhiệm vụ được giao, theo yêu cầu của Công ty hoặc phục vụ hoạt động của Comfy thuộc quyền sở hữu của Công ty trong phạm vi pháp luật cho phép. Người lao động không sao chép, sử dụng, tiết lộ hoặc chuyển giao cho bên thứ ba dưới bất kỳ hình thức nào khi chưa có sự đồng ý bằng văn bản của Công ty, trong thời gian làm việc và sau khi Hợp đồng chấm dứt.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5.6	</w:t>
      </w:r>
      <w:r>
        <w:rPr>
          <w:rFonts w:ascii="Times New Roman" w:cs="Times New Roman" w:eastAsia="Times New Roman" w:hAnsi="Times New Roman"/>
          <w:b w:val="1"/>
          <w:bCs w:val="1"/>
          <w:i w:val="false"/>
          <w:iCs w:val="false"/>
          <w:sz w:val="26"/>
          <w:szCs w:val="26"/>
        </w:rPr>
        <w:t xml:space="preserve">Bảo vệ dữ liệu cá nhân và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xác nhận Công ty được thu thập, lưu trữ và xử lý dữ liệu cá nhân trong phạm vi cần thiết để giao kết, thực hiện Hợp đồng, quản lý nhân sự, chấm công, tiền lương, thuế, bảo hiểm, phúc lợi, bảo đảm an toàn thông tin và thực hiện các nghĩa vụ theo quy định pháp luật. Việc xử lý dữ liệu cho mục đích khác được thực hiện sau khi thông báo cho Người lao động và lấy sự đồng ý trong trường hợp pháp luật yêu cầu. Việc lưu trữ, xử lý, chia sẻ, xóa hoặc hủy dữ liệu cá nhân của Người lao động được thực hiện theo quy định của pháp luật về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Service Staff</dc:title>
  <dc:creator>ISC Group</dc:creator>
  <cp:lastModifiedBy>Un-named</cp:lastModifiedBy>
  <cp:revision>1</cp:revision>
  <dcterms:created xsi:type="dcterms:W3CDTF">2026-10-03T18:29:12.911Z</dcterms:created>
  <dcterms:modified xsi:type="dcterms:W3CDTF">2026-10-03T18:29:12.911Z</dcterms:modified>
</cp:coreProperties>
</file>

<file path=docProps/custom.xml><?xml version="1.0" encoding="utf-8"?>
<Properties xmlns="http://schemas.openxmlformats.org/officeDocument/2006/custom-properties" xmlns:vt="http://schemas.openxmlformats.org/officeDocument/2006/docPropsVTypes"/>
</file>