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100" w:after="360"/>
        <w:jc w:val="center"/>
      </w:pPr>
      <w:r>
        <w:t>实验三正式实验结果与论文说明</w:t>
      </w:r>
    </w:p>
    <w:p>
      <w:pPr>
        <w:jc w:val="center"/>
      </w:pPr>
      <w:r>
        <w:rPr>
          <w:rFonts w:ascii="Arial" w:hAnsi="Arial" w:eastAsia="Microsoft YaHei"/>
          <w:b w:val="0"/>
          <w:color w:val="464646"/>
          <w:sz w:val="26"/>
        </w:rPr>
        <w:t>双驱龙门平台：控制器结构与执行器限流的重复实物实验</w:t>
      </w:r>
    </w:p>
    <w:p>
      <w:pPr>
        <w:spacing w:before="200"/>
        <w:jc w:val="center"/>
      </w:pPr>
      <w:r>
        <w:rPr>
          <w:rFonts w:ascii="Arial" w:hAnsi="Arial" w:eastAsia="Microsoft YaHei"/>
          <w:b w:val="0"/>
          <w:color w:val="5A5A5A"/>
          <w:sz w:val="21"/>
        </w:rPr>
        <w:t>2 kg载荷｜10 mm往返｜4种控制器×2种限流×5次重复｜共40次</w:t>
      </w:r>
    </w:p>
    <w:tbl>
      <w:tblPr>
        <w:tblW w:type="auto" w:w="0"/>
        <w:jc w:val="center"/>
        <w:tblLayout w:type="fixed"/>
        <w:tblLook w:firstColumn="1" w:firstRow="1" w:lastColumn="0" w:lastRow="0" w:noHBand="0" w:noVBand="1" w:val="04A0"/>
      </w:tblPr>
      <w:tblGrid>
        <w:gridCol w:w="9792"/>
      </w:tblGrid>
      <w:tr>
        <w:tc>
          <w:tcPr>
            <w:tcW w:type="dxa" w:w="10224"/>
            <w:shd w:fill="E2F0D9"/>
          </w:tcPr>
          <w:p>
            <w:pPr>
              <w:spacing w:before="160" w:after="160"/>
            </w:pPr>
            <w:r>
              <w:rPr>
                <w:rFonts w:ascii="Arial" w:hAnsi="Arial" w:eastAsia="Microsoft YaHei"/>
                <w:b/>
                <w:color w:val="375723"/>
                <w:sz w:val="22"/>
              </w:rPr>
              <w:t>封档结论：40次正式运行全部有效。所有文件均完整到达 phase 6，故障码为0，控制器、限流和2 kg载荷配置与文件名一致。实验三可正式封档。</w:t>
            </w:r>
          </w:p>
        </w:tc>
      </w:tr>
    </w:tbl>
    <w:p>
      <w:pPr>
        <w:spacing w:before="240"/>
      </w:pPr>
      <w:r>
        <w:rPr>
          <w:rFonts w:ascii="Arial" w:hAnsi="Arial" w:eastAsia="Microsoft YaHei"/>
          <w:b/>
          <w:color w:val="7F6000"/>
          <w:sz w:val="21"/>
        </w:rPr>
        <w:t>重要限制：</w:t>
      </w:r>
      <w:r>
        <w:rPr>
          <w:rFonts w:ascii="Arial" w:hAnsi="Arial" w:eastAsia="Microsoft YaHei"/>
          <w:b w:val="0"/>
          <w:color w:val="7F6000"/>
          <w:sz w:val="21"/>
        </w:rPr>
        <w:t>实际采集按实验条件分块、每个条件连续记录5次，未执行预先随机化顺序。电池均值跨40次实验的范围为0.115 V，且与实际采集顺序存在下降趋势（Spearman ρ=-0.779）。这不改变单次运行的有效性，但论文中必须披露，时间/顺序混杂不能被完全排除。</w:t>
      </w:r>
    </w:p>
    <w:p>
      <w:r>
        <w:br w:type="page"/>
      </w:r>
    </w:p>
    <w:p>
      <w:pPr>
        <w:pStyle w:val="Heading1"/>
      </w:pPr>
      <w:r>
        <w:t>1　实验设计与数据判定</w:t>
      </w:r>
    </w:p>
    <w:p>
      <w:pPr>
        <w:pStyle w:val="ListBullet"/>
      </w:pPr>
      <w:r>
        <w:rPr>
          <w:rFonts w:ascii="Arial" w:hAnsi="Arial" w:eastAsia="Microsoft YaHei"/>
          <w:b/>
          <w:sz w:val="21"/>
        </w:rPr>
        <w:t>实验矩阵：</w:t>
      </w:r>
      <w:r>
        <w:rPr>
          <w:rFonts w:ascii="Arial" w:hAnsi="Arial" w:eastAsia="Microsoft YaHei"/>
          <w:b w:val="0"/>
          <w:sz w:val="21"/>
        </w:rPr>
        <w:t>C2a、C2a-SyncAlloc、C2b、C2b-SyncAlloc四种控制器；限流分别为2400 count与800 count；每个条件重复5次，共40次。</w:t>
      </w:r>
    </w:p>
    <w:p>
      <w:pPr>
        <w:pStyle w:val="ListBullet"/>
      </w:pPr>
      <w:r>
        <w:rPr>
          <w:rFonts w:ascii="Arial" w:hAnsi="Arial" w:eastAsia="Microsoft YaHei"/>
          <w:b/>
          <w:sz w:val="21"/>
        </w:rPr>
        <w:t>工况：</w:t>
      </w:r>
      <w:r>
        <w:rPr>
          <w:rFonts w:ascii="Arial" w:hAnsi="Arial" w:eastAsia="Microsoft YaHei"/>
          <w:b w:val="0"/>
          <w:sz w:val="21"/>
        </w:rPr>
        <w:t>承载机构固定挂载2 kg，参考行程10 mm，完成一次对称往返。</w:t>
      </w:r>
    </w:p>
    <w:p>
      <w:pPr>
        <w:pStyle w:val="ListBullet"/>
      </w:pPr>
      <w:r>
        <w:rPr>
          <w:rFonts w:ascii="Arial" w:hAnsi="Arial" w:eastAsia="Microsoft YaHei"/>
          <w:b/>
          <w:sz w:val="21"/>
        </w:rPr>
        <w:t>记录：</w:t>
      </w:r>
      <w:r>
        <w:rPr>
          <w:rFonts w:ascii="Arial" w:hAnsi="Arial" w:eastAsia="Microsoft YaHei"/>
          <w:b w:val="0"/>
          <w:sz w:val="21"/>
        </w:rPr>
        <w:t>VOFA JustFloat共30通道；有效段的采样间隔中位数约16 ms。</w:t>
      </w:r>
    </w:p>
    <w:p>
      <w:pPr>
        <w:pStyle w:val="ListBullet"/>
      </w:pPr>
      <w:r>
        <w:rPr>
          <w:rFonts w:ascii="Arial" w:hAnsi="Arial" w:eastAsia="Microsoft YaHei"/>
          <w:b/>
          <w:sz w:val="21"/>
        </w:rPr>
        <w:t>有效性：</w:t>
      </w:r>
      <w:r>
        <w:rPr>
          <w:rFonts w:ascii="Arial" w:hAnsi="Arial" w:eastAsia="Microsoft YaHei"/>
          <w:b w:val="0"/>
          <w:sz w:val="21"/>
        </w:rPr>
        <w:t>配置标签正确、数据列为30、样本序号连续率不低于99%、阶段完整经过0→1→2→3→4→5→6、故障码最大值为0。</w:t>
      </w:r>
    </w:p>
    <w:p>
      <w:pPr>
        <w:pStyle w:val="ListBullet"/>
      </w:pPr>
      <w:r>
        <w:rPr>
          <w:rFonts w:ascii="Arial" w:hAnsi="Arial" w:eastAsia="Microsoft YaHei"/>
          <w:b/>
          <w:sz w:val="21"/>
        </w:rPr>
        <w:t>原始数据保护：</w:t>
      </w:r>
      <w:r>
        <w:rPr>
          <w:rFonts w:ascii="Arial" w:hAnsi="Arial" w:eastAsia="Microsoft YaHei"/>
          <w:b w:val="0"/>
          <w:sz w:val="21"/>
        </w:rPr>
        <w:t>不修改原始CSV。处理程序从VOFA累计历史中选取最后一个与文件名配置相符的完整运行段，并在连续10帧配置稳定后开始保留数据。</w:t>
      </w:r>
    </w:p>
    <w:p>
      <w:pPr>
        <w:pStyle w:val="Heading1"/>
      </w:pPr>
      <w:r>
        <w:t>2　指标定义</w:t>
      </w:r>
    </w:p>
    <w:p>
      <w:r>
        <w:rPr>
          <w:rFonts w:ascii="Arial" w:hAnsi="Arial" w:eastAsia="Microsoft YaHei"/>
          <w:b/>
          <w:sz w:val="21"/>
        </w:rPr>
        <w:t>跟踪RMSE：</w:t>
      </w:r>
      <w:r>
        <w:rPr>
          <w:rFonts w:ascii="Arial" w:hAnsi="Arial" w:eastAsia="Microsoft YaHei"/>
          <w:b w:val="0"/>
          <w:sz w:val="21"/>
        </w:rPr>
        <w:t>两侧平均位置与参考位置之差的均方根，反映整体轨迹跟踪精度。</w:t>
      </w:r>
    </w:p>
    <w:p>
      <w:r>
        <w:rPr>
          <w:rFonts w:ascii="Arial" w:hAnsi="Arial" w:eastAsia="Microsoft YaHei"/>
          <w:b/>
          <w:sz w:val="21"/>
        </w:rPr>
        <w:t>同步RMS / 最大同步误差：</w:t>
      </w:r>
      <w:r>
        <w:rPr>
          <w:rFonts w:ascii="Arial" w:hAnsi="Arial" w:eastAsia="Microsoft YaHei"/>
          <w:b w:val="0"/>
          <w:sz w:val="21"/>
        </w:rPr>
        <w:t>左右位置差的均方根及最大绝对值，反映双驱同步性能。</w:t>
      </w:r>
    </w:p>
    <w:p>
      <w:r>
        <w:rPr>
          <w:rFonts w:ascii="Arial" w:hAnsi="Arial" w:eastAsia="Microsoft YaHei"/>
          <w:b/>
          <w:sz w:val="21"/>
        </w:rPr>
        <w:t>饱和/分配活动比例：</w:t>
      </w:r>
      <w:r>
        <w:rPr>
          <w:rFonts w:ascii="Arial" w:hAnsi="Arial" w:eastAsia="Microsoft YaHei"/>
          <w:b w:val="0"/>
          <w:sz w:val="21"/>
        </w:rPr>
        <w:t>独立控制时统计饱和标志；SyncAlloc控制时同时统计分配差额非零的样本比例。</w:t>
      </w:r>
    </w:p>
    <w:p>
      <w:r>
        <w:rPr>
          <w:rFonts w:ascii="Arial" w:hAnsi="Arial" w:eastAsia="Microsoft YaHei"/>
          <w:b/>
          <w:sz w:val="21"/>
        </w:rPr>
        <w:t>控制量总变差：</w:t>
      </w:r>
      <w:r>
        <w:rPr>
          <w:rFonts w:ascii="Arial" w:hAnsi="Arial" w:eastAsia="Microsoft YaHei"/>
          <w:b w:val="0"/>
          <w:sz w:val="21"/>
        </w:rPr>
        <w:t>左右施加控制量相邻采样差的绝对值总和，用于刻画控制动作平滑性。</w:t>
      </w:r>
    </w:p>
    <w:p>
      <w:r>
        <w:rPr>
          <w:rFonts w:ascii="Arial" w:hAnsi="Arial" w:eastAsia="Microsoft YaHei"/>
          <w:b/>
          <w:sz w:val="21"/>
        </w:rPr>
        <w:t>z_aw与分配差额：</w:t>
      </w:r>
      <w:r>
        <w:rPr>
          <w:rFonts w:ascii="Arial" w:hAnsi="Arial" w:eastAsia="Microsoft YaHei"/>
          <w:b w:val="0"/>
          <w:sz w:val="21"/>
        </w:rPr>
        <w:t>分别表征动态抗饱和内部状态和同步分配器的调节强度。</w:t>
      </w:r>
    </w:p>
    <w:p>
      <w:pPr>
        <w:pStyle w:val="Heading1"/>
      </w:pPr>
      <w:r>
        <w:t>3　数据质量检查</w:t>
      </w:r>
    </w:p>
    <w:p>
      <w:r>
        <w:rPr>
          <w:rFonts w:ascii="Arial" w:hAnsi="Arial" w:eastAsia="Microsoft YaHei"/>
          <w:b w:val="0"/>
          <w:sz w:val="21"/>
        </w:rPr>
        <w:t>结果：40/40次运行有效，未发现缺失文件或额外文件；所有运行故障码为0，完整到达phase 6。处理后的40份clean CSV、逐文件质量检查表和实际采集顺序表均已随封档保存。</w:t>
      </w:r>
    </w:p>
    <w:p>
      <w:r>
        <w:br w:type="page"/>
      </w:r>
    </w:p>
    <w:p>
      <w:pPr>
        <w:pStyle w:val="Heading1"/>
      </w:pPr>
      <w:r>
        <w:t>4　组统计结果</w:t>
      </w:r>
    </w:p>
    <w:p>
      <w:pPr>
        <w:jc w:val="left"/>
      </w:pPr>
      <w:r>
        <w:t>表1给出各条件5次重复实验的均值±标准差。</w:t>
      </w:r>
    </w:p>
    <w:tbl>
      <w:tblPr>
        <w:tblStyle w:val="TableGrid"/>
        <w:tblW w:type="auto" w:w="0"/>
        <w:jc w:val="center"/>
        <w:tblLook w:firstColumn="1" w:firstRow="1" w:lastColumn="0" w:lastRow="0" w:noHBand="0" w:noVBand="1" w:val="04A0"/>
      </w:tblPr>
      <w:tblGrid>
        <w:gridCol w:w="1278"/>
        <w:gridCol w:w="1278"/>
        <w:gridCol w:w="1278"/>
        <w:gridCol w:w="1278"/>
        <w:gridCol w:w="1278"/>
        <w:gridCol w:w="1278"/>
        <w:gridCol w:w="1278"/>
        <w:gridCol w:w="1278"/>
      </w:tblGrid>
      <w:tr>
        <w:trPr>
          <w:tblHeader w:val="true"/>
        </w:trPr>
        <w:tc>
          <w:tcPr>
            <w:tcW w:type="dxa" w:w="1469"/>
            <w:vAlign w:val="center"/>
            <w:shd w:fill="17365D"/>
          </w:tcPr>
          <w:p>
            <w:pPr>
              <w:jc w:val="center"/>
            </w:pPr>
            <w:r>
              <w:rPr>
                <w:rFonts w:ascii="Arial" w:hAnsi="Arial" w:eastAsia="Microsoft YaHei"/>
                <w:b/>
                <w:color w:val="FFFFFF"/>
                <w:sz w:val="16"/>
              </w:rPr>
              <w:t>控制器</w:t>
            </w:r>
          </w:p>
        </w:tc>
        <w:tc>
          <w:tcPr>
            <w:tcW w:type="dxa" w:w="749"/>
            <w:vAlign w:val="center"/>
            <w:shd w:fill="17365D"/>
          </w:tcPr>
          <w:p>
            <w:pPr>
              <w:jc w:val="center"/>
            </w:pPr>
            <w:r>
              <w:rPr>
                <w:rFonts w:ascii="Arial" w:hAnsi="Arial" w:eastAsia="Microsoft YaHei"/>
                <w:b/>
                <w:color w:val="FFFFFF"/>
                <w:sz w:val="16"/>
              </w:rPr>
              <w:t>限流</w:t>
            </w:r>
          </w:p>
        </w:tc>
        <w:tc>
          <w:tcPr>
            <w:tcW w:type="dxa" w:w="1224"/>
            <w:vAlign w:val="center"/>
            <w:shd w:fill="17365D"/>
          </w:tcPr>
          <w:p>
            <w:pPr>
              <w:jc w:val="center"/>
            </w:pPr>
            <w:r>
              <w:rPr>
                <w:rFonts w:ascii="Arial" w:hAnsi="Arial" w:eastAsia="Microsoft YaHei"/>
                <w:b/>
                <w:color w:val="FFFFFF"/>
                <w:sz w:val="16"/>
              </w:rPr>
              <w:t>跟踪RMSE/mm</w:t>
            </w:r>
          </w:p>
        </w:tc>
        <w:tc>
          <w:tcPr>
            <w:tcW w:type="dxa" w:w="1181"/>
            <w:vAlign w:val="center"/>
            <w:shd w:fill="17365D"/>
          </w:tcPr>
          <w:p>
            <w:pPr>
              <w:jc w:val="center"/>
            </w:pPr>
            <w:r>
              <w:rPr>
                <w:rFonts w:ascii="Arial" w:hAnsi="Arial" w:eastAsia="Microsoft YaHei"/>
                <w:b/>
                <w:color w:val="FFFFFF"/>
                <w:sz w:val="16"/>
              </w:rPr>
              <w:t>同步RMS/mm</w:t>
            </w:r>
          </w:p>
        </w:tc>
        <w:tc>
          <w:tcPr>
            <w:tcW w:type="dxa" w:w="1181"/>
            <w:vAlign w:val="center"/>
            <w:shd w:fill="17365D"/>
          </w:tcPr>
          <w:p>
            <w:pPr>
              <w:jc w:val="center"/>
            </w:pPr>
            <w:r>
              <w:rPr>
                <w:rFonts w:ascii="Arial" w:hAnsi="Arial" w:eastAsia="Microsoft YaHei"/>
                <w:b/>
                <w:color w:val="FFFFFF"/>
                <w:sz w:val="16"/>
              </w:rPr>
              <w:t>最大同步/mm</w:t>
            </w:r>
          </w:p>
        </w:tc>
        <w:tc>
          <w:tcPr>
            <w:tcW w:type="dxa" w:w="1123"/>
            <w:vAlign w:val="center"/>
            <w:shd w:fill="17365D"/>
          </w:tcPr>
          <w:p>
            <w:pPr>
              <w:jc w:val="center"/>
            </w:pPr>
            <w:r>
              <w:rPr>
                <w:rFonts w:ascii="Arial" w:hAnsi="Arial" w:eastAsia="Microsoft YaHei"/>
                <w:b/>
                <w:color w:val="FFFFFF"/>
                <w:sz w:val="16"/>
              </w:rPr>
              <w:t>活动比例/%</w:t>
            </w:r>
          </w:p>
        </w:tc>
        <w:tc>
          <w:tcPr>
            <w:tcW w:type="dxa" w:w="1512"/>
            <w:vAlign w:val="center"/>
            <w:shd w:fill="17365D"/>
          </w:tcPr>
          <w:p>
            <w:pPr>
              <w:jc w:val="center"/>
            </w:pPr>
            <w:r>
              <w:rPr>
                <w:rFonts w:ascii="Arial" w:hAnsi="Arial" w:eastAsia="Microsoft YaHei"/>
                <w:b/>
                <w:color w:val="FFFFFF"/>
                <w:sz w:val="16"/>
              </w:rPr>
              <w:t>控制量总变差</w:t>
            </w:r>
          </w:p>
        </w:tc>
        <w:tc>
          <w:tcPr>
            <w:tcW w:type="dxa" w:w="1037"/>
            <w:vAlign w:val="center"/>
            <w:shd w:fill="17365D"/>
          </w:tcPr>
          <w:p>
            <w:pPr>
              <w:jc w:val="center"/>
            </w:pPr>
            <w:r>
              <w:rPr>
                <w:rFonts w:ascii="Arial" w:hAnsi="Arial" w:eastAsia="Microsoft YaHei"/>
                <w:b/>
                <w:color w:val="FFFFFF"/>
                <w:sz w:val="16"/>
              </w:rPr>
              <w:t>电池/V</w:t>
            </w:r>
          </w:p>
        </w:tc>
      </w:tr>
      <w:tr>
        <w:tc>
          <w:tcPr>
            <w:tcW w:type="dxa" w:w="1469"/>
            <w:vAlign w:val="center"/>
          </w:tcPr>
          <w:p>
            <w:pPr>
              <w:jc w:val="center"/>
            </w:pPr>
            <w:r>
              <w:rPr>
                <w:rFonts w:ascii="Arial" w:hAnsi="Arial" w:eastAsia="Microsoft YaHei"/>
                <w:b w:val="0"/>
                <w:sz w:val="15"/>
              </w:rPr>
              <w:t>C2a</w:t>
            </w:r>
          </w:p>
        </w:tc>
        <w:tc>
          <w:tcPr>
            <w:tcW w:type="dxa" w:w="749"/>
            <w:vAlign w:val="center"/>
          </w:tcPr>
          <w:p>
            <w:pPr>
              <w:jc w:val="center"/>
            </w:pPr>
            <w:r>
              <w:rPr>
                <w:rFonts w:ascii="Arial" w:hAnsi="Arial" w:eastAsia="Microsoft YaHei"/>
                <w:b w:val="0"/>
                <w:sz w:val="15"/>
              </w:rPr>
              <w:t>2400</w:t>
            </w:r>
          </w:p>
        </w:tc>
        <w:tc>
          <w:tcPr>
            <w:tcW w:type="dxa" w:w="1224"/>
            <w:vAlign w:val="center"/>
          </w:tcPr>
          <w:p>
            <w:pPr>
              <w:jc w:val="center"/>
            </w:pPr>
            <w:r>
              <w:rPr>
                <w:rFonts w:ascii="Arial" w:hAnsi="Arial" w:eastAsia="Microsoft YaHei"/>
                <w:b w:val="0"/>
                <w:sz w:val="15"/>
              </w:rPr>
              <w:t>0.597±0.011</w:t>
            </w:r>
          </w:p>
        </w:tc>
        <w:tc>
          <w:tcPr>
            <w:tcW w:type="dxa" w:w="1181"/>
            <w:vAlign w:val="center"/>
          </w:tcPr>
          <w:p>
            <w:pPr>
              <w:jc w:val="center"/>
            </w:pPr>
            <w:r>
              <w:rPr>
                <w:rFonts w:ascii="Arial" w:hAnsi="Arial" w:eastAsia="Microsoft YaHei"/>
                <w:b w:val="0"/>
                <w:sz w:val="15"/>
              </w:rPr>
              <w:t>0.108±0.005</w:t>
            </w:r>
          </w:p>
        </w:tc>
        <w:tc>
          <w:tcPr>
            <w:tcW w:type="dxa" w:w="1181"/>
            <w:vAlign w:val="center"/>
          </w:tcPr>
          <w:p>
            <w:pPr>
              <w:jc w:val="center"/>
            </w:pPr>
            <w:r>
              <w:rPr>
                <w:rFonts w:ascii="Arial" w:hAnsi="Arial" w:eastAsia="Microsoft YaHei"/>
                <w:b w:val="0"/>
                <w:sz w:val="15"/>
              </w:rPr>
              <w:t>0.335±0.056</w:t>
            </w:r>
          </w:p>
        </w:tc>
        <w:tc>
          <w:tcPr>
            <w:tcW w:type="dxa" w:w="1123"/>
            <w:vAlign w:val="center"/>
          </w:tcPr>
          <w:p>
            <w:pPr>
              <w:jc w:val="center"/>
            </w:pPr>
            <w:r>
              <w:rPr>
                <w:rFonts w:ascii="Arial" w:hAnsi="Arial" w:eastAsia="Microsoft YaHei"/>
                <w:b w:val="0"/>
                <w:sz w:val="15"/>
              </w:rPr>
              <w:t>0.0±0.0</w:t>
            </w:r>
          </w:p>
        </w:tc>
        <w:tc>
          <w:tcPr>
            <w:tcW w:type="dxa" w:w="1512"/>
            <w:vAlign w:val="center"/>
          </w:tcPr>
          <w:p>
            <w:pPr>
              <w:jc w:val="center"/>
            </w:pPr>
            <w:r>
              <w:rPr>
                <w:rFonts w:ascii="Arial" w:hAnsi="Arial" w:eastAsia="Microsoft YaHei"/>
                <w:b w:val="0"/>
                <w:sz w:val="15"/>
              </w:rPr>
              <w:t>1,407,058±57,052</w:t>
            </w:r>
          </w:p>
        </w:tc>
        <w:tc>
          <w:tcPr>
            <w:tcW w:type="dxa" w:w="1037"/>
            <w:vAlign w:val="center"/>
          </w:tcPr>
          <w:p>
            <w:pPr>
              <w:jc w:val="center"/>
            </w:pPr>
            <w:r>
              <w:rPr>
                <w:rFonts w:ascii="Arial" w:hAnsi="Arial" w:eastAsia="Microsoft YaHei"/>
                <w:b w:val="0"/>
                <w:sz w:val="15"/>
              </w:rPr>
              <w:t>24.444±0.005</w:t>
            </w:r>
          </w:p>
        </w:tc>
      </w:tr>
      <w:tr>
        <w:tc>
          <w:tcPr>
            <w:tcW w:type="dxa" w:w="1469"/>
            <w:vAlign w:val="center"/>
          </w:tcPr>
          <w:p>
            <w:pPr>
              <w:jc w:val="center"/>
            </w:pPr>
            <w:r>
              <w:rPr>
                <w:rFonts w:ascii="Arial" w:hAnsi="Arial" w:eastAsia="Microsoft YaHei"/>
                <w:b w:val="0"/>
                <w:sz w:val="15"/>
              </w:rPr>
              <w:t>C2a</w:t>
            </w:r>
          </w:p>
        </w:tc>
        <w:tc>
          <w:tcPr>
            <w:tcW w:type="dxa" w:w="749"/>
            <w:vAlign w:val="center"/>
          </w:tcPr>
          <w:p>
            <w:pPr>
              <w:jc w:val="center"/>
            </w:pPr>
            <w:r>
              <w:rPr>
                <w:rFonts w:ascii="Arial" w:hAnsi="Arial" w:eastAsia="Microsoft YaHei"/>
                <w:b w:val="0"/>
                <w:sz w:val="15"/>
              </w:rPr>
              <w:t>800</w:t>
            </w:r>
          </w:p>
        </w:tc>
        <w:tc>
          <w:tcPr>
            <w:tcW w:type="dxa" w:w="1224"/>
            <w:vAlign w:val="center"/>
          </w:tcPr>
          <w:p>
            <w:pPr>
              <w:jc w:val="center"/>
            </w:pPr>
            <w:r>
              <w:rPr>
                <w:rFonts w:ascii="Arial" w:hAnsi="Arial" w:eastAsia="Microsoft YaHei"/>
                <w:b w:val="0"/>
                <w:sz w:val="15"/>
              </w:rPr>
              <w:t>0.598±0.011</w:t>
            </w:r>
          </w:p>
        </w:tc>
        <w:tc>
          <w:tcPr>
            <w:tcW w:type="dxa" w:w="1181"/>
            <w:vAlign w:val="center"/>
          </w:tcPr>
          <w:p>
            <w:pPr>
              <w:jc w:val="center"/>
            </w:pPr>
            <w:r>
              <w:rPr>
                <w:rFonts w:ascii="Arial" w:hAnsi="Arial" w:eastAsia="Microsoft YaHei"/>
                <w:b w:val="0"/>
                <w:sz w:val="15"/>
              </w:rPr>
              <w:t>0.152±0.009</w:t>
            </w:r>
          </w:p>
        </w:tc>
        <w:tc>
          <w:tcPr>
            <w:tcW w:type="dxa" w:w="1181"/>
            <w:vAlign w:val="center"/>
          </w:tcPr>
          <w:p>
            <w:pPr>
              <w:jc w:val="center"/>
            </w:pPr>
            <w:r>
              <w:rPr>
                <w:rFonts w:ascii="Arial" w:hAnsi="Arial" w:eastAsia="Microsoft YaHei"/>
                <w:b w:val="0"/>
                <w:sz w:val="15"/>
              </w:rPr>
              <w:t>0.447±0.050</w:t>
            </w:r>
          </w:p>
        </w:tc>
        <w:tc>
          <w:tcPr>
            <w:tcW w:type="dxa" w:w="1123"/>
            <w:vAlign w:val="center"/>
          </w:tcPr>
          <w:p>
            <w:pPr>
              <w:jc w:val="center"/>
            </w:pPr>
            <w:r>
              <w:rPr>
                <w:rFonts w:ascii="Arial" w:hAnsi="Arial" w:eastAsia="Microsoft YaHei"/>
                <w:b w:val="0"/>
                <w:sz w:val="15"/>
              </w:rPr>
              <w:t>59.1±3.5</w:t>
            </w:r>
          </w:p>
        </w:tc>
        <w:tc>
          <w:tcPr>
            <w:tcW w:type="dxa" w:w="1512"/>
            <w:vAlign w:val="center"/>
          </w:tcPr>
          <w:p>
            <w:pPr>
              <w:jc w:val="center"/>
            </w:pPr>
            <w:r>
              <w:rPr>
                <w:rFonts w:ascii="Arial" w:hAnsi="Arial" w:eastAsia="Microsoft YaHei"/>
                <w:b w:val="0"/>
                <w:sz w:val="15"/>
              </w:rPr>
              <w:t>890,349±30,775</w:t>
            </w:r>
          </w:p>
        </w:tc>
        <w:tc>
          <w:tcPr>
            <w:tcW w:type="dxa" w:w="1037"/>
            <w:vAlign w:val="center"/>
          </w:tcPr>
          <w:p>
            <w:pPr>
              <w:jc w:val="center"/>
            </w:pPr>
            <w:r>
              <w:rPr>
                <w:rFonts w:ascii="Arial" w:hAnsi="Arial" w:eastAsia="Microsoft YaHei"/>
                <w:b w:val="0"/>
                <w:sz w:val="15"/>
              </w:rPr>
              <w:t>24.469±0.008</w:t>
            </w:r>
          </w:p>
        </w:tc>
      </w:tr>
      <w:tr>
        <w:tc>
          <w:tcPr>
            <w:tcW w:type="dxa" w:w="1469"/>
            <w:vAlign w:val="center"/>
          </w:tcPr>
          <w:p>
            <w:pPr>
              <w:jc w:val="center"/>
            </w:pPr>
            <w:r>
              <w:rPr>
                <w:rFonts w:ascii="Arial" w:hAnsi="Arial" w:eastAsia="Microsoft YaHei"/>
                <w:b w:val="0"/>
                <w:sz w:val="15"/>
              </w:rPr>
              <w:t>C2a-SyncAlloc</w:t>
            </w:r>
          </w:p>
        </w:tc>
        <w:tc>
          <w:tcPr>
            <w:tcW w:type="dxa" w:w="749"/>
            <w:vAlign w:val="center"/>
          </w:tcPr>
          <w:p>
            <w:pPr>
              <w:jc w:val="center"/>
            </w:pPr>
            <w:r>
              <w:rPr>
                <w:rFonts w:ascii="Arial" w:hAnsi="Arial" w:eastAsia="Microsoft YaHei"/>
                <w:b w:val="0"/>
                <w:sz w:val="15"/>
              </w:rPr>
              <w:t>2400</w:t>
            </w:r>
          </w:p>
        </w:tc>
        <w:tc>
          <w:tcPr>
            <w:tcW w:type="dxa" w:w="1224"/>
            <w:vAlign w:val="center"/>
          </w:tcPr>
          <w:p>
            <w:pPr>
              <w:jc w:val="center"/>
            </w:pPr>
            <w:r>
              <w:rPr>
                <w:rFonts w:ascii="Arial" w:hAnsi="Arial" w:eastAsia="Microsoft YaHei"/>
                <w:b w:val="0"/>
                <w:sz w:val="15"/>
              </w:rPr>
              <w:t>0.674±0.121</w:t>
            </w:r>
          </w:p>
        </w:tc>
        <w:tc>
          <w:tcPr>
            <w:tcW w:type="dxa" w:w="1181"/>
            <w:vAlign w:val="center"/>
          </w:tcPr>
          <w:p>
            <w:pPr>
              <w:jc w:val="center"/>
            </w:pPr>
            <w:r>
              <w:rPr>
                <w:rFonts w:ascii="Arial" w:hAnsi="Arial" w:eastAsia="Microsoft YaHei"/>
                <w:b w:val="0"/>
                <w:sz w:val="15"/>
              </w:rPr>
              <w:t>0.090±0.022</w:t>
            </w:r>
          </w:p>
        </w:tc>
        <w:tc>
          <w:tcPr>
            <w:tcW w:type="dxa" w:w="1181"/>
            <w:vAlign w:val="center"/>
          </w:tcPr>
          <w:p>
            <w:pPr>
              <w:jc w:val="center"/>
            </w:pPr>
            <w:r>
              <w:rPr>
                <w:rFonts w:ascii="Arial" w:hAnsi="Arial" w:eastAsia="Microsoft YaHei"/>
                <w:b w:val="0"/>
                <w:sz w:val="15"/>
              </w:rPr>
              <w:t>0.321±0.165</w:t>
            </w:r>
          </w:p>
        </w:tc>
        <w:tc>
          <w:tcPr>
            <w:tcW w:type="dxa" w:w="1123"/>
            <w:vAlign w:val="center"/>
          </w:tcPr>
          <w:p>
            <w:pPr>
              <w:jc w:val="center"/>
            </w:pPr>
            <w:r>
              <w:rPr>
                <w:rFonts w:ascii="Arial" w:hAnsi="Arial" w:eastAsia="Microsoft YaHei"/>
                <w:b w:val="0"/>
                <w:sz w:val="15"/>
              </w:rPr>
              <w:t>0.0±0.0</w:t>
            </w:r>
          </w:p>
        </w:tc>
        <w:tc>
          <w:tcPr>
            <w:tcW w:type="dxa" w:w="1512"/>
            <w:vAlign w:val="center"/>
          </w:tcPr>
          <w:p>
            <w:pPr>
              <w:jc w:val="center"/>
            </w:pPr>
            <w:r>
              <w:rPr>
                <w:rFonts w:ascii="Arial" w:hAnsi="Arial" w:eastAsia="Microsoft YaHei"/>
                <w:b w:val="0"/>
                <w:sz w:val="15"/>
              </w:rPr>
              <w:t>1,361,842±173,409</w:t>
            </w:r>
          </w:p>
        </w:tc>
        <w:tc>
          <w:tcPr>
            <w:tcW w:type="dxa" w:w="1037"/>
            <w:vAlign w:val="center"/>
          </w:tcPr>
          <w:p>
            <w:pPr>
              <w:jc w:val="center"/>
            </w:pPr>
            <w:r>
              <w:rPr>
                <w:rFonts w:ascii="Arial" w:hAnsi="Arial" w:eastAsia="Microsoft YaHei"/>
                <w:b w:val="0"/>
                <w:sz w:val="15"/>
              </w:rPr>
              <w:t>24.480±0.042</w:t>
            </w:r>
          </w:p>
        </w:tc>
      </w:tr>
      <w:tr>
        <w:tc>
          <w:tcPr>
            <w:tcW w:type="dxa" w:w="1469"/>
            <w:vAlign w:val="center"/>
          </w:tcPr>
          <w:p>
            <w:pPr>
              <w:jc w:val="center"/>
            </w:pPr>
            <w:r>
              <w:rPr>
                <w:rFonts w:ascii="Arial" w:hAnsi="Arial" w:eastAsia="Microsoft YaHei"/>
                <w:b w:val="0"/>
                <w:sz w:val="15"/>
              </w:rPr>
              <w:t>C2a-SyncAlloc</w:t>
            </w:r>
          </w:p>
        </w:tc>
        <w:tc>
          <w:tcPr>
            <w:tcW w:type="dxa" w:w="749"/>
            <w:vAlign w:val="center"/>
          </w:tcPr>
          <w:p>
            <w:pPr>
              <w:jc w:val="center"/>
            </w:pPr>
            <w:r>
              <w:rPr>
                <w:rFonts w:ascii="Arial" w:hAnsi="Arial" w:eastAsia="Microsoft YaHei"/>
                <w:b w:val="0"/>
                <w:sz w:val="15"/>
              </w:rPr>
              <w:t>800</w:t>
            </w:r>
          </w:p>
        </w:tc>
        <w:tc>
          <w:tcPr>
            <w:tcW w:type="dxa" w:w="1224"/>
            <w:vAlign w:val="center"/>
          </w:tcPr>
          <w:p>
            <w:pPr>
              <w:jc w:val="center"/>
            </w:pPr>
            <w:r>
              <w:rPr>
                <w:rFonts w:ascii="Arial" w:hAnsi="Arial" w:eastAsia="Microsoft YaHei"/>
                <w:b w:val="0"/>
                <w:sz w:val="15"/>
              </w:rPr>
              <w:t>0.522±0.038</w:t>
            </w:r>
          </w:p>
        </w:tc>
        <w:tc>
          <w:tcPr>
            <w:tcW w:type="dxa" w:w="1181"/>
            <w:vAlign w:val="center"/>
          </w:tcPr>
          <w:p>
            <w:pPr>
              <w:jc w:val="center"/>
            </w:pPr>
            <w:r>
              <w:rPr>
                <w:rFonts w:ascii="Arial" w:hAnsi="Arial" w:eastAsia="Microsoft YaHei"/>
                <w:b w:val="0"/>
                <w:sz w:val="15"/>
              </w:rPr>
              <w:t>0.095±0.010</w:t>
            </w:r>
          </w:p>
        </w:tc>
        <w:tc>
          <w:tcPr>
            <w:tcW w:type="dxa" w:w="1181"/>
            <w:vAlign w:val="center"/>
          </w:tcPr>
          <w:p>
            <w:pPr>
              <w:jc w:val="center"/>
            </w:pPr>
            <w:r>
              <w:rPr>
                <w:rFonts w:ascii="Arial" w:hAnsi="Arial" w:eastAsia="Microsoft YaHei"/>
                <w:b w:val="0"/>
                <w:sz w:val="15"/>
              </w:rPr>
              <w:t>0.304±0.046</w:t>
            </w:r>
          </w:p>
        </w:tc>
        <w:tc>
          <w:tcPr>
            <w:tcW w:type="dxa" w:w="1123"/>
            <w:vAlign w:val="center"/>
          </w:tcPr>
          <w:p>
            <w:pPr>
              <w:jc w:val="center"/>
            </w:pPr>
            <w:r>
              <w:rPr>
                <w:rFonts w:ascii="Arial" w:hAnsi="Arial" w:eastAsia="Microsoft YaHei"/>
                <w:b w:val="0"/>
                <w:sz w:val="15"/>
              </w:rPr>
              <w:t>48.9±8.9</w:t>
            </w:r>
          </w:p>
        </w:tc>
        <w:tc>
          <w:tcPr>
            <w:tcW w:type="dxa" w:w="1512"/>
            <w:vAlign w:val="center"/>
          </w:tcPr>
          <w:p>
            <w:pPr>
              <w:jc w:val="center"/>
            </w:pPr>
            <w:r>
              <w:rPr>
                <w:rFonts w:ascii="Arial" w:hAnsi="Arial" w:eastAsia="Microsoft YaHei"/>
                <w:b w:val="0"/>
                <w:sz w:val="15"/>
              </w:rPr>
              <w:t>993,139±183,192</w:t>
            </w:r>
          </w:p>
        </w:tc>
        <w:tc>
          <w:tcPr>
            <w:tcW w:type="dxa" w:w="1037"/>
            <w:vAlign w:val="center"/>
          </w:tcPr>
          <w:p>
            <w:pPr>
              <w:jc w:val="center"/>
            </w:pPr>
            <w:r>
              <w:rPr>
                <w:rFonts w:ascii="Arial" w:hAnsi="Arial" w:eastAsia="Microsoft YaHei"/>
                <w:b w:val="0"/>
                <w:sz w:val="15"/>
              </w:rPr>
              <w:t>24.449±0.005</w:t>
            </w:r>
          </w:p>
        </w:tc>
      </w:tr>
      <w:tr>
        <w:tc>
          <w:tcPr>
            <w:tcW w:type="dxa" w:w="1469"/>
            <w:vAlign w:val="center"/>
          </w:tcPr>
          <w:p>
            <w:pPr>
              <w:jc w:val="center"/>
            </w:pPr>
            <w:r>
              <w:rPr>
                <w:rFonts w:ascii="Arial" w:hAnsi="Arial" w:eastAsia="Microsoft YaHei"/>
                <w:b w:val="0"/>
                <w:sz w:val="15"/>
              </w:rPr>
              <w:t>C2b</w:t>
            </w:r>
          </w:p>
        </w:tc>
        <w:tc>
          <w:tcPr>
            <w:tcW w:type="dxa" w:w="749"/>
            <w:vAlign w:val="center"/>
          </w:tcPr>
          <w:p>
            <w:pPr>
              <w:jc w:val="center"/>
            </w:pPr>
            <w:r>
              <w:rPr>
                <w:rFonts w:ascii="Arial" w:hAnsi="Arial" w:eastAsia="Microsoft YaHei"/>
                <w:b w:val="0"/>
                <w:sz w:val="15"/>
              </w:rPr>
              <w:t>2400</w:t>
            </w:r>
          </w:p>
        </w:tc>
        <w:tc>
          <w:tcPr>
            <w:tcW w:type="dxa" w:w="1224"/>
            <w:vAlign w:val="center"/>
          </w:tcPr>
          <w:p>
            <w:pPr>
              <w:jc w:val="center"/>
            </w:pPr>
            <w:r>
              <w:rPr>
                <w:rFonts w:ascii="Arial" w:hAnsi="Arial" w:eastAsia="Microsoft YaHei"/>
                <w:b w:val="0"/>
                <w:sz w:val="15"/>
              </w:rPr>
              <w:t>0.580±0.020</w:t>
            </w:r>
          </w:p>
        </w:tc>
        <w:tc>
          <w:tcPr>
            <w:tcW w:type="dxa" w:w="1181"/>
            <w:vAlign w:val="center"/>
          </w:tcPr>
          <w:p>
            <w:pPr>
              <w:jc w:val="center"/>
            </w:pPr>
            <w:r>
              <w:rPr>
                <w:rFonts w:ascii="Arial" w:hAnsi="Arial" w:eastAsia="Microsoft YaHei"/>
                <w:b w:val="0"/>
                <w:sz w:val="15"/>
              </w:rPr>
              <w:t>0.108±0.008</w:t>
            </w:r>
          </w:p>
        </w:tc>
        <w:tc>
          <w:tcPr>
            <w:tcW w:type="dxa" w:w="1181"/>
            <w:vAlign w:val="center"/>
          </w:tcPr>
          <w:p>
            <w:pPr>
              <w:jc w:val="center"/>
            </w:pPr>
            <w:r>
              <w:rPr>
                <w:rFonts w:ascii="Arial" w:hAnsi="Arial" w:eastAsia="Microsoft YaHei"/>
                <w:b w:val="0"/>
                <w:sz w:val="15"/>
              </w:rPr>
              <w:t>0.291±0.041</w:t>
            </w:r>
          </w:p>
        </w:tc>
        <w:tc>
          <w:tcPr>
            <w:tcW w:type="dxa" w:w="1123"/>
            <w:vAlign w:val="center"/>
          </w:tcPr>
          <w:p>
            <w:pPr>
              <w:jc w:val="center"/>
            </w:pPr>
            <w:r>
              <w:rPr>
                <w:rFonts w:ascii="Arial" w:hAnsi="Arial" w:eastAsia="Microsoft YaHei"/>
                <w:b w:val="0"/>
                <w:sz w:val="15"/>
              </w:rPr>
              <w:t>0.0±0.0</w:t>
            </w:r>
          </w:p>
        </w:tc>
        <w:tc>
          <w:tcPr>
            <w:tcW w:type="dxa" w:w="1512"/>
            <w:vAlign w:val="center"/>
          </w:tcPr>
          <w:p>
            <w:pPr>
              <w:jc w:val="center"/>
            </w:pPr>
            <w:r>
              <w:rPr>
                <w:rFonts w:ascii="Arial" w:hAnsi="Arial" w:eastAsia="Microsoft YaHei"/>
                <w:b w:val="0"/>
                <w:sz w:val="15"/>
              </w:rPr>
              <w:t>1,361,766±126,692</w:t>
            </w:r>
          </w:p>
        </w:tc>
        <w:tc>
          <w:tcPr>
            <w:tcW w:type="dxa" w:w="1037"/>
            <w:vAlign w:val="center"/>
          </w:tcPr>
          <w:p>
            <w:pPr>
              <w:jc w:val="center"/>
            </w:pPr>
            <w:r>
              <w:rPr>
                <w:rFonts w:ascii="Arial" w:hAnsi="Arial" w:eastAsia="Microsoft YaHei"/>
                <w:b w:val="0"/>
                <w:sz w:val="15"/>
              </w:rPr>
              <w:t>24.436±0.010</w:t>
            </w:r>
          </w:p>
        </w:tc>
      </w:tr>
      <w:tr>
        <w:tc>
          <w:tcPr>
            <w:tcW w:type="dxa" w:w="1469"/>
            <w:vAlign w:val="center"/>
          </w:tcPr>
          <w:p>
            <w:pPr>
              <w:jc w:val="center"/>
            </w:pPr>
            <w:r>
              <w:rPr>
                <w:rFonts w:ascii="Arial" w:hAnsi="Arial" w:eastAsia="Microsoft YaHei"/>
                <w:b w:val="0"/>
                <w:sz w:val="15"/>
              </w:rPr>
              <w:t>C2b</w:t>
            </w:r>
          </w:p>
        </w:tc>
        <w:tc>
          <w:tcPr>
            <w:tcW w:type="dxa" w:w="749"/>
            <w:vAlign w:val="center"/>
          </w:tcPr>
          <w:p>
            <w:pPr>
              <w:jc w:val="center"/>
            </w:pPr>
            <w:r>
              <w:rPr>
                <w:rFonts w:ascii="Arial" w:hAnsi="Arial" w:eastAsia="Microsoft YaHei"/>
                <w:b w:val="0"/>
                <w:sz w:val="15"/>
              </w:rPr>
              <w:t>800</w:t>
            </w:r>
          </w:p>
        </w:tc>
        <w:tc>
          <w:tcPr>
            <w:tcW w:type="dxa" w:w="1224"/>
            <w:vAlign w:val="center"/>
          </w:tcPr>
          <w:p>
            <w:pPr>
              <w:jc w:val="center"/>
            </w:pPr>
            <w:r>
              <w:rPr>
                <w:rFonts w:ascii="Arial" w:hAnsi="Arial" w:eastAsia="Microsoft YaHei"/>
                <w:b w:val="0"/>
                <w:sz w:val="15"/>
              </w:rPr>
              <w:t>0.525±0.011</w:t>
            </w:r>
          </w:p>
        </w:tc>
        <w:tc>
          <w:tcPr>
            <w:tcW w:type="dxa" w:w="1181"/>
            <w:vAlign w:val="center"/>
          </w:tcPr>
          <w:p>
            <w:pPr>
              <w:jc w:val="center"/>
            </w:pPr>
            <w:r>
              <w:rPr>
                <w:rFonts w:ascii="Arial" w:hAnsi="Arial" w:eastAsia="Microsoft YaHei"/>
                <w:b w:val="0"/>
                <w:sz w:val="15"/>
              </w:rPr>
              <w:t>0.125±0.014</w:t>
            </w:r>
          </w:p>
        </w:tc>
        <w:tc>
          <w:tcPr>
            <w:tcW w:type="dxa" w:w="1181"/>
            <w:vAlign w:val="center"/>
          </w:tcPr>
          <w:p>
            <w:pPr>
              <w:jc w:val="center"/>
            </w:pPr>
            <w:r>
              <w:rPr>
                <w:rFonts w:ascii="Arial" w:hAnsi="Arial" w:eastAsia="Microsoft YaHei"/>
                <w:b w:val="0"/>
                <w:sz w:val="15"/>
              </w:rPr>
              <w:t>0.426±0.092</w:t>
            </w:r>
          </w:p>
        </w:tc>
        <w:tc>
          <w:tcPr>
            <w:tcW w:type="dxa" w:w="1123"/>
            <w:vAlign w:val="center"/>
          </w:tcPr>
          <w:p>
            <w:pPr>
              <w:jc w:val="center"/>
            </w:pPr>
            <w:r>
              <w:rPr>
                <w:rFonts w:ascii="Arial" w:hAnsi="Arial" w:eastAsia="Microsoft YaHei"/>
                <w:b w:val="0"/>
                <w:sz w:val="15"/>
              </w:rPr>
              <w:t>48.2±2.9</w:t>
            </w:r>
          </w:p>
        </w:tc>
        <w:tc>
          <w:tcPr>
            <w:tcW w:type="dxa" w:w="1512"/>
            <w:vAlign w:val="center"/>
          </w:tcPr>
          <w:p>
            <w:pPr>
              <w:jc w:val="center"/>
            </w:pPr>
            <w:r>
              <w:rPr>
                <w:rFonts w:ascii="Arial" w:hAnsi="Arial" w:eastAsia="Microsoft YaHei"/>
                <w:b w:val="0"/>
                <w:sz w:val="15"/>
              </w:rPr>
              <w:t>902,926±30,588</w:t>
            </w:r>
          </w:p>
        </w:tc>
        <w:tc>
          <w:tcPr>
            <w:tcW w:type="dxa" w:w="1037"/>
            <w:vAlign w:val="center"/>
          </w:tcPr>
          <w:p>
            <w:pPr>
              <w:jc w:val="center"/>
            </w:pPr>
            <w:r>
              <w:rPr>
                <w:rFonts w:ascii="Arial" w:hAnsi="Arial" w:eastAsia="Microsoft YaHei"/>
                <w:b w:val="0"/>
                <w:sz w:val="15"/>
              </w:rPr>
              <w:t>24.432±0.006</w:t>
            </w:r>
          </w:p>
        </w:tc>
      </w:tr>
      <w:tr>
        <w:tc>
          <w:tcPr>
            <w:tcW w:type="dxa" w:w="1469"/>
            <w:vAlign w:val="center"/>
          </w:tcPr>
          <w:p>
            <w:pPr>
              <w:jc w:val="center"/>
            </w:pPr>
            <w:r>
              <w:rPr>
                <w:rFonts w:ascii="Arial" w:hAnsi="Arial" w:eastAsia="Microsoft YaHei"/>
                <w:b w:val="0"/>
                <w:sz w:val="15"/>
              </w:rPr>
              <w:t>C2b-SyncAlloc</w:t>
            </w:r>
          </w:p>
        </w:tc>
        <w:tc>
          <w:tcPr>
            <w:tcW w:type="dxa" w:w="749"/>
            <w:vAlign w:val="center"/>
          </w:tcPr>
          <w:p>
            <w:pPr>
              <w:jc w:val="center"/>
            </w:pPr>
            <w:r>
              <w:rPr>
                <w:rFonts w:ascii="Arial" w:hAnsi="Arial" w:eastAsia="Microsoft YaHei"/>
                <w:b w:val="0"/>
                <w:sz w:val="15"/>
              </w:rPr>
              <w:t>2400</w:t>
            </w:r>
          </w:p>
        </w:tc>
        <w:tc>
          <w:tcPr>
            <w:tcW w:type="dxa" w:w="1224"/>
            <w:vAlign w:val="center"/>
          </w:tcPr>
          <w:p>
            <w:pPr>
              <w:jc w:val="center"/>
            </w:pPr>
            <w:r>
              <w:rPr>
                <w:rFonts w:ascii="Arial" w:hAnsi="Arial" w:eastAsia="Microsoft YaHei"/>
                <w:b w:val="0"/>
                <w:sz w:val="15"/>
              </w:rPr>
              <w:t>0.589±0.014</w:t>
            </w:r>
          </w:p>
        </w:tc>
        <w:tc>
          <w:tcPr>
            <w:tcW w:type="dxa" w:w="1181"/>
            <w:vAlign w:val="center"/>
          </w:tcPr>
          <w:p>
            <w:pPr>
              <w:jc w:val="center"/>
            </w:pPr>
            <w:r>
              <w:rPr>
                <w:rFonts w:ascii="Arial" w:hAnsi="Arial" w:eastAsia="Microsoft YaHei"/>
                <w:b w:val="0"/>
                <w:sz w:val="15"/>
              </w:rPr>
              <w:t>0.108±0.008</w:t>
            </w:r>
          </w:p>
        </w:tc>
        <w:tc>
          <w:tcPr>
            <w:tcW w:type="dxa" w:w="1181"/>
            <w:vAlign w:val="center"/>
          </w:tcPr>
          <w:p>
            <w:pPr>
              <w:jc w:val="center"/>
            </w:pPr>
            <w:r>
              <w:rPr>
                <w:rFonts w:ascii="Arial" w:hAnsi="Arial" w:eastAsia="Microsoft YaHei"/>
                <w:b w:val="0"/>
                <w:sz w:val="15"/>
              </w:rPr>
              <w:t>0.334±0.023</w:t>
            </w:r>
          </w:p>
        </w:tc>
        <w:tc>
          <w:tcPr>
            <w:tcW w:type="dxa" w:w="1123"/>
            <w:vAlign w:val="center"/>
          </w:tcPr>
          <w:p>
            <w:pPr>
              <w:jc w:val="center"/>
            </w:pPr>
            <w:r>
              <w:rPr>
                <w:rFonts w:ascii="Arial" w:hAnsi="Arial" w:eastAsia="Microsoft YaHei"/>
                <w:b w:val="0"/>
                <w:sz w:val="15"/>
              </w:rPr>
              <w:t>0.0±0.0</w:t>
            </w:r>
          </w:p>
        </w:tc>
        <w:tc>
          <w:tcPr>
            <w:tcW w:type="dxa" w:w="1512"/>
            <w:vAlign w:val="center"/>
          </w:tcPr>
          <w:p>
            <w:pPr>
              <w:jc w:val="center"/>
            </w:pPr>
            <w:r>
              <w:rPr>
                <w:rFonts w:ascii="Arial" w:hAnsi="Arial" w:eastAsia="Microsoft YaHei"/>
                <w:b w:val="0"/>
                <w:sz w:val="15"/>
              </w:rPr>
              <w:t>1,346,038±98,124</w:t>
            </w:r>
          </w:p>
        </w:tc>
        <w:tc>
          <w:tcPr>
            <w:tcW w:type="dxa" w:w="1037"/>
            <w:vAlign w:val="center"/>
          </w:tcPr>
          <w:p>
            <w:pPr>
              <w:jc w:val="center"/>
            </w:pPr>
            <w:r>
              <w:rPr>
                <w:rFonts w:ascii="Arial" w:hAnsi="Arial" w:eastAsia="Microsoft YaHei"/>
                <w:b w:val="0"/>
                <w:sz w:val="15"/>
              </w:rPr>
              <w:t>24.457±0.009</w:t>
            </w:r>
          </w:p>
        </w:tc>
      </w:tr>
      <w:tr>
        <w:tc>
          <w:tcPr>
            <w:tcW w:type="dxa" w:w="1469"/>
            <w:vAlign w:val="center"/>
          </w:tcPr>
          <w:p>
            <w:pPr>
              <w:jc w:val="center"/>
            </w:pPr>
            <w:r>
              <w:rPr>
                <w:rFonts w:ascii="Arial" w:hAnsi="Arial" w:eastAsia="Microsoft YaHei"/>
                <w:b w:val="0"/>
                <w:sz w:val="15"/>
              </w:rPr>
              <w:t>C2b-SyncAlloc</w:t>
            </w:r>
          </w:p>
        </w:tc>
        <w:tc>
          <w:tcPr>
            <w:tcW w:type="dxa" w:w="749"/>
            <w:vAlign w:val="center"/>
          </w:tcPr>
          <w:p>
            <w:pPr>
              <w:jc w:val="center"/>
            </w:pPr>
            <w:r>
              <w:rPr>
                <w:rFonts w:ascii="Arial" w:hAnsi="Arial" w:eastAsia="Microsoft YaHei"/>
                <w:b w:val="0"/>
                <w:sz w:val="15"/>
              </w:rPr>
              <w:t>800</w:t>
            </w:r>
          </w:p>
        </w:tc>
        <w:tc>
          <w:tcPr>
            <w:tcW w:type="dxa" w:w="1224"/>
            <w:vAlign w:val="center"/>
          </w:tcPr>
          <w:p>
            <w:pPr>
              <w:jc w:val="center"/>
            </w:pPr>
            <w:r>
              <w:rPr>
                <w:rFonts w:ascii="Arial" w:hAnsi="Arial" w:eastAsia="Microsoft YaHei"/>
                <w:b w:val="0"/>
                <w:sz w:val="15"/>
              </w:rPr>
              <w:t>0.333±0.077</w:t>
            </w:r>
          </w:p>
        </w:tc>
        <w:tc>
          <w:tcPr>
            <w:tcW w:type="dxa" w:w="1181"/>
            <w:vAlign w:val="center"/>
          </w:tcPr>
          <w:p>
            <w:pPr>
              <w:jc w:val="center"/>
            </w:pPr>
            <w:r>
              <w:rPr>
                <w:rFonts w:ascii="Arial" w:hAnsi="Arial" w:eastAsia="Microsoft YaHei"/>
                <w:b w:val="0"/>
                <w:sz w:val="15"/>
              </w:rPr>
              <w:t>0.087±0.020</w:t>
            </w:r>
          </w:p>
        </w:tc>
        <w:tc>
          <w:tcPr>
            <w:tcW w:type="dxa" w:w="1181"/>
            <w:vAlign w:val="center"/>
          </w:tcPr>
          <w:p>
            <w:pPr>
              <w:jc w:val="center"/>
            </w:pPr>
            <w:r>
              <w:rPr>
                <w:rFonts w:ascii="Arial" w:hAnsi="Arial" w:eastAsia="Microsoft YaHei"/>
                <w:b w:val="0"/>
                <w:sz w:val="15"/>
              </w:rPr>
              <w:t>0.265±0.030</w:t>
            </w:r>
          </w:p>
        </w:tc>
        <w:tc>
          <w:tcPr>
            <w:tcW w:type="dxa" w:w="1123"/>
            <w:vAlign w:val="center"/>
          </w:tcPr>
          <w:p>
            <w:pPr>
              <w:jc w:val="center"/>
            </w:pPr>
            <w:r>
              <w:rPr>
                <w:rFonts w:ascii="Arial" w:hAnsi="Arial" w:eastAsia="Microsoft YaHei"/>
                <w:b w:val="0"/>
                <w:sz w:val="15"/>
              </w:rPr>
              <w:t>25.3±11.8</w:t>
            </w:r>
          </w:p>
        </w:tc>
        <w:tc>
          <w:tcPr>
            <w:tcW w:type="dxa" w:w="1512"/>
            <w:vAlign w:val="center"/>
          </w:tcPr>
          <w:p>
            <w:pPr>
              <w:jc w:val="center"/>
            </w:pPr>
            <w:r>
              <w:rPr>
                <w:rFonts w:ascii="Arial" w:hAnsi="Arial" w:eastAsia="Microsoft YaHei"/>
                <w:b w:val="0"/>
                <w:sz w:val="15"/>
              </w:rPr>
              <w:t>667,463±261,978</w:t>
            </w:r>
          </w:p>
        </w:tc>
        <w:tc>
          <w:tcPr>
            <w:tcW w:type="dxa" w:w="1037"/>
            <w:vAlign w:val="center"/>
          </w:tcPr>
          <w:p>
            <w:pPr>
              <w:jc w:val="center"/>
            </w:pPr>
            <w:r>
              <w:rPr>
                <w:rFonts w:ascii="Arial" w:hAnsi="Arial" w:eastAsia="Microsoft YaHei"/>
                <w:b w:val="0"/>
                <w:sz w:val="15"/>
              </w:rPr>
              <w:t>24.425±0.007</w:t>
            </w:r>
          </w:p>
        </w:tc>
      </w:tr>
    </w:tbl>
    <w:p>
      <w:pPr>
        <w:spacing w:before="160"/>
      </w:pPr>
      <w:r>
        <w:rPr>
          <w:rFonts w:ascii="Arial" w:hAnsi="Arial" w:eastAsia="Microsoft YaHei"/>
          <w:b/>
          <w:sz w:val="18"/>
        </w:rPr>
        <w:t>注：</w:t>
      </w:r>
      <w:r>
        <w:rPr>
          <w:rFonts w:ascii="Arial" w:hAnsi="Arial" w:eastAsia="Microsoft YaHei"/>
          <w:b w:val="0"/>
          <w:sz w:val="18"/>
        </w:rPr>
        <w:t>“活动比例”在独立控制器中对应饱和样本比例，在SyncAlloc中包含饱和或分配器活动样本。</w:t>
      </w:r>
    </w:p>
    <w:p>
      <w:pPr>
        <w:pStyle w:val="Heading1"/>
      </w:pPr>
      <w:r>
        <w:t>5　主要结果与解释</w:t>
      </w:r>
    </w:p>
    <w:p>
      <w:pPr>
        <w:pStyle w:val="ListBullet"/>
      </w:pPr>
      <w:r>
        <w:rPr>
          <w:rFonts w:ascii="Arial" w:hAnsi="Arial" w:eastAsia="Microsoft YaHei"/>
          <w:b w:val="0"/>
          <w:sz w:val="21"/>
        </w:rPr>
        <w:t>800限流下，C2b-SyncAlloc相对C2b使跟踪RMSE降低36.7%、同步RMS降低30.8%、最大同步误差降低37.9%。</w:t>
      </w:r>
    </w:p>
    <w:p>
      <w:pPr>
        <w:pStyle w:val="ListBullet"/>
      </w:pPr>
      <w:r>
        <w:rPr>
          <w:rFonts w:ascii="Arial" w:hAnsi="Arial" w:eastAsia="Microsoft YaHei"/>
          <w:b w:val="0"/>
          <w:sz w:val="21"/>
        </w:rPr>
        <w:t>同时，C2b-SyncAlloc使饱和/分配活动比例降低47.5%，控制量总变差降低26.1%，在低限流工况下综合表现最佳。</w:t>
      </w:r>
    </w:p>
    <w:p>
      <w:pPr>
        <w:pStyle w:val="ListBullet"/>
      </w:pPr>
      <w:r>
        <w:rPr>
          <w:rFonts w:ascii="Arial" w:hAnsi="Arial" w:eastAsia="Microsoft YaHei"/>
          <w:b w:val="0"/>
          <w:sz w:val="21"/>
        </w:rPr>
        <w:t>C2a-SyncAlloc相对C2a在800限流下使跟踪RMSE降低12.7%、同步RMS降低37.6%、最大同步误差降低31.9%，但控制量总变差增加11.5%，表现出同步精度与控制动作平滑性之间的权衡。</w:t>
      </w:r>
    </w:p>
    <w:p>
      <w:pPr>
        <w:pStyle w:val="ListBullet"/>
      </w:pPr>
      <w:r>
        <w:rPr>
          <w:rFonts w:ascii="Arial" w:hAnsi="Arial" w:eastAsia="Microsoft YaHei"/>
          <w:b w:val="0"/>
          <w:sz w:val="21"/>
        </w:rPr>
        <w:t>2400限流下各方案基本未触发饱和，SyncAlloc和动态抗饱和状态几乎不活动，因此改进方案优势不明显；该结果符合算法主要针对执行器约束工况发挥作用的设计预期。</w:t>
      </w:r>
    </w:p>
    <w:p>
      <w:r>
        <w:br w:type="page"/>
      </w:r>
    </w:p>
    <w:p>
      <w:pPr>
        <w:pStyle w:val="Heading1"/>
      </w:pPr>
      <w:r>
        <w:t>6　论文可直接使用的结果表述</w:t>
      </w:r>
    </w:p>
    <w:p>
      <w:pPr>
        <w:spacing w:line="360" w:lineRule="auto"/>
        <w:ind w:firstLine="420"/>
      </w:pPr>
      <w:r>
        <w:rPr>
          <w:rFonts w:ascii="Arial" w:hAnsi="Arial" w:eastAsia="SimSun"/>
          <w:b w:val="0"/>
          <w:sz w:val="22"/>
        </w:rPr>
        <w:t>为验证同步分配与动态抗饱和策略在执行器受限条件下的有效性，本文在2 kg载荷和10 mm往返行程下，对C2a、C2a-SyncAlloc、C2b及C2b-SyncAlloc四种控制器分别设置2400 count和800 count限流，每个条件重复5次，共完成40次实物实验。全部运行均完整结束且无故障。结果表明，在2400 count限流下，各方法基本不发生饱和，改进策略的优势不显著；在800 count限流下，约束处理策略表现出明显作用。其中，C2b-SyncAlloc相对C2b将跟踪RMSE由0.525 mm降低至0.333 mm，同步RMS由0.125 mm降低至0.087 mm，最大同步误差由0.426 mm降低至0.265 mm，同时将饱和/分配活动比例降低47.5%，控制量总变差降低26.1%。C2a-SyncAlloc同样改善了低限流下的同步精度，但其控制量总变差增加11.5%。上述结果说明，同步分配与动态抗饱和结构主要在执行器约束被激活时提高跟踪与同步性能，其中C2b-SyncAlloc在本实验条件下取得最佳综合效果。</w:t>
      </w:r>
    </w:p>
    <w:p>
      <w:pPr>
        <w:pStyle w:val="Heading1"/>
      </w:pPr>
      <w:r>
        <w:t>7　论文图</w:t>
      </w:r>
    </w:p>
    <w:p>
      <w:r>
        <w:rPr>
          <w:rFonts w:ascii="Arial" w:hAnsi="Arial" w:eastAsia="Microsoft YaHei"/>
          <w:b w:val="0"/>
          <w:sz w:val="20"/>
        </w:rPr>
        <w:t>图1和图2给出八种条件的组统计对比，误差棒为5次重复实验的标准差。</w:t>
      </w:r>
    </w:p>
    <w:p>
      <w:pPr>
        <w:jc w:val="center"/>
      </w:pPr>
      <w:r>
        <w:drawing>
          <wp:inline xmlns:a="http://schemas.openxmlformats.org/drawingml/2006/main" xmlns:pic="http://schemas.openxmlformats.org/drawingml/2006/picture">
            <wp:extent cx="6172200" cy="2459971"/>
            <wp:docPr id="1" name="Picture 1"/>
            <wp:cNvGraphicFramePr>
              <a:graphicFrameLocks noChangeAspect="1"/>
            </wp:cNvGraphicFramePr>
            <a:graphic>
              <a:graphicData uri="http://schemas.openxmlformats.org/drawingml/2006/picture">
                <pic:pic>
                  <pic:nvPicPr>
                    <pic:cNvPr id="0" name="图1_跟踪与同步性能.png"/>
                    <pic:cNvPicPr/>
                  </pic:nvPicPr>
                  <pic:blipFill>
                    <a:blip r:embed="rId11"/>
                    <a:stretch>
                      <a:fillRect/>
                    </a:stretch>
                  </pic:blipFill>
                  <pic:spPr>
                    <a:xfrm>
                      <a:off x="0" y="0"/>
                      <a:ext cx="6172200" cy="2459971"/>
                    </a:xfrm>
                    <a:prstGeom prst="rect"/>
                  </pic:spPr>
                </pic:pic>
              </a:graphicData>
            </a:graphic>
          </wp:inline>
        </w:drawing>
      </w:r>
    </w:p>
    <w:p>
      <w:pPr>
        <w:jc w:val="center"/>
      </w:pPr>
      <w:r>
        <w:rPr>
          <w:rFonts w:ascii="Arial" w:hAnsi="Arial" w:eastAsia="Microsoft YaHei"/>
          <w:b w:val="0"/>
          <w:sz w:val="19"/>
        </w:rPr>
        <w:t>图1  不同控制器及限流条件下的跟踪与同步误差</w:t>
      </w:r>
    </w:p>
    <w:p>
      <w:pPr>
        <w:jc w:val="center"/>
      </w:pPr>
      <w:r>
        <w:drawing>
          <wp:inline xmlns:a="http://schemas.openxmlformats.org/drawingml/2006/main" xmlns:pic="http://schemas.openxmlformats.org/drawingml/2006/picture">
            <wp:extent cx="6172200" cy="2459971"/>
            <wp:docPr id="2" name="Picture 2"/>
            <wp:cNvGraphicFramePr>
              <a:graphicFrameLocks noChangeAspect="1"/>
            </wp:cNvGraphicFramePr>
            <a:graphic>
              <a:graphicData uri="http://schemas.openxmlformats.org/drawingml/2006/picture">
                <pic:pic>
                  <pic:nvPicPr>
                    <pic:cNvPr id="0" name="图2_饱和与控制量总变差.png"/>
                    <pic:cNvPicPr/>
                  </pic:nvPicPr>
                  <pic:blipFill>
                    <a:blip r:embed="rId12"/>
                    <a:stretch>
                      <a:fillRect/>
                    </a:stretch>
                  </pic:blipFill>
                  <pic:spPr>
                    <a:xfrm>
                      <a:off x="0" y="0"/>
                      <a:ext cx="6172200" cy="2459971"/>
                    </a:xfrm>
                    <a:prstGeom prst="rect"/>
                  </pic:spPr>
                </pic:pic>
              </a:graphicData>
            </a:graphic>
          </wp:inline>
        </w:drawing>
      </w:r>
    </w:p>
    <w:p>
      <w:pPr>
        <w:jc w:val="center"/>
      </w:pPr>
      <w:r>
        <w:rPr>
          <w:rFonts w:ascii="Arial" w:hAnsi="Arial" w:eastAsia="Microsoft YaHei"/>
          <w:b w:val="0"/>
          <w:sz w:val="19"/>
        </w:rPr>
        <w:t>图2  饱和/分配活动比例与控制量总变差</w:t>
      </w:r>
    </w:p>
    <w:p>
      <w:r>
        <w:br w:type="page"/>
      </w:r>
    </w:p>
    <w:p>
      <w:pPr>
        <w:pStyle w:val="Heading1"/>
      </w:pPr>
      <w:r>
        <w:t>8　代表性时序与控制器内部状态</w:t>
      </w:r>
    </w:p>
    <w:p>
      <w:pPr>
        <w:jc w:val="center"/>
      </w:pPr>
      <w:r>
        <w:drawing>
          <wp:inline xmlns:a="http://schemas.openxmlformats.org/drawingml/2006/main" xmlns:pic="http://schemas.openxmlformats.org/drawingml/2006/picture">
            <wp:extent cx="6126480" cy="4357810"/>
            <wp:docPr id="3" name="Picture 3"/>
            <wp:cNvGraphicFramePr>
              <a:graphicFrameLocks noChangeAspect="1"/>
            </wp:cNvGraphicFramePr>
            <a:graphic>
              <a:graphicData uri="http://schemas.openxmlformats.org/drawingml/2006/picture">
                <pic:pic>
                  <pic:nvPicPr>
                    <pic:cNvPr id="0" name="图3_低限流代表时序.png"/>
                    <pic:cNvPicPr/>
                  </pic:nvPicPr>
                  <pic:blipFill>
                    <a:blip r:embed="rId13"/>
                    <a:stretch>
                      <a:fillRect/>
                    </a:stretch>
                  </pic:blipFill>
                  <pic:spPr>
                    <a:xfrm>
                      <a:off x="0" y="0"/>
                      <a:ext cx="6126480" cy="4357810"/>
                    </a:xfrm>
                    <a:prstGeom prst="rect"/>
                  </pic:spPr>
                </pic:pic>
              </a:graphicData>
            </a:graphic>
          </wp:inline>
        </w:drawing>
      </w:r>
    </w:p>
    <w:p>
      <w:pPr>
        <w:jc w:val="center"/>
      </w:pPr>
      <w:r>
        <w:rPr>
          <w:rFonts w:ascii="Arial" w:hAnsi="Arial" w:eastAsia="Microsoft YaHei"/>
          <w:b w:val="0"/>
          <w:sz w:val="19"/>
        </w:rPr>
        <w:t>图3  800 count限流下各控制器代表性运行的跟踪误差与同步误差时序</w:t>
      </w:r>
    </w:p>
    <w:p>
      <w:pPr>
        <w:jc w:val="center"/>
      </w:pPr>
      <w:r>
        <w:drawing>
          <wp:inline xmlns:a="http://schemas.openxmlformats.org/drawingml/2006/main" xmlns:pic="http://schemas.openxmlformats.org/drawingml/2006/picture">
            <wp:extent cx="5943600" cy="2368861"/>
            <wp:docPr id="4" name="Picture 4"/>
            <wp:cNvGraphicFramePr>
              <a:graphicFrameLocks noChangeAspect="1"/>
            </wp:cNvGraphicFramePr>
            <a:graphic>
              <a:graphicData uri="http://schemas.openxmlformats.org/drawingml/2006/picture">
                <pic:pic>
                  <pic:nvPicPr>
                    <pic:cNvPr id="0" name="图4_分配与动态抗饱和状态.png"/>
                    <pic:cNvPicPr/>
                  </pic:nvPicPr>
                  <pic:blipFill>
                    <a:blip r:embed="rId14"/>
                    <a:stretch>
                      <a:fillRect/>
                    </a:stretch>
                  </pic:blipFill>
                  <pic:spPr>
                    <a:xfrm>
                      <a:off x="0" y="0"/>
                      <a:ext cx="5943600" cy="2368861"/>
                    </a:xfrm>
                    <a:prstGeom prst="rect"/>
                  </pic:spPr>
                </pic:pic>
              </a:graphicData>
            </a:graphic>
          </wp:inline>
        </w:drawing>
      </w:r>
    </w:p>
    <w:p>
      <w:pPr>
        <w:jc w:val="center"/>
      </w:pPr>
      <w:r>
        <w:rPr>
          <w:rFonts w:ascii="Arial" w:hAnsi="Arial" w:eastAsia="Microsoft YaHei"/>
          <w:b w:val="0"/>
          <w:sz w:val="19"/>
        </w:rPr>
        <w:t>图4  分配差额与动态抗饱和状态的组统计</w:t>
      </w:r>
    </w:p>
    <w:p>
      <w:r>
        <w:br w:type="page"/>
      </w:r>
    </w:p>
    <w:p>
      <w:pPr>
        <w:pStyle w:val="Heading1"/>
      </w:pPr>
      <w:r>
        <w:t>9　采集质量、限制与封档结构</w:t>
      </w:r>
    </w:p>
    <w:p>
      <w:pPr>
        <w:jc w:val="center"/>
      </w:pPr>
      <w:r>
        <w:drawing>
          <wp:inline xmlns:a="http://schemas.openxmlformats.org/drawingml/2006/main" xmlns:pic="http://schemas.openxmlformats.org/drawingml/2006/picture">
            <wp:extent cx="6126480" cy="2294360"/>
            <wp:docPr id="5" name="Picture 5"/>
            <wp:cNvGraphicFramePr>
              <a:graphicFrameLocks noChangeAspect="1"/>
            </wp:cNvGraphicFramePr>
            <a:graphic>
              <a:graphicData uri="http://schemas.openxmlformats.org/drawingml/2006/picture">
                <pic:pic>
                  <pic:nvPicPr>
                    <pic:cNvPr id="0" name="图5_采集质量与电压漂移.png"/>
                    <pic:cNvPicPr/>
                  </pic:nvPicPr>
                  <pic:blipFill>
                    <a:blip r:embed="rId15"/>
                    <a:stretch>
                      <a:fillRect/>
                    </a:stretch>
                  </pic:blipFill>
                  <pic:spPr>
                    <a:xfrm>
                      <a:off x="0" y="0"/>
                      <a:ext cx="6126480" cy="2294360"/>
                    </a:xfrm>
                    <a:prstGeom prst="rect"/>
                  </pic:spPr>
                </pic:pic>
              </a:graphicData>
            </a:graphic>
          </wp:inline>
        </w:drawing>
      </w:r>
    </w:p>
    <w:p>
      <w:pPr>
        <w:jc w:val="center"/>
      </w:pPr>
      <w:r>
        <w:rPr>
          <w:rFonts w:ascii="Arial" w:hAnsi="Arial" w:eastAsia="Microsoft YaHei"/>
          <w:b w:val="0"/>
          <w:sz w:val="19"/>
        </w:rPr>
        <w:t>图5  实际采集顺序中的电池电压变化与各条件采集位置</w:t>
      </w:r>
    </w:p>
    <w:p>
      <w:r>
        <w:rPr>
          <w:rFonts w:ascii="Arial" w:hAnsi="Arial" w:eastAsia="Microsoft YaHei"/>
          <w:b/>
          <w:color w:val="7F6000"/>
          <w:sz w:val="21"/>
        </w:rPr>
        <w:t>协议偏差说明：</w:t>
      </w:r>
      <w:r>
        <w:rPr>
          <w:rFonts w:ascii="Arial" w:hAnsi="Arial" w:eastAsia="Microsoft YaHei"/>
          <w:b w:val="0"/>
          <w:color w:val="7F6000"/>
          <w:sz w:val="21"/>
        </w:rPr>
        <w:t>40次数据本身均有效，但实际采集顺序不是预随机顺序。因条件与时间顺序部分重合，控制器差异与慢速电压漂移可能存在一定混杂。建议论文将其列为实验限制，并避免把小幅组间差异解释为完全独立于采集顺序的因果效应。</w:t>
      </w:r>
    </w:p>
    <w:p>
      <w:pPr>
        <w:pStyle w:val="Heading2"/>
      </w:pPr>
      <w:r>
        <w:t>封档目录</w:t>
      </w:r>
    </w:p>
    <w:p>
      <w:pPr>
        <w:pStyle w:val="ListBullet"/>
      </w:pPr>
      <w:r>
        <w:rPr>
          <w:rFonts w:ascii="Arial" w:hAnsi="Arial" w:eastAsia="Microsoft YaHei"/>
          <w:b w:val="0"/>
          <w:sz w:val="20"/>
        </w:rPr>
        <w:t>01_原始数据：40份VOFA原始CSV，保持原样；</w:t>
      </w:r>
    </w:p>
    <w:p>
      <w:pPr>
        <w:pStyle w:val="ListBullet"/>
      </w:pPr>
      <w:r>
        <w:rPr>
          <w:rFonts w:ascii="Arial" w:hAnsi="Arial" w:eastAsia="Microsoft YaHei"/>
          <w:b w:val="0"/>
          <w:sz w:val="20"/>
        </w:rPr>
        <w:t>02_处理后数据：40份自动选段并清洗后的CSV；</w:t>
      </w:r>
    </w:p>
    <w:p>
      <w:pPr>
        <w:pStyle w:val="ListBullet"/>
      </w:pPr>
      <w:r>
        <w:rPr>
          <w:rFonts w:ascii="Arial" w:hAnsi="Arial" w:eastAsia="Microsoft YaHei"/>
          <w:b w:val="0"/>
          <w:sz w:val="20"/>
        </w:rPr>
        <w:t>03_统计汇总：逐次指标、逐文件质量检查、分组统计、效应对比、实际采集顺序、JSON结论及XLSX工作簿；</w:t>
      </w:r>
    </w:p>
    <w:p>
      <w:pPr>
        <w:pStyle w:val="ListBullet"/>
      </w:pPr>
      <w:r>
        <w:rPr>
          <w:rFonts w:ascii="Arial" w:hAnsi="Arial" w:eastAsia="Microsoft YaHei"/>
          <w:b w:val="0"/>
          <w:sz w:val="20"/>
        </w:rPr>
        <w:t>04_论文图：5幅可直接用于论文的PNG图；</w:t>
      </w:r>
    </w:p>
    <w:p>
      <w:pPr>
        <w:pStyle w:val="ListBullet"/>
      </w:pPr>
      <w:r>
        <w:rPr>
          <w:rFonts w:ascii="Arial" w:hAnsi="Arial" w:eastAsia="Microsoft YaHei"/>
          <w:b w:val="0"/>
          <w:sz w:val="20"/>
        </w:rPr>
        <w:t>05_实验代码：8套正式固件工程及数据处理脚本；</w:t>
      </w:r>
    </w:p>
    <w:p>
      <w:pPr>
        <w:pStyle w:val="ListBullet"/>
      </w:pPr>
      <w:r>
        <w:rPr>
          <w:rFonts w:ascii="Arial" w:hAnsi="Arial" w:eastAsia="Microsoft YaHei"/>
          <w:b w:val="0"/>
          <w:sz w:val="20"/>
        </w:rPr>
        <w:t>00_说明文档：本报告与封档说明。</w:t>
      </w:r>
    </w:p>
    <w:p>
      <w:pPr>
        <w:pStyle w:val="Heading2"/>
      </w:pPr>
      <w:r>
        <w:t>最终判定</w:t>
      </w:r>
    </w:p>
    <w:p>
      <w:r>
        <w:rPr>
          <w:rFonts w:ascii="Arial" w:hAnsi="Arial" w:eastAsia="Microsoft YaHei"/>
          <w:b/>
          <w:color w:val="375723"/>
          <w:sz w:val="22"/>
        </w:rPr>
        <w:t>实验三完成度：100%。数据、统计、论文图、说明文档、正式代码及可复现处理脚本均已纳入封档。封档状态为“可封档（含已披露的协议偏差）”。</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Microsoft YaHei"/>
        <w:b w:val="0"/>
        <w:color w:val="646464"/>
        <w:sz w:val="17"/>
      </w:rPr>
      <w:t>实验三封档 · 2026-10-03</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Microsoft YaHei"/>
        <w:b w:val="0"/>
        <w:color w:val="646464"/>
        <w:sz w:val="17"/>
      </w:rPr>
      <w:t>实验三正式实验结果与论文说明</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00"/>
    </w:pPr>
    <w:rPr>
      <w:rFonts w:ascii="Arial" w:hAnsi="Arial"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Microsoft YaHei"/>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Microsoft YaHei"/>
      <w:b/>
      <w:bCs/>
      <w:color w:val="2F547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Microsoft YaHei"/>
      <w:b/>
      <w:color w:val="17365D"/>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实验3正式实验结果与论文说明</dc:title>
  <dc:subject>双驱龙门平台实验三40次正式实验结果</dc:subject>
  <dc:creator>实验数据处理与封档</dc:creator>
  <cp:keywords/>
  <dc:description>generated by python-docx</dc:description>
  <cp:lastModifiedBy/>
  <cp:revision>1</cp:revision>
  <dcterms:created xsi:type="dcterms:W3CDTF">2013-12-23T23:15:00Z</dcterms:created>
  <dcterms:modified xsi:type="dcterms:W3CDTF">2013-12-23T23:15:00Z</dcterms:modified>
  <cp:category/>
</cp:coreProperties>
</file>