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rPr>
          <w:rFonts w:ascii="Arial" w:hAnsi="Arial" w:eastAsia="Microsoft YaHei"/>
          <w:b/>
          <w:color w:val="000000"/>
          <w:sz w:val="36"/>
        </w:rPr>
        <w:t>实验4执行器不对称条件下控制性能正式实验结果</w:t>
      </w:r>
    </w:p>
    <w:p>
      <w:pPr>
        <w:spacing w:after="120" w:line="300" w:lineRule="auto"/>
        <w:jc w:val="both"/>
      </w:pPr>
      <w:r>
        <w:rPr>
          <w:rFonts w:ascii="Arial" w:hAnsi="Arial" w:eastAsia="Microsoft YaHei"/>
          <w:color w:val="000000"/>
          <w:sz w:val="22"/>
        </w:rPr>
        <w:t>本报告汇总实验4的30次正式运行。六种控制器与左右电流限幅组合均完成5次重复，30份数据全部通过结构、配置、故障、温度和同步保护检查，可以正式封档。描述性结果表明，执行器能力不对称会改变饱和程度和同步误差，SyncAlloc在左侧限流较高、右侧限流较低的1600/800条件下改善最明显。</w:t>
      </w:r>
    </w:p>
    <w:p>
      <w:pPr>
        <w:pStyle w:val="Heading1"/>
      </w:pPr>
      <w:r>
        <w:t>实验设计与分析范围</w:t>
      </w:r>
    </w:p>
    <w:p>
      <w:pPr>
        <w:spacing w:after="120" w:line="300" w:lineRule="auto"/>
        <w:jc w:val="both"/>
      </w:pPr>
      <w:r>
        <w:rPr>
          <w:rFonts w:ascii="Arial" w:hAnsi="Arial" w:eastAsia="Microsoft YaHei"/>
          <w:color w:val="000000"/>
          <w:sz w:val="22"/>
        </w:rPr>
        <w:t>实验固定附加载荷为2 kg、参考行程为10 mm，比较C2b独立限幅和C2b-SyncAlloc两种方案。左右电流限幅设置为1200/1200、800/1600和1600/800，每个条件重复5次，共30次正式运行。跟踪和同步指标在phase 2至phase 5计算；phase 6开始时电机输出被置零，因此电机停机后的载荷漂移不计入受控轨迹性能。</w:t>
      </w:r>
    </w:p>
    <w:p>
      <w:pPr>
        <w:spacing w:after="120" w:line="300" w:lineRule="auto"/>
        <w:jc w:val="both"/>
      </w:pPr>
      <w:r>
        <w:rPr>
          <w:rFonts w:ascii="Arial" w:hAnsi="Arial" w:eastAsia="Microsoft YaHei"/>
          <w:color w:val="000000"/>
          <w:sz w:val="22"/>
        </w:rPr>
        <w:t>跟踪误差定义为双轴平均位置与参考位置之差，同步误差定义为左右轴位置之差。主要指标包括跟踪误差均方根、同步误差均方根、最大绝对同步误差、饱和样本占比和控制量总变差。分组结果以均值和样本标准差表示，样本量为每组5次。</w:t>
      </w:r>
    </w:p>
    <w:p>
      <w:pPr>
        <w:pStyle w:val="Heading1"/>
      </w:pPr>
      <w:r>
        <w:t>数据质量与有效性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6912"/>
        <w:gridCol w:w="1080"/>
      </w:tblGrid>
      <w:tr>
        <w:trPr>
          <w:tblHeader w:val="true"/>
        </w:trPr>
        <w:tc>
          <w:tcPr>
            <w:tcW w:type="dxa" w:w="338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338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38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38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文件完整性</w:t>
            </w:r>
          </w:p>
        </w:tc>
        <w:tc>
          <w:tcPr>
            <w:tcW w:type="dxa" w:w="338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30个正式文件齐全，每个条件5次</w:t>
            </w:r>
          </w:p>
        </w:tc>
        <w:tc>
          <w:tcPr>
            <w:tcW w:type="dxa" w:w="338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89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运行阶段</w:t>
            </w:r>
          </w:p>
        </w:tc>
        <w:tc>
          <w:tcPr>
            <w:tcW w:type="dxa" w:w="3389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全部包含phase 0至6</w:t>
            </w:r>
          </w:p>
        </w:tc>
        <w:tc>
          <w:tcPr>
            <w:tcW w:type="dxa" w:w="3389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8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配置与故障</w:t>
            </w:r>
          </w:p>
        </w:tc>
        <w:tc>
          <w:tcPr>
            <w:tcW w:type="dxa" w:w="338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限流、控制器和2 kg标签匹配；故障码均为0</w:t>
            </w:r>
          </w:p>
        </w:tc>
        <w:tc>
          <w:tcPr>
            <w:tcW w:type="dxa" w:w="338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89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采样质量</w:t>
            </w:r>
          </w:p>
        </w:tc>
        <w:tc>
          <w:tcPr>
            <w:tcW w:type="dxa" w:w="3389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序号连续率99.86%至100%；主动阶段最大间隔36 ms</w:t>
            </w:r>
          </w:p>
        </w:tc>
        <w:tc>
          <w:tcPr>
            <w:tcW w:type="dxa" w:w="3389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8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同步保护</w:t>
            </w:r>
          </w:p>
        </w:tc>
        <w:tc>
          <w:tcPr>
            <w:tcW w:type="dxa" w:w="338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逐次最大同步误差0.245至0.965 mm，低于5 mm阈值</w:t>
            </w:r>
          </w:p>
        </w:tc>
        <w:tc>
          <w:tcPr>
            <w:tcW w:type="dxa" w:w="338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89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温度与电压</w:t>
            </w:r>
          </w:p>
        </w:tc>
        <w:tc>
          <w:tcPr>
            <w:tcW w:type="dxa" w:w="3389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最高温度左轴60 ℃、右轴57 ℃；最低电压23.943 V</w:t>
            </w:r>
          </w:p>
        </w:tc>
        <w:tc>
          <w:tcPr>
            <w:tcW w:type="dxa" w:w="3389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通过</w:t>
            </w:r>
          </w:p>
        </w:tc>
      </w:tr>
    </w:tbl>
    <w:p>
      <w:pPr>
        <w:spacing w:after="120" w:line="300" w:lineRule="auto"/>
        <w:jc w:val="both"/>
      </w:pPr>
      <w:r>
        <w:rPr>
          <w:rFonts w:ascii="Arial" w:hAnsi="Arial" w:eastAsia="Microsoft YaHei"/>
          <w:b/>
          <w:color w:val="000000"/>
          <w:sz w:val="22"/>
        </w:rPr>
        <w:t>采集顺序说明：</w:t>
      </w:r>
      <w:r>
        <w:rPr>
          <w:rFonts w:ascii="Arial" w:hAnsi="Arial" w:eastAsia="Microsoft YaHei"/>
          <w:color w:val="000000"/>
          <w:sz w:val="22"/>
        </w:rPr>
        <w:t>预先生成的随机顺序没有被执行。实际数据按六个条件分组连续采集，每组连续完成5次。所有单次数据有效，但条件与采集时间存在混杂，论文中必须将其列为实验限制。30次运行的平均电池电压变化范围为0.061 V，采集序号与平均电压的Spearman相关系数为-0.930，说明实验期间存在缓慢的电压下降趋势。</w:t>
      </w:r>
    </w:p>
    <w:p>
      <w:pPr>
        <w:pStyle w:val="Heading1"/>
      </w:pPr>
      <w:r>
        <w:t>六种条件的控制性能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169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跟踪RMSE mm</w:t>
            </w:r>
          </w:p>
        </w:tc>
        <w:tc>
          <w:tcPr>
            <w:tcW w:type="dxa" w:w="169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同步RMS mm</w:t>
            </w:r>
          </w:p>
        </w:tc>
        <w:tc>
          <w:tcPr>
            <w:tcW w:type="dxa" w:w="169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最大同步误差 mm</w:t>
            </w:r>
          </w:p>
        </w:tc>
        <w:tc>
          <w:tcPr>
            <w:tcW w:type="dxa" w:w="169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饱和占比 %</w:t>
            </w:r>
          </w:p>
        </w:tc>
        <w:tc>
          <w:tcPr>
            <w:tcW w:type="dxa" w:w="169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有效次数</w:t>
            </w:r>
          </w:p>
        </w:tc>
      </w:tr>
      <w:tr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C2b L1200/R1200</w:t>
            </w:r>
          </w:p>
        </w:tc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0.575 ± 0.007</w:t>
            </w:r>
          </w:p>
        </w:tc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0.114 ± 0.006</w:t>
            </w:r>
          </w:p>
        </w:tc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0.381 ± 0.123</w:t>
            </w:r>
          </w:p>
        </w:tc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21.47 ± 2.07</w:t>
            </w:r>
          </w:p>
        </w:tc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5/5</w:t>
            </w:r>
          </w:p>
        </w:tc>
      </w:tr>
      <w:tr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C2b L800/R1600</w:t>
            </w:r>
          </w:p>
        </w:tc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0.584 ± 0.017</w:t>
            </w:r>
          </w:p>
        </w:tc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0.104 ± 0.006</w:t>
            </w:r>
          </w:p>
        </w:tc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0.358 ± 0.050</w:t>
            </w:r>
          </w:p>
        </w:tc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29.47 ± 2.81</w:t>
            </w:r>
          </w:p>
        </w:tc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5/5</w:t>
            </w:r>
          </w:p>
        </w:tc>
      </w:tr>
      <w:tr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C2b L1600/R800</w:t>
            </w:r>
          </w:p>
        </w:tc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0.524 ± 0.034</w:t>
            </w:r>
          </w:p>
        </w:tc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0.139 ± 0.009</w:t>
            </w:r>
          </w:p>
        </w:tc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0.523 ± 0.248</w:t>
            </w:r>
          </w:p>
        </w:tc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43.20 ± 2.36</w:t>
            </w:r>
          </w:p>
        </w:tc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5/5</w:t>
            </w:r>
          </w:p>
        </w:tc>
      </w:tr>
      <w:tr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C2b-SA L1200/R1200</w:t>
            </w:r>
          </w:p>
        </w:tc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0.564 ± 0.017</w:t>
            </w:r>
          </w:p>
        </w:tc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0.105 ± 0.007</w:t>
            </w:r>
          </w:p>
        </w:tc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0.393 ± 0.098</w:t>
            </w:r>
          </w:p>
        </w:tc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21.69 ± 1.90</w:t>
            </w:r>
          </w:p>
        </w:tc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5/5</w:t>
            </w:r>
          </w:p>
        </w:tc>
      </w:tr>
      <w:tr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C2b-SA L800/R1600</w:t>
            </w:r>
          </w:p>
        </w:tc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0.568 ± 0.032</w:t>
            </w:r>
          </w:p>
        </w:tc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0.101 ± 0.009</w:t>
            </w:r>
          </w:p>
        </w:tc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0.292 ± 0.034</w:t>
            </w:r>
          </w:p>
        </w:tc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24.58 ± 4.41</w:t>
            </w:r>
          </w:p>
        </w:tc>
        <w:tc>
          <w:tcPr>
            <w:tcW w:type="dxa" w:w="1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5/5</w:t>
            </w:r>
          </w:p>
        </w:tc>
      </w:tr>
      <w:tr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C2b-SA L1600/R800</w:t>
            </w:r>
          </w:p>
        </w:tc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0.554 ± 0.024</w:t>
            </w:r>
          </w:p>
        </w:tc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0.085 ± 0.005</w:t>
            </w:r>
          </w:p>
        </w:tc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0.323 ± 0.102</w:t>
            </w:r>
          </w:p>
        </w:tc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36.73 ± 3.04</w:t>
            </w:r>
          </w:p>
        </w:tc>
        <w:tc>
          <w:tcPr>
            <w:tcW w:type="dxa" w:w="1694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5/5</w:t>
            </w:r>
          </w:p>
        </w:tc>
      </w:tr>
    </w:tbl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467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六种条件跟踪与同步性能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rial" w:hAnsi="Arial" w:eastAsia="Microsoft YaHei"/>
          <w:color w:val="000000"/>
          <w:sz w:val="18"/>
        </w:rPr>
        <w:t>图1 六种控制条件的跟踪和同步误差 均值加减标准差</w:t>
      </w:r>
    </w:p>
    <w:p>
      <w:pPr>
        <w:pStyle w:val="Heading1"/>
      </w:pPr>
      <w:r>
        <w:t>SyncAlloc的影响</w:t>
      </w:r>
    </w:p>
    <w:p>
      <w:pPr>
        <w:spacing w:after="120" w:line="300" w:lineRule="auto"/>
        <w:jc w:val="both"/>
      </w:pPr>
      <w:r>
        <w:rPr>
          <w:rFonts w:ascii="Arial" w:hAnsi="Arial" w:eastAsia="Microsoft YaHei"/>
          <w:color w:val="000000"/>
          <w:sz w:val="22"/>
        </w:rPr>
        <w:t>在1600/800条件下，C2b-SyncAlloc将同步RMS从0.139 mm降至0.085 mm，相对下降38.6%；最大同步误差均值从0.523 mm降至0.323 mm，相对下降38.2%；饱和占比从43.20%降至36.73%。同时，跟踪RMSE从0.524 mm增至0.554 mm，增加5.8%。该条件下的主要收益是同步性改善，代价是平均跟踪误差略有增加。</w:t>
      </w:r>
    </w:p>
    <w:p>
      <w:pPr>
        <w:spacing w:after="120" w:line="300" w:lineRule="auto"/>
        <w:jc w:val="both"/>
      </w:pPr>
      <w:r>
        <w:rPr>
          <w:rFonts w:ascii="Arial" w:hAnsi="Arial" w:eastAsia="Microsoft YaHei"/>
          <w:color w:val="000000"/>
          <w:sz w:val="22"/>
        </w:rPr>
        <w:t>在800/1600条件下，SyncAlloc使同步RMS下降3.0%，最大同步误差下降18.4%，饱和占比下降16.6%。在1200/1200对称条件下，同步RMS下降8.3%，但最大同步误差均值增加3.2%，整体差异较小。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467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饱和占比与控制量总变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rial" w:hAnsi="Arial" w:eastAsia="Microsoft YaHei"/>
          <w:color w:val="000000"/>
          <w:sz w:val="18"/>
        </w:rPr>
        <w:t>图2 六种控制条件的饱和占比和控制量总变差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41710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代表运行误差与控制电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71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rial" w:hAnsi="Arial" w:eastAsia="Microsoft YaHei"/>
          <w:color w:val="000000"/>
          <w:sz w:val="18"/>
        </w:rPr>
        <w:t>图3 1600 800条件下代表运行的误差与控制电流</w:t>
      </w:r>
    </w:p>
    <w:p>
      <w:pPr>
        <w:pStyle w:val="Heading1"/>
      </w:pPr>
      <w:r>
        <w:t>不对称方向的影响</w:t>
      </w:r>
    </w:p>
    <w:p>
      <w:pPr>
        <w:spacing w:after="120" w:line="300" w:lineRule="auto"/>
        <w:jc w:val="both"/>
      </w:pPr>
      <w:r>
        <w:rPr>
          <w:rFonts w:ascii="Arial" w:hAnsi="Arial" w:eastAsia="Microsoft YaHei"/>
          <w:color w:val="000000"/>
          <w:sz w:val="22"/>
        </w:rPr>
        <w:t>独立限幅C2b在1600/800条件下的同步RMS为0.139 mm，饱和占比为43.20%，均高于800/1600条件的0.104 mm和29.47%。这说明左右执行器能力互换后，系统响应并不对称，机械方向、载荷传递和电机侧差异会影响饱和与同步误差。SyncAlloc在较困难的1600/800方向将同步RMS降至六个条件中的最低值0.085 mm。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4676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分配缺口与抗饱和状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rial" w:hAnsi="Arial" w:eastAsia="Microsoft YaHei"/>
          <w:color w:val="000000"/>
          <w:sz w:val="18"/>
        </w:rPr>
        <w:t>图4 分配缺口和动态抗饱和状态峰值</w:t>
      </w:r>
    </w:p>
    <w:p>
      <w:pPr>
        <w:pStyle w:val="Heading1"/>
      </w:pPr>
      <w:r>
        <w:t>采集顺序与实验限制</w:t>
      </w:r>
    </w:p>
    <w:p>
      <w:pPr>
        <w:spacing w:after="120" w:line="300" w:lineRule="auto"/>
        <w:jc w:val="both"/>
      </w:pPr>
      <w:r>
        <w:rPr>
          <w:rFonts w:ascii="Arial" w:hAnsi="Arial" w:eastAsia="Microsoft YaHei"/>
          <w:color w:val="000000"/>
          <w:sz w:val="22"/>
        </w:rPr>
        <w:t>30次运行均满足有效性判据，因此数据可以用于论文的描述性比较。由于实际采用条件分组采集，控制条件与实验时间没有通过随机化解耦，电池电压和机构温度的慢变化可能与条件效应混合。论文不应把这些结果表述为严格的因果效应或显著性结论，宜报告均值、标准差、相对变化和该顺序限制。每组仅5次重复，统计推断能力也有限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327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采集顺序中的电压与温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2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rial" w:hAnsi="Arial" w:eastAsia="Microsoft YaHei"/>
          <w:color w:val="000000"/>
          <w:sz w:val="18"/>
        </w:rPr>
        <w:t>图5 实际采集顺序中的平均电池电压和电机最高温度</w:t>
      </w:r>
    </w:p>
    <w:p>
      <w:pPr>
        <w:pStyle w:val="Heading1"/>
      </w:pPr>
      <w:r>
        <w:t>论文可用结果表述</w:t>
      </w:r>
    </w:p>
    <w:p>
      <w:pPr>
        <w:spacing w:after="120" w:line="300" w:lineRule="auto"/>
        <w:jc w:val="both"/>
      </w:pPr>
      <w:r>
        <w:rPr>
          <w:rFonts w:ascii="Arial" w:hAnsi="Arial" w:eastAsia="Microsoft YaHei"/>
          <w:color w:val="000000"/>
          <w:sz w:val="22"/>
        </w:rPr>
        <w:t>在2 kg载荷和10 mm行程下，对C2b与C2b-SyncAlloc在三种左右执行器限幅组合中进行了实物对比，每个条件重复5次。30次运行均无故障并完整到达结束阶段。描述性结果显示，1600/800不对称条件对独立限幅方案的同步性能影响最大，其同步误差RMS为0.139 mm，饱和样本占比为43.20%。加入SyncAlloc后，同步误差RMS降至0.085 mm，最大同步误差均值由0.523 mm降至0.323 mm，饱和样本占比降至36.73%；但跟踪误差RMSE由0.524 mm增至0.554 mm。结果说明同步分配可在较强执行器不对称下改善双轴同步，但可能带来小幅跟踪性能折中。</w:t>
      </w:r>
    </w:p>
    <w:p>
      <w:pPr>
        <w:spacing w:after="120" w:line="300" w:lineRule="auto"/>
        <w:jc w:val="both"/>
      </w:pPr>
      <w:r>
        <w:rPr>
          <w:rFonts w:ascii="Arial" w:hAnsi="Arial" w:eastAsia="Microsoft YaHei"/>
          <w:color w:val="000000"/>
          <w:sz w:val="22"/>
        </w:rPr>
        <w:t>上述结论基于每组5次重复的描述性统计。实际采集按条件分组完成，没有执行预定随机顺序，因此电压和温度随时间的变化可能造成顺序混杂，后续论文讨论应明确这一限制。</w:t>
      </w:r>
    </w:p>
    <w:p>
      <w:pPr>
        <w:pStyle w:val="Heading1"/>
      </w:pPr>
      <w:r>
        <w:t>封档内容与复现</w:t>
      </w:r>
    </w:p>
    <w:p>
      <w:pPr>
        <w:spacing w:after="120" w:line="300" w:lineRule="auto"/>
        <w:jc w:val="both"/>
      </w:pPr>
      <w:r>
        <w:rPr>
          <w:rFonts w:ascii="Arial" w:hAnsi="Arial" w:eastAsia="Microsoft YaHei"/>
          <w:color w:val="000000"/>
          <w:sz w:val="22"/>
        </w:rPr>
        <w:t>封档保留30份原始CSV、30份清洗后的CSV、逐次指标、逐文件质量检查、分组统计、效应对比、实际采集顺序、统计工作簿、五幅论文图、六套正式固件以及数据处理脚本。原始CSV未被覆盖或改写。清洗文件仅去除VOFA历史缓冲区的前置帧，并增加相对时间、平均位置、跟踪误差、同步误差、饱和和分配活动标记。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实验4执行器不对称条件下控制性能正式实验结果</dc:title>
  <dc:subject>实验4数据处理与封档说明</dc:subject>
  <dc:creator/>
  <cp:keywords>实验4 执行器不对称 C2b SyncAlloc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