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双驱龙门论文复现与改进实施方案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404040"/>
          <w:sz w:val="24"/>
        </w:rPr>
        <w:t>面向双 M3508 龙门搬运系统的等效建模 仿真复现与自主创新路线</w:t>
      </w:r>
    </w:p>
    <w:p>
      <w:pPr>
        <w:spacing w:after="160" w:line="283" w:lineRule="auto"/>
      </w:pPr>
      <w:r>
        <w:rPr>
          <w:rFonts w:ascii="Microsoft YaHei" w:hAnsi="Microsoft YaHei" w:eastAsia="Microsoft YaHei"/>
          <w:b w:val="0"/>
          <w:sz w:val="21"/>
        </w:rPr>
        <w:t>本方案面向论文《Adaptive synchronization control of a dual-drive gantry stage based on broad learning neural network considering actuator saturation》的复现与二次研究。核心结论是：现有比赛程序可以作为工程基线，但不是该论文控制器的直接实现；最稳妥的论文路线是先在 MATLAB/Simulink 中复现原论文的等效双驱模型，再把输入从直线电机/理想执行器改写为双 M3508 的电流约束模型，最后围绕负载不对称、摩擦差异和 T 型轨迹加减速提出自己的同步补偿方法。</w:t>
      </w:r>
    </w:p>
    <w:p>
      <w:pPr>
        <w:spacing w:after="200" w:line="283" w:lineRule="auto"/>
      </w:pPr>
      <w:r>
        <w:rPr>
          <w:rFonts w:ascii="Microsoft YaHei" w:hAnsi="Microsoft YaHei" w:eastAsia="Microsoft YaHei"/>
          <w:b w:val="0"/>
          <w:sz w:val="21"/>
        </w:rPr>
        <w:t>文档同时给出参数来源、算法边界、代码映射、仿真工况、评价指标、投稿时间表和常见风险。由于车辆已经拆解，后续结果必须表述为“基于等效模型的仿真验证”，不能把仿真数据写成拆车后的实车实验数据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一 研究对象与复现边界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08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本方案采用的定义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目标论文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Adaptive synchronization control of a dual-drive gantry stage based on broad learning neural network considering actuator saturation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论文编号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DOI：10.1007/s11071-026-12622-5；PDF 文件为 s11071-026-12622-5.pdf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原论文方法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横梁平动与转角耦合模型 + RLS 在线辨识 + BLNN 未建模扰动补偿 + 鲁棒项 + 执行器饱和补偿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用户系统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比赛型双驱龙门搬运机构；下位机控制左右 M3508；CAN1 电机通信，CAN2 上下位机通信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当前代码基线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双侧独立位置环/速度环级联 PID；chassis_calculate() 通过左右相反位置目标维持横梁运动；spd_test() 为双侧反向速度控制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复现形式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MATLAB/Simulink 等效模型为主，可用 Python 做参数搜索和数据分析；不要求恢复整车硬件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结论边界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仿真结果用于验证控制策略的相对改进，不能直接等同于实车性能或比赛成绩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二 对现有代码的核对结论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已经核对下位机 Crane-down 工程的关键文件。现有程序具有双驱同步控制的工程基础，但与目标论文之间存在明确的算法差异。论文写作时应把“现有程序”作为 Baseline，把“仿真复现控制器”作为 Reproduction，把“加入电流限幅与负载不对称补偿后的控制器”作为 Proposed Method。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文件或函数</w:t>
            </w:r>
          </w:p>
        </w:tc>
        <w:tc>
          <w:tcPr>
            <w:tcW w:type="dxa" w:w="540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实际功能</w:t>
            </w:r>
          </w:p>
        </w:tc>
        <w:tc>
          <w:tcPr>
            <w:tcW w:type="dxa" w:w="2232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是否等同于论文方法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Task/motor.c: motor_init()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初始化左右速度 PID、位置 PID，以及初始编码器位置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否；属于基础级联 PID 初始化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Task/motor.c: chassis_calculate()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根据 add3 生成左右相反的目标累计编码器位置；计算剩余距离和行程距离；动态改变位置环 max_out；再调用两侧位置环和速度环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否；有同步基础和限幅，但不是交叉耦合补偿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Task/motor.c: spd_test()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给左右 M3508 施加方向相反的速度给定，并各自调用速度 PID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否；没有公共平动误差/同步误差耦合项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Task/motor_task.c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 ms 任务循环；按 SPD_CONTROL 或 ANGLE_CONTROL 调用控制函数并发送 CAN 电流指令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否；是执行框架，不含 RLS/BLNN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IMU/components/controller/pid.c: PID_calc()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离散 PID，含积分限幅和输出限幅；误差为 set - ref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否；不是论文的误差面鲁棒控制器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CAN-control/CAN_receive.c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读取编码器、转速、给定电流和温度；完成 8192 周期展开和减速器输出换算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可作为参数和反馈接口来源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三 原论文控制器的复现拆解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原论文使用横梁质心位移与横梁转角作为广义坐标。设左右驱动点位移为 y1、y2，驱动点间距为 Le，则：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q = [yG, alpha]^T</w:t>
        <w:br/>
      </w:r>
      <w:r>
        <w:rPr>
          <w:rFonts w:ascii="Consolas" w:hAnsi="Consolas" w:eastAsia="Consolas"/>
          <w:b w:val="0"/>
          <w:sz w:val="17"/>
        </w:rPr>
        <w:t>yG = (y1 + y2) / 2</w:t>
        <w:br/>
      </w:r>
      <w:r>
        <w:rPr>
          <w:rFonts w:ascii="Consolas" w:hAnsi="Consolas" w:eastAsia="Consolas"/>
          <w:b w:val="0"/>
          <w:sz w:val="17"/>
        </w:rPr>
        <w:t>alpha = (y2 - y1) / Le</w:t>
        <w:br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等效动力学可以写成：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Mq(q) * q_ddot + Bq(q_dot) * q_dot + Aq * Sf(q_dot) + Kq * q</w:t>
        <w:br/>
      </w:r>
      <w:r>
        <w:rPr>
          <w:rFonts w:ascii="Consolas" w:hAnsi="Consolas" w:eastAsia="Consolas"/>
          <w:b w:val="0"/>
          <w:sz w:val="17"/>
        </w:rPr>
        <w:t xml:space="preserve">    = sat(v) + d</w:t>
        <w:br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其中 Mq、Bq、Aq、Kq 分别代表等效惯量、阻尼、摩擦/非线性项和刚度或约束项；sat(v) 表示执行器饱和后的实际输入，d 表示未建模扰动。复现阶段不必先追求与原论文全部数值完全一致，而应优先复现其变量结构、饱和机制、对比组和性能趋势。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3.1 误差面与控制输入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e = q - qd</w:t>
        <w:br/>
      </w:r>
      <w:r>
        <w:rPr>
          <w:rFonts w:ascii="Consolas" w:hAnsi="Consolas" w:eastAsia="Consolas"/>
          <w:b w:val="0"/>
          <w:sz w:val="17"/>
        </w:rPr>
        <w:t>e_dot = q_dot - qd_dot</w:t>
        <w:br/>
      </w:r>
      <w:r>
        <w:rPr>
          <w:rFonts w:ascii="Consolas" w:hAnsi="Consolas" w:eastAsia="Consolas"/>
          <w:b w:val="0"/>
          <w:sz w:val="17"/>
        </w:rPr>
        <w:t>sigma = e_dot + Lambda * e</w:t>
        <w:br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论文将控制输入拆成名义模型项、神经网络补偿项、鲁棒反馈项和饱和补偿项：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v = va + vnn + vr + vXi1</w:t>
        <w:br/>
      </w:r>
      <w:r>
        <w:rPr>
          <w:rFonts w:ascii="Consolas" w:hAnsi="Consolas" w:eastAsia="Consolas"/>
          <w:b w:val="0"/>
          <w:sz w:val="17"/>
        </w:rPr>
        <w:t>va  = Bhat*q_dot + Khat*q + Ahat*Sf(q_dot) + Mhat*qddot_d</w:t>
        <w:br/>
      </w:r>
      <w:r>
        <w:rPr>
          <w:rFonts w:ascii="Consolas" w:hAnsi="Consolas" w:eastAsia="Consolas"/>
          <w:b w:val="0"/>
          <w:sz w:val="17"/>
        </w:rPr>
        <w:t>vnn = - What_N^T * S_N</w:t>
        <w:br/>
      </w:r>
      <w:r>
        <w:rPr>
          <w:rFonts w:ascii="Consolas" w:hAnsi="Consolas" w:eastAsia="Consolas"/>
          <w:b w:val="0"/>
          <w:sz w:val="17"/>
        </w:rPr>
        <w:t>vr  = -K1*sigma - K2*sgn(sigma) - Mhat*Gamma*e_dot</w:t>
        <w:br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工程实现时用 sat(v) 产生实际执行器输入，再计算饱和残差 Delta_v = sat(v) - v。饱和补偿器的具体公式必须以 PDF 正文和公式编号为准，不能仅根据文本提取结果抄写；实现时建议将其单独封装为 sat_compensation()，便于开关和消融对比。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3.2 RLS 在线参数辨识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RLS 的任务不是直接替代控制器，而是在线估计等效质量、惯量、阻尼和摩擦相关参数，减少固定模型参数偏差。第一版复现建议只估计低维参数向量 theta，例如 [mG, Jalpha, bG, balpha]，避免一开始把所有非线性项都塞进回归器。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theta_hat(k) = theta_hat(k-1) + K(k) * (y(k) - phi(k)^T*theta_hat(k-1))</w:t>
        <w:br/>
      </w:r>
      <w:r>
        <w:rPr>
          <w:rFonts w:ascii="Consolas" w:hAnsi="Consolas" w:eastAsia="Consolas"/>
          <w:b w:val="0"/>
          <w:sz w:val="17"/>
        </w:rPr>
        <w:t>K(k) = P(k-1)*phi(k) / (lambda + phi(k)^T*P(k-1)*phi(k))</w:t>
        <w:br/>
      </w:r>
      <w:r>
        <w:rPr>
          <w:rFonts w:ascii="Consolas" w:hAnsi="Consolas" w:eastAsia="Consolas"/>
          <w:b w:val="0"/>
          <w:sz w:val="17"/>
        </w:rPr>
        <w:t>P(k) = (I - K(k)*phi(k)^T)*P(k-1) / lambda</w:t>
        <w:br/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回归向量 phi 应由可测的 q、q_dot、q_ddot 或其滤波值构成；不要直接用理想导数，否则会掩盖噪声问题。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设置参数上下界和协方差上界；出现 NaN、矩阵病态或参数跳变时执行投影、限速或协方差重置。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论文中应报告遗忘因子 lambda、初始 P、参数上下界、采样时间和滤波器，而不是只画参数曲线。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3.3 BLNN 的最小可复现版本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BLNN 的复现重点是“宽度学习网络作为在线扰动估计器”，而不是堆叠一个很深的离线神经网络。建议先使用固定随机映射节点和少量增强节点，将输入设置为 [e, e_dot, q_dot, sat(v)-v]，输出为二维等效扰动力。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x = [e_yG, e_alpha, edot_yG, edot_alpha, yG_dot, alpha_dot, Delta_v]^T</w:t>
        <w:br/>
      </w:r>
      <w:r>
        <w:rPr>
          <w:rFonts w:ascii="Consolas" w:hAnsi="Consolas" w:eastAsia="Consolas"/>
          <w:b w:val="0"/>
          <w:sz w:val="17"/>
        </w:rPr>
        <w:t>Z = activation(Wz*x + bz)</w:t>
        <w:br/>
      </w:r>
      <w:r>
        <w:rPr>
          <w:rFonts w:ascii="Consolas" w:hAnsi="Consolas" w:eastAsia="Consolas"/>
          <w:b w:val="0"/>
          <w:sz w:val="17"/>
        </w:rPr>
        <w:t>H = activation(Wh*[Z, x] + bh)</w:t>
        <w:br/>
      </w:r>
      <w:r>
        <w:rPr>
          <w:rFonts w:ascii="Consolas" w:hAnsi="Consolas" w:eastAsia="Consolas"/>
          <w:b w:val="0"/>
          <w:sz w:val="17"/>
        </w:rPr>
        <w:t>d_hat = What^T * [Z, H]</w:t>
        <w:br/>
      </w:r>
      <w:r>
        <w:rPr>
          <w:rFonts w:ascii="Consolas" w:hAnsi="Consolas" w:eastAsia="Consolas"/>
          <w:b w:val="0"/>
          <w:sz w:val="17"/>
        </w:rPr>
        <w:t>What_dot = GammaW * (sigma * S_N - etaW * What)</w:t>
        <w:br/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第一版只使用 tanh 或 sigmoid，节点数量控制在 10-30 个；先确认闭环稳定和运行速度，再增加节点。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使用权值泄漏项 etaW*What 防止权值无界；对权值和网络输出同时限幅。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必须做“无 BLNN、RBF 替代 BLNN、完整 BLNN”三组消融，证明性能改善不是来自更高控制增益。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四 将原论文改写为双 M3508 等效模型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论文原对象与比赛机构的执行器类型不同。改写时不要把 M3508 直接写成“直线电机”，而应建立电流到车轮线性驱动力的转换链。建议采用以下三级模型：电机电流近似转矩，减速器和齿轮齿条把转矩变成驱动力，左右驱动力共同决定质心平动和横梁转角。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tau_i = Kt * i_i * N * eta_g</w:t>
        <w:br/>
      </w:r>
      <w:r>
        <w:rPr>
          <w:rFonts w:ascii="Consolas" w:hAnsi="Consolas" w:eastAsia="Consolas"/>
          <w:b w:val="0"/>
          <w:sz w:val="17"/>
        </w:rPr>
        <w:t>F_i   = tau_i / r_p</w:t>
        <w:br/>
      </w:r>
      <w:r>
        <w:rPr>
          <w:rFonts w:ascii="Consolas" w:hAnsi="Consolas" w:eastAsia="Consolas"/>
          <w:b w:val="0"/>
          <w:sz w:val="17"/>
        </w:rPr>
        <w:t>F_G   = F_L + F_R</w:t>
        <w:br/>
      </w:r>
      <w:r>
        <w:rPr>
          <w:rFonts w:ascii="Consolas" w:hAnsi="Consolas" w:eastAsia="Consolas"/>
          <w:b w:val="0"/>
          <w:sz w:val="17"/>
        </w:rPr>
        <w:t>T_alpha = (F_R - F_L) * Le / 2</w:t>
        <w:br/>
      </w:r>
      <w:r>
        <w:rPr>
          <w:rFonts w:ascii="Consolas" w:hAnsi="Consolas" w:eastAsia="Consolas"/>
          <w:b w:val="0"/>
          <w:sz w:val="17"/>
        </w:rPr>
        <w:t>mG*yG_ddot = F_G - F_fG + dG</w:t>
        <w:br/>
      </w:r>
      <w:r>
        <w:rPr>
          <w:rFonts w:ascii="Consolas" w:hAnsi="Consolas" w:eastAsia="Consolas"/>
          <w:b w:val="0"/>
          <w:sz w:val="17"/>
        </w:rPr>
        <w:t>Jalpha*alpha_ddot = T_alpha - Balpha*alpha_dot - Kalpha*alpha + dalpha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</w:t>
            </w:r>
          </w:p>
        </w:tc>
        <w:tc>
          <w:tcPr>
            <w:tcW w:type="dxa" w:w="3096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建议初始来源</w:t>
            </w:r>
          </w:p>
        </w:tc>
        <w:tc>
          <w:tcPr>
            <w:tcW w:type="dxa" w:w="504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获取或辨识方法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Kt、N、r_p、eta_g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M3508/减速器资料、齿轮齿条 CAD 或测量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优先使用厂家和设计资料；不确定参数做灵敏度分析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mG、Jalpha、Le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机械 BOM、CAD、装配尺寸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CAD 质量属性或等效摆锤/加速响应辨识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bL、bR、FcL、FcR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假设初值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用空载/负载速度响应拟合；仿真中加入左右 10%-30% 差异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电流上限 Imax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程序中的电流输出范围和驱动器限制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核对 CAN 指令范围、实测保护阈值和电池电压工况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编码器分辨率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CAN_receive.c 的 8192 周期展开和减速换算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直接来自程序；仿真按量化和采样周期加入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4.1 同步误差定义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至少同时报告公共位移误差和同步误差。仅报告平均位置误差会掩盖横梁偏斜。推荐定义：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eG     = yG - yG_d</w:t>
        <w:br/>
      </w:r>
      <w:r>
        <w:rPr>
          <w:rFonts w:ascii="Consolas" w:hAnsi="Consolas" w:eastAsia="Consolas"/>
          <w:b w:val="0"/>
          <w:sz w:val="17"/>
        </w:rPr>
        <w:t>esync  = yR - yL</w:t>
        <w:br/>
      </w:r>
      <w:r>
        <w:rPr>
          <w:rFonts w:ascii="Consolas" w:hAnsi="Consolas" w:eastAsia="Consolas"/>
          <w:b w:val="0"/>
          <w:sz w:val="17"/>
        </w:rPr>
        <w:t>ealpha = alpha - alpha_d = (yR - yL)/Le</w:t>
        <w:br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若希望与现有编码器直接对应，可先在离散域计算左右输出轴位移，再将其转换为 yL、yR；角度误差 esync/Le 与论文中的 alpha 误差保持一致。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5"/>
        </w:rPr>
        <w:t>4.2 电流限幅与负载不对称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建议把“电流限幅下的同步保持”作为自己的主问题。左右电流指令由平动分量和同步补偿分量组成：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uG = controller_for_yG(eG, eG_dot)</w:t>
        <w:br/>
      </w:r>
      <w:r>
        <w:rPr>
          <w:rFonts w:ascii="Consolas" w:hAnsi="Consolas" w:eastAsia="Consolas"/>
          <w:b w:val="0"/>
          <w:sz w:val="17"/>
        </w:rPr>
        <w:t>uS = controller_for_sync(ealpha, ealpha_dot)</w:t>
        <w:br/>
      </w:r>
      <w:r>
        <w:rPr>
          <w:rFonts w:ascii="Consolas" w:hAnsi="Consolas" w:eastAsia="Consolas"/>
          <w:b w:val="0"/>
          <w:sz w:val="17"/>
        </w:rPr>
        <w:t>iL_cmd = sat_I( uG/2 - uS/Le + i_bias )</w:t>
        <w:br/>
      </w:r>
      <w:r>
        <w:rPr>
          <w:rFonts w:ascii="Consolas" w:hAnsi="Consolas" w:eastAsia="Consolas"/>
          <w:b w:val="0"/>
          <w:sz w:val="17"/>
        </w:rPr>
        <w:t>iR_cmd = sat_I( uG/2 + uS/Le - i_bias )</w:t>
        <w:br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其中 i_bias 是用于补偿左右传动效率或摩擦差异的等效偏置，可由 RLS 估计，也可由低速稳态数据标定。限幅协调器应优先保证同步误差不过快增长，再在剩余能力中完成质心跟踪。这个优先级是与现有“左右独立 PID”最有区别的地方。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五 仿真软件和工程实现选择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32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672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MATLAB/Simulink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主模型、控制器、求解器、批量仿真、论文图表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首选；使用离散采样模块，固定步长与下位机任务周期一致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Simscape 可选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验证电机、齿轮齿条、摩擦等物理关系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只在基础二维模型稳定后使用，避免一开始模型过重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Python NumPy/SciPy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PSO 参数搜索、Monte Carlo、统计和复现实验脚本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可作为辅助，不建议同时把主模型拆成两套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Git + MATLAB Data Store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版本、参数和实验记录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每个工况保存 JSON/MAT 参数、随机种子和结果指标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推荐主线为 MATLAB/Simulink。原因是论文中的连续动力学、离散控制、饱和环节、状态记录和参数扫描可以在同一个工程中完成，后续也方便导出论文所需的跟踪曲线、同步误差、控制输入和统计表。Python 可用于独立检查，但不要让论文中的同一结果同时依赖两个未经校准的模型。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六 从零到一的实施步骤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整理输入资料：论文 PDF、现有 motor.c、motor_task.c、pid.c、CAN_receive.c、机械尺寸/BOM、比赛规则和已有日志。建立 data_provenance.xlsx 或 CSV，给每个参数标注“程序、资料、假设、待辨识”。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建立最小双积分模型：先忽略摩擦、饱和和网络，仅验证 yG、alpha 两个自由度以及左右驱动力到两个坐标的变换。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加入 M3508 输入链：电流 -&gt; 转矩 -&gt; 齿轮齿条驱动力；加入减速比、齿轮半径、左右方向符号和电流上下限。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复现 T 型轨迹：至少实现加速、匀速、减速三段；保存位置、速度、加速度和电流参考。必要时再加入 S 曲线作为扩展工况。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复现 Baseline：按现有程序实现两侧独立级联 PID；确认在对称负载、无噪声条件下能够完成轨迹。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复现论文控制器：增加 q=[yG,alpha]、误差面 sigma、RLS、BLNN、鲁棒项和饱和补偿，每增加一个模块都保留开关。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建立 Proposed Method：在论文控制器上加入左右负载不对称、摩擦差异、输入优先级和同步误差电流分配。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参数整定：先手动保证基线稳定，再用 PSO 优化有限参数集合。目标函数至少包含同步误差、跟踪误差、电流峰值和完成时间，避免只优化单一 RMSE。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批量验证：对负载、摩擦、Imax、采样周期、传感器噪声和单侧能力下降做 Monte Carlo 或网格扫描。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生成论文结果：统一坐标、采样率、初始条件和电流上限，导出曲线、箱线图、表格和参数表，保留随机种子和脚本。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七 建议的 Simulink 模型结构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944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子系统</w:t>
            </w:r>
          </w:p>
        </w:tc>
        <w:tc>
          <w:tcPr>
            <w:tcW w:type="dxa" w:w="288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592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168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实现要点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Trajectory Generator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目标位移、T 型参数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yG_d、yG_dot_d、yG_ddot_d、alpha_d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采用离散时间轨迹，边界处保证速度连续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Coordinate Transform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yL、yR、速度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yG、alpha、导数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统一左右正方向；单元测试 yL=yR 时 alpha=0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Baseline PID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各侧位置/速度误差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iL、iR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 motor.c 的误差定义和限幅一致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RLS Estimator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q、q_dot、输入、加速度滤波值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theta_hat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投影、遗忘因子、协方差限幅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BLNN Compensator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误差面和饱和残差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d_hat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固定随机节点 + 在线输出权值更新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Saturation Coordinator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理想 iL/iR、Imax、esync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sat(iL)、sat(iR)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同步优先；记录饱和标志和饱和残差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实际 iL、iR、扰动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yL、yR、电流/速度反馈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摩擦、负载差、量化、采样、延迟作为可配置项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Metrics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所有状态和指令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RMSE、峰值、调节时间、能耗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按统一时间窗口计算，不只看图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八 论文对比实验矩阵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6264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控制器</w:t>
            </w:r>
          </w:p>
        </w:tc>
        <w:tc>
          <w:tcPr>
            <w:tcW w:type="dxa" w:w="3384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C0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左右独立级联 PID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现有程序基线，说明独立控制在负载对称时的能力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C1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PID + 传统同步误差补偿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隔离交叉耦合/同步误差通道的作用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C2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RLS + BLNN + 饱和补偿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复现原论文核心思想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C3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C2 去掉 RLS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验证在线参数辨识作用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C4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C2 去掉 BLNN 或改用 RBF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验证网络结构作用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C5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 Proposed：C2 + 负载不对称估计 + 同步优先限幅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论文主结果，体现自己的问题和改进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工况</w:t>
            </w:r>
          </w:p>
        </w:tc>
        <w:tc>
          <w:tcPr>
            <w:tcW w:type="dxa" w:w="468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参数变化</w:t>
            </w:r>
          </w:p>
        </w:tc>
        <w:tc>
          <w:tcPr>
            <w:tcW w:type="dxa" w:w="396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必须记录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Nominal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左右同参数、无噪声、Imax 较大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跟踪误差和同步误差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Load mismatch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右侧质量或摩擦增加 10%、20%、30%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alpha 峰值、alpha RMSE、两侧电流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Current saturation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Imax 逐级降低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饱和比例、完成时间、同步保持能力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 trajectory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加速/匀速/减速切换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切换瞬间误差、峰值电流、调节时间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Sensor noise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编码器噪声、速度估计噪声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稳态抖动、控制量高频成分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One-side degradation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一侧 Kt 或可用电流下降 10%-30%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容错趋势和安全边界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九 自己可以主张的创新点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下面的表述是“可研究的创新假设”，不能在未完成对比和理论分析前直接写成已经证明的原创结论。最终论文应根据实验结果缩减为 2-3 个最有证据的贡献。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612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可写贡献</w:t>
            </w:r>
          </w:p>
        </w:tc>
        <w:tc>
          <w:tcPr>
            <w:tcW w:type="dxa" w:w="2952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证据要求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主创新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面向双 M3508 龙门机构，提出电流受限和左右负载不对称条件下的同步优先控制分配方法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 C0-C4 在相同 Imax、负载差和轨迹下比较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方法改进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 RLS 在线估计等效负载/摩擦偏置，并将估计结果用于左右驱动力补偿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参数收敛曲线、负载变化前后同步指标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智能方法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用轻量 BLNN 估计未建模摩擦和饱和残差，而不是把 AI 当作独立黑箱控制器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消融、节点数、计算量、噪声鲁棒性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工程贡献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把比赛程序的 T 型轨迹、M3508 电流接口和编码器量化纳入统一等效仿真框架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代码映射表、参数来源表、离散周期说明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安全分析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给出同步误差容限与可用电流上限之间的关系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扫描 Imax 和负载差，绘制安全边界或性能退化曲线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 评价指标与结果写法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RMSE_G = sqrt(mean((yG - yG_d)^2))</w:t>
        <w:br/>
      </w:r>
      <w:r>
        <w:rPr>
          <w:rFonts w:ascii="Consolas" w:hAnsi="Consolas" w:eastAsia="Consolas"/>
          <w:b w:val="0"/>
          <w:sz w:val="17"/>
        </w:rPr>
        <w:t>RMSE_sync = sqrt(mean((yR - yL)^2))</w:t>
        <w:br/>
      </w:r>
      <w:r>
        <w:rPr>
          <w:rFonts w:ascii="Consolas" w:hAnsi="Consolas" w:eastAsia="Consolas"/>
          <w:b w:val="0"/>
          <w:sz w:val="17"/>
        </w:rPr>
        <w:t>E_peak = max(abs(yR - yL))</w:t>
        <w:br/>
      </w:r>
      <w:r>
        <w:rPr>
          <w:rFonts w:ascii="Consolas" w:hAnsi="Consolas" w:eastAsia="Consolas"/>
          <w:b w:val="0"/>
          <w:sz w:val="17"/>
        </w:rPr>
        <w:t>T_s = first time after which error remains within tolerance</w:t>
        <w:br/>
      </w:r>
      <w:r>
        <w:rPr>
          <w:rFonts w:ascii="Consolas" w:hAnsi="Consolas" w:eastAsia="Consolas"/>
          <w:b w:val="0"/>
          <w:sz w:val="17"/>
        </w:rPr>
        <w:t>I_rms = sqrt(mean(iL^2 + iR^2))</w:t>
        <w:br/>
      </w:r>
      <w:r>
        <w:rPr>
          <w:rFonts w:ascii="Consolas" w:hAnsi="Consolas" w:eastAsia="Consolas"/>
          <w:b w:val="0"/>
          <w:sz w:val="17"/>
        </w:rPr>
        <w:t>E_sat = percentage of samples with abs(i_cmd) &gt;= Imax</w:t>
        <w:br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论文中至少需要给出：位置跟踪曲线、同步误差曲线、左右电流曲线、饱和标志或饱和比例、参数估计曲线、不同负载差下的指标表。结果表不要只报告“误差下降百分比”，应同时给出绝对数值、工况、采样时间、仿真时长和重复次数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建议使用 20-50 个随机工况重复仿真计算均值和标准差。若只做单次曲线，应明确写“代表性仿真”，不能使用“统计显著改善”等实验统计语言。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十一 参数来源和学术诚信边界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参数类别</w:t>
            </w:r>
          </w:p>
        </w:tc>
        <w:tc>
          <w:tcPr>
            <w:tcW w:type="dxa" w:w="5112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可接受写法</w:t>
            </w:r>
          </w:p>
        </w:tc>
        <w:tc>
          <w:tcPr>
            <w:tcW w:type="dxa" w:w="3528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不可接受写法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程序参数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“由 motor.c、pid.c 和 CAN_receive.c 读取或换算得到”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把程序限幅说成已经测得的电机实际额定性能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机械资料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“由 CAD/BOM/器件手册确定；若缺失则列为待辨识”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没有资料时直接声称为实测参数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假设参数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“为构造等效模型，取 xx；并通过灵敏度分析验证结论稳健性”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把假设值写成现场测量值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仿真结果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“在给定模型和工况下，所提方法相对基线改善”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写成“实车实验表明”或“比赛现场验证”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文献算法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明确标注原论文的 RLS、BLNN、鲁棒项和饱和补偿来源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只改变量名后宣称为完全原创算法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建议在论文讨论部分主动写明：本文没有进行拆车后的实车实验；仿真模型是根据程序接口、机械资料和合理假设建立的等效模型；参数来源被逐项标注；仿真结果不能直接等同于实车性能；后续工作是重新装车后进行闭环数据采集和对照验证。这个限制不会自动导致论文不能投稿，但必须用充分的模型说明、独立工况和消融实验补足可信度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十二 代码和模型目录建议</w:t>
      </w:r>
    </w:p>
    <w:p>
      <w:pPr>
        <w:spacing w:after="120" w:line="240" w:lineRule="auto"/>
        <w:ind w:left="317" w:right="317"/>
      </w:pPr>
      <w:r>
        <w:rPr>
          <w:rFonts w:ascii="Consolas" w:hAnsi="Consolas" w:eastAsia="Consolas"/>
          <w:b w:val="0"/>
          <w:sz w:val="17"/>
        </w:rPr>
        <w:t>gantry_reproduction/</w:t>
        <w:br/>
      </w:r>
      <w:r>
        <w:rPr>
          <w:rFonts w:ascii="Consolas" w:hAnsi="Consolas" w:eastAsia="Consolas"/>
          <w:b w:val="0"/>
          <w:sz w:val="17"/>
        </w:rPr>
        <w:t xml:space="preserve">  paper_model/</w:t>
        <w:br/>
      </w:r>
      <w:r>
        <w:rPr>
          <w:rFonts w:ascii="Consolas" w:hAnsi="Consolas" w:eastAsia="Consolas"/>
          <w:b w:val="0"/>
          <w:sz w:val="17"/>
        </w:rPr>
        <w:t xml:space="preserve">    plant_dual_drive.m</w:t>
        <w:br/>
      </w:r>
      <w:r>
        <w:rPr>
          <w:rFonts w:ascii="Consolas" w:hAnsi="Consolas" w:eastAsia="Consolas"/>
          <w:b w:val="0"/>
          <w:sz w:val="17"/>
        </w:rPr>
        <w:t xml:space="preserve">    controller_rls_blnn.m</w:t>
        <w:br/>
      </w:r>
      <w:r>
        <w:rPr>
          <w:rFonts w:ascii="Consolas" w:hAnsi="Consolas" w:eastAsia="Consolas"/>
          <w:b w:val="0"/>
          <w:sz w:val="17"/>
        </w:rPr>
        <w:t xml:space="preserve">    saturation_compensator.m</w:t>
        <w:br/>
      </w:r>
      <w:r>
        <w:rPr>
          <w:rFonts w:ascii="Consolas" w:hAnsi="Consolas" w:eastAsia="Consolas"/>
          <w:b w:val="0"/>
          <w:sz w:val="17"/>
        </w:rPr>
        <w:t xml:space="preserve">  m3508_adapter/</w:t>
        <w:br/>
      </w:r>
      <w:r>
        <w:rPr>
          <w:rFonts w:ascii="Consolas" w:hAnsi="Consolas" w:eastAsia="Consolas"/>
          <w:b w:val="0"/>
          <w:sz w:val="17"/>
        </w:rPr>
        <w:t xml:space="preserve">    current_to_force.m</w:t>
        <w:br/>
      </w:r>
      <w:r>
        <w:rPr>
          <w:rFonts w:ascii="Consolas" w:hAnsi="Consolas" w:eastAsia="Consolas"/>
          <w:b w:val="0"/>
          <w:sz w:val="17"/>
        </w:rPr>
        <w:t xml:space="preserve">    encoder_quantization.m</w:t>
        <w:br/>
      </w:r>
      <w:r>
        <w:rPr>
          <w:rFonts w:ascii="Consolas" w:hAnsi="Consolas" w:eastAsia="Consolas"/>
          <w:b w:val="0"/>
          <w:sz w:val="17"/>
        </w:rPr>
        <w:t xml:space="preserve">    motor_parameter_table.m</w:t>
        <w:br/>
      </w:r>
      <w:r>
        <w:rPr>
          <w:rFonts w:ascii="Consolas" w:hAnsi="Consolas" w:eastAsia="Consolas"/>
          <w:b w:val="0"/>
          <w:sz w:val="17"/>
        </w:rPr>
        <w:t xml:space="preserve">  baseline/</w:t>
        <w:br/>
      </w:r>
      <w:r>
        <w:rPr>
          <w:rFonts w:ascii="Consolas" w:hAnsi="Consolas" w:eastAsia="Consolas"/>
          <w:b w:val="0"/>
          <w:sz w:val="17"/>
        </w:rPr>
        <w:t xml:space="preserve">    cascaded_pid.m</w:t>
        <w:br/>
      </w:r>
      <w:r>
        <w:rPr>
          <w:rFonts w:ascii="Consolas" w:hAnsi="Consolas" w:eastAsia="Consolas"/>
          <w:b w:val="0"/>
          <w:sz w:val="17"/>
        </w:rPr>
        <w:t xml:space="preserve">    sync_error_compensation.m</w:t>
        <w:br/>
      </w:r>
      <w:r>
        <w:rPr>
          <w:rFonts w:ascii="Consolas" w:hAnsi="Consolas" w:eastAsia="Consolas"/>
          <w:b w:val="0"/>
          <w:sz w:val="17"/>
        </w:rPr>
        <w:t xml:space="preserve">  experiments/</w:t>
        <w:br/>
      </w:r>
      <w:r>
        <w:rPr>
          <w:rFonts w:ascii="Consolas" w:hAnsi="Consolas" w:eastAsia="Consolas"/>
          <w:b w:val="0"/>
          <w:sz w:val="17"/>
        </w:rPr>
        <w:t xml:space="preserve">    run_nominal.m</w:t>
        <w:br/>
      </w:r>
      <w:r>
        <w:rPr>
          <w:rFonts w:ascii="Consolas" w:hAnsi="Consolas" w:eastAsia="Consolas"/>
          <w:b w:val="0"/>
          <w:sz w:val="17"/>
        </w:rPr>
        <w:t xml:space="preserve">    run_load_mismatch.m</w:t>
        <w:br/>
      </w:r>
      <w:r>
        <w:rPr>
          <w:rFonts w:ascii="Consolas" w:hAnsi="Consolas" w:eastAsia="Consolas"/>
          <w:b w:val="0"/>
          <w:sz w:val="17"/>
        </w:rPr>
        <w:t xml:space="preserve">    run_current_limit.m</w:t>
        <w:br/>
      </w:r>
      <w:r>
        <w:rPr>
          <w:rFonts w:ascii="Consolas" w:hAnsi="Consolas" w:eastAsia="Consolas"/>
          <w:b w:val="0"/>
          <w:sz w:val="17"/>
        </w:rPr>
        <w:t xml:space="preserve">    run_monte_carlo.m</w:t>
        <w:br/>
      </w:r>
      <w:r>
        <w:rPr>
          <w:rFonts w:ascii="Consolas" w:hAnsi="Consolas" w:eastAsia="Consolas"/>
          <w:b w:val="0"/>
          <w:sz w:val="17"/>
        </w:rPr>
        <w:t xml:space="preserve">  optimization/</w:t>
        <w:br/>
      </w:r>
      <w:r>
        <w:rPr>
          <w:rFonts w:ascii="Consolas" w:hAnsi="Consolas" w:eastAsia="Consolas"/>
          <w:b w:val="0"/>
          <w:sz w:val="17"/>
        </w:rPr>
        <w:t xml:space="preserve">    pso_tune.m</w:t>
        <w:br/>
      </w:r>
      <w:r>
        <w:rPr>
          <w:rFonts w:ascii="Consolas" w:hAnsi="Consolas" w:eastAsia="Consolas"/>
          <w:b w:val="0"/>
          <w:sz w:val="17"/>
        </w:rPr>
        <w:t xml:space="preserve">    objective_metrics.m</w:t>
        <w:br/>
      </w:r>
      <w:r>
        <w:rPr>
          <w:rFonts w:ascii="Consolas" w:hAnsi="Consolas" w:eastAsia="Consolas"/>
          <w:b w:val="0"/>
          <w:sz w:val="17"/>
        </w:rPr>
        <w:t xml:space="preserve">  results/</w:t>
        <w:br/>
      </w:r>
      <w:r>
        <w:rPr>
          <w:rFonts w:ascii="Consolas" w:hAnsi="Consolas" w:eastAsia="Consolas"/>
          <w:b w:val="0"/>
          <w:sz w:val="17"/>
        </w:rPr>
        <w:t xml:space="preserve">    figures/</w:t>
        <w:br/>
      </w:r>
      <w:r>
        <w:rPr>
          <w:rFonts w:ascii="Consolas" w:hAnsi="Consolas" w:eastAsia="Consolas"/>
          <w:b w:val="0"/>
          <w:sz w:val="17"/>
        </w:rPr>
        <w:t xml:space="preserve">    tables/</w:t>
        <w:br/>
      </w:r>
      <w:r>
        <w:rPr>
          <w:rFonts w:ascii="Consolas" w:hAnsi="Consolas" w:eastAsia="Consolas"/>
          <w:b w:val="0"/>
          <w:sz w:val="17"/>
        </w:rPr>
        <w:t xml:space="preserve">    metadata/</w:t>
        <w:br/>
      </w:r>
      <w:r>
        <w:rPr>
          <w:rFonts w:ascii="Consolas" w:hAnsi="Consolas" w:eastAsia="Consolas"/>
          <w:b w:val="0"/>
          <w:sz w:val="17"/>
        </w:rPr>
        <w:t xml:space="preserve">  README.md</w:t>
        <w:br/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每次仿真必须保存参数快照、随机种子、控制器开关、仿真版本和结果指标。图中曲线应由脚本自动生成，避免手工改图造成不可追溯。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十三 论文写作结构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引言：指出双驱龙门系统在负载不对称、传动差异和电流限幅下会出现同步误差；说明现有比赛程序采用独立级联 PID，难以显式处理这些因素。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系统与等效建模：介绍双 M3508、减速器/齿轮齿条、编码器和电流指令；定义 yG、alpha、负载差、摩擦差和饱和模型。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基线控制器：按现有程序复现双侧位置/速度 PID，并说明 chassis_calculate() 的反向位置给定和动态输出限制。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论文方法复现：介绍 RLS、BLNN、误差面、鲁棒项和饱和补偿，说明与目标论文的对应关系。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改进方法：提出同步优先的电流分配、负载/摩擦在线估计和 T 型轨迹下的限幅协调。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仿真设计：给出参数来源、工况矩阵、采样周期、求解器、对比组和指标。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结果与讨论：分别讨论负载不对称、限幅强度、噪声、单侧能力下降以及方法计算量。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sz w:val="21"/>
        </w:rPr>
        <w:t>结论与局限：只总结等效模型范围内的结论，并明确后续重新装车验证。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十四 时间计划到 2027 年 4 月见刊目标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832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600"/>
            <w:shd w:fill="2F55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2026-09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整理论文全文、代码、机械参数；完成最小双自由度模型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参数来源表、模型单元测试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2026-10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 Baseline 和论文控制器 C2；核对饱和补偿公式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可运行 Simulink 模型、复现曲线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2026-11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 M3508 电流链、负载差和 T 型轨迹；确定主创新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完整模型 V1、实验矩阵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2026-12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 Proposed Method、PSO 整定和消融实验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主要结果图表、参数表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2027-01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补做 Monte Carlo、敏感性和计算量分析；写初稿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论文初稿、补充材料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2027-02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内部预审，修正理论、图表和学术表述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投稿稿件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2027-03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首次投稿或按期刊意见转投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投稿记录、回复模板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2027-04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处理返修；准备数据、代码和参数说明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A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返修稿或备选期刊稿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见刊时间受审稿、返修和数据库收录影响，不能保证按月份完成。若学校要求 EI 检索证明，还需在正式发表后预留数据库收录时间；因此应尽量在 2026 年 11 月前完成首轮投稿。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十五 开源资料检索结论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截至 2026 年 9 月 20 日，已对目标论文 DOI 页面、公开论文页面和常见代码托管平台进行检索，暂未发现作者公开的 GitHub、Gitee、补充代码或实验数据。论文正文声明“Data Availability No datasets were generated or analysed during the current study.”因此复现需要根据公式、图表和公开描述自行重建等效模型。</w:t>
      </w:r>
    </w:p>
    <w:p>
      <w:pPr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论文入口：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Springer DOI：https://doi.org/10.1007/s11071-026-12622-5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本地 PDF：C:/Users/Lenovo/Desktop/论文/开源/s11071-026-12622-5.pdf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中文译稿：output/考虑执行器饱和的双驱龙门平台自适应同步控制_中文译稿.docx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十六 立即执行清单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先完成 q=[yG,alpha] 双自由度模型和左右驱动力变换，暂时不要加入神经网络。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用现有 PID 参数和 T 型轨迹跑通 C0，保存基线数据。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加入电流饱和、左右摩擦差和负载差，确认 C0 的同步误差确实恶化。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逐模块加入 RLS、BLNN、鲁棒项和饱和补偿，每一步保存消融结果。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最后才进行 PSO 整定；PSO 只调有限参数，并固定评价函数和随机种子。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sz w:val="21"/>
        </w:rPr>
        <w:t>将所有结果写成“等效模型仿真验证”，在重新装车前不要使用“实车验证”表述。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参考资料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[1] Adaptive synchronization control of a dual-drive gantry stage based on broad learning neural network considering actuator saturation. Nonlinear Dynamics, DOI: 10.1007/s11071-026-12622-5.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[2] 用户项目源代码：龙门架版-联调（国赛最终），Crane-down/Task/motor.c、motor_task.c，Crane-down/IMU/components/controller/pid.c，Crane-down/CAN-control/CAN_receive.c。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sz w:val="21"/>
        </w:rPr>
        <w:t>[3] 用户项目机械、硬件和比赛资料：2026_起重机目录及其子目录。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双驱龙门论文复现与改进实施方案  |  2026-09-20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双驱龙门论文复现与改进实施方案</dc:title>
  <dc:subject>论文复现、M3508 等效建模、仿真与自主创新路线</dc:subject>
  <dc:creator>Research Plan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