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200"/>
        <w:jc w:val="center"/>
      </w:pPr>
      <w:r>
        <w:rPr>
          <w:rFonts w:ascii="Arial" w:hAnsi="Arial" w:eastAsia="黑体"/>
          <w:b/>
          <w:color w:val="000000"/>
          <w:sz w:val="36"/>
        </w:rPr>
        <w:t>考虑执行器饱和的基于宽度学习神经网络的双驱龙门平台自适应同步控制</w:t>
      </w:r>
    </w:p>
    <w:p>
      <w:pPr>
        <w:ind w:firstLine="0"/>
        <w:jc w:val="center"/>
      </w:pPr>
      <w:r>
        <w:rPr>
          <w:rFonts w:ascii="Times New Roman" w:hAnsi="Times New Roman" w:eastAsia="宋体"/>
          <w:color w:val="000000"/>
          <w:sz w:val="21"/>
        </w:rPr>
        <w:t>Yan Zhou，Yanbin Liu，Huihui Pan，Weichao Sun</w:t>
      </w:r>
    </w:p>
    <w:p>
      <w:pPr>
        <w:ind w:firstLine="0"/>
        <w:jc w:val="center"/>
      </w:pPr>
      <w:r>
        <w:rPr>
          <w:rFonts w:ascii="Times New Roman" w:hAnsi="Times New Roman" w:eastAsia="宋体"/>
          <w:color w:val="000000"/>
          <w:sz w:val="19"/>
        </w:rPr>
        <w:t>Nonlinear Dynamics，2026，114：736  |  DOI 10.1007/s11071-026-12622-5</w:t>
      </w:r>
    </w:p>
    <w:p>
      <w:pPr>
        <w:ind w:firstLine="0"/>
        <w:jc w:val="center"/>
      </w:pPr>
      <w:r>
        <w:rPr>
          <w:rFonts w:ascii="Times New Roman" w:hAnsi="Times New Roman" w:eastAsia="黑体"/>
          <w:b/>
          <w:color w:val="000000"/>
          <w:sz w:val="21"/>
        </w:rPr>
        <w:t>中文译稿</w:t>
      </w:r>
    </w:p>
    <w:p>
      <w:pPr>
        <w:pStyle w:val="Heading1"/>
        <w:keepNext/>
      </w:pPr>
      <w:r>
        <w:t>摘要</w:t>
      </w:r>
    </w:p>
    <w:p>
      <w:pPr>
        <w:spacing w:line="307" w:lineRule="auto" w:after="80"/>
        <w:ind w:firstLine="420"/>
        <w:jc w:val="both"/>
      </w:pPr>
      <w:r>
        <w:rPr>
          <w:rFonts w:ascii="Times New Roman" w:hAnsi="Times New Roman" w:eastAsia="宋体"/>
          <w:color w:val="000000"/>
          <w:sz w:val="21"/>
        </w:rPr>
        <w:t>同步控制是双直线电机驱动龙门系统的一项关键任务。然而，执行器饱和、系统不确定性等非线性因素会降低控制性能，并最终损害加工精度。针对上述问题，本文提出一种基于宽度学习神经网络（BLNN）的高精度自适应同步控制策略。首先，建立龙门工作台的旋转动力学耦合模型，以弥补传统建模忽略高频旋转模态的不足。其次，提出基于递归最小二乘（RLS）的间接自适应方法，在线估计系统模型参数，进一步提高建模精度。针对实际应用中普遍存在的执行器饱和问题，采用平滑函数结合中值定理进行处理，并设计辅助反馈项以减弱饱和影响。此外，利用 BLNN 的强学习能力，进一步补偿饱和引起的不利因素和系统剩余不确定性。不同于传统径向基函数神经网络，BLNN 能自主增加神经元，既消除了网络设计的盲目性，又获得了更高的拟合精度。最后，利用 Lyapunov 定理证明闭环系统的稳定性，并通过不同控制策略的对比实验验证所提方法的优越性。</w:t>
      </w:r>
    </w:p>
    <w:p>
      <w:pPr>
        <w:spacing w:line="307" w:lineRule="auto" w:after="80"/>
        <w:ind w:firstLine="0"/>
        <w:jc w:val="both"/>
      </w:pPr>
      <w:r>
        <w:rPr>
          <w:rFonts w:ascii="Times New Roman" w:hAnsi="Times New Roman" w:eastAsia="黑体"/>
          <w:b/>
          <w:color w:val="000000"/>
          <w:sz w:val="21"/>
        </w:rPr>
        <w:t>关键词：</w:t>
      </w:r>
      <w:r>
        <w:rPr>
          <w:rFonts w:ascii="Times New Roman" w:hAnsi="Times New Roman" w:eastAsia="宋体"/>
          <w:color w:val="000000"/>
          <w:sz w:val="21"/>
        </w:rPr>
        <w:t>同步控制；自适应鲁棒控制；宽度学习神经网络；执行器饱和</w:t>
      </w:r>
    </w:p>
    <w:p>
      <w:pPr>
        <w:pStyle w:val="Heading1"/>
        <w:keepNext/>
      </w:pPr>
      <w:r>
        <w:t>1 引言</w:t>
      </w:r>
    </w:p>
    <w:p>
      <w:pPr>
        <w:spacing w:line="307" w:lineRule="auto" w:after="80"/>
        <w:ind w:firstLine="420"/>
        <w:jc w:val="both"/>
      </w:pPr>
      <w:r>
        <w:rPr>
          <w:rFonts w:ascii="Times New Roman" w:hAnsi="Times New Roman" w:eastAsia="宋体"/>
          <w:color w:val="000000"/>
          <w:sz w:val="21"/>
        </w:rPr>
        <w:t>随着制造业的发展，双直线电机驱动龙门系统（DLMDGS）因广泛应用于表面贴装设备、光刻机、数控机床和 3D 打印系统而受到深入研究。其结构可简化为图 1：两台直线电机的定子平行安装在基座两端，横梁与两台直线电机的动子刚性连接。得益于这种结构，双驱龙门系统具有承载能力强、推力大和耦合性强等优点。</w:t>
      </w:r>
    </w:p>
    <w:p>
      <w:pPr>
        <w:spacing w:line="307" w:lineRule="auto" w:after="80"/>
        <w:ind w:firstLine="420"/>
        <w:jc w:val="both"/>
      </w:pPr>
      <w:r>
        <w:rPr>
          <w:rFonts w:ascii="Times New Roman" w:hAnsi="Times New Roman" w:eastAsia="宋体"/>
          <w:color w:val="000000"/>
          <w:sz w:val="21"/>
        </w:rPr>
        <w:t>然而，由于信号传输时延和负载工况波动等因素，两侧驱动力难以完全同步。双直线电机不同步会产生显著内力，严重时甚至导致机械故障，进而影响系统安全性与稳定性。因此，同步控制是该系统最关键的问题之一。</w:t>
      </w:r>
    </w:p>
    <w:p>
      <w:pPr>
        <w:spacing w:line="307" w:lineRule="auto" w:after="80"/>
        <w:ind w:firstLine="420"/>
        <w:jc w:val="both"/>
      </w:pPr>
      <w:r>
        <w:rPr>
          <w:rFonts w:ascii="Times New Roman" w:hAnsi="Times New Roman" w:eastAsia="宋体"/>
          <w:color w:val="000000"/>
          <w:sz w:val="21"/>
        </w:rPr>
        <w:t>在双直线电机同步控制研究中，现有工作主要从理论层面建立系统模型，可分为并行控制、主从控制、交叉耦合控制以及直接转角控制。并行和主从策略提出较早，不适用于高性能控制场景。交叉耦合控制把两台电机的同步误差与跟踪误差综合起来，在工程中应用广泛，但合适耦合系数难以确定，也不容易推广到多轴系统。近年来出现了新的建模控制策略。Li 等将直线导轨中的滚珠视为弹簧式柔性元件，建立基于推力分配的耦合动力学模型控制策略，并取得良好同步性能。随后，该控制框架在更多同步平台上得到研究和推广。</w:t>
      </w:r>
    </w:p>
    <w:p>
      <w:pPr>
        <w:spacing w:line="307" w:lineRule="auto" w:after="80"/>
        <w:ind w:firstLine="420"/>
        <w:jc w:val="both"/>
      </w:pPr>
      <w:r>
        <w:rPr>
          <w:rFonts w:ascii="Times New Roman" w:hAnsi="Times New Roman" w:eastAsia="宋体"/>
          <w:color w:val="000000"/>
          <w:sz w:val="21"/>
        </w:rPr>
        <w:t>另一方面，为进一步提高跟踪精度，还需设计与上述运动模型相匹配的控制算法。早期 PID 控制结构简单，但鲁棒性不足。Yao 提出了面向非线性系统的自适应鲁棒控制方法，将参数辨识能力与一定的鲁棒性结合起来。Li 等将其与前述模型框架结合并用于实际双驱龙门系统。但这些方法在工程中往往需要较大的鲁棒项增益，可能引起抖振甚至不稳定。为缓解该问题，一些自适应滑模方法通过建立增益与滑模变量的数学关系，实现增益动态调节。Mobayen 等提出基于障碍函数的自适应滑模控制器，无需预先知道系统不确定性的上界。Shao 等提出泄漏型算法，以适应扰动边界变化并减小系统抖振。</w:t>
      </w:r>
    </w:p>
    <w:p>
      <w:pPr>
        <w:spacing w:line="307" w:lineRule="auto" w:after="80"/>
        <w:ind w:firstLine="420"/>
        <w:jc w:val="both"/>
      </w:pPr>
      <w:r>
        <w:rPr>
          <w:rFonts w:ascii="Times New Roman" w:hAnsi="Times New Roman" w:eastAsia="宋体"/>
          <w:color w:val="000000"/>
          <w:sz w:val="21"/>
        </w:rPr>
        <w:t>近年来，智能控制的发展使神经网络凭借强非线性拟合能力得以用于复杂工业任务。Liu 等考虑多种环境力的影响，采用 B 样条小波神经网络逼近三台电机推力波动引起的未知动态。Shi 等将径向基函数（RBF）神经网络引入双驱龙门平台同步控制，以克服外部扰动和建模误差。Phan 等针对具有未建模动态的非线性电液系统设计了神经网络扰动观测器。然而，为达到预期性能，这些网络的结构设计通常依赖经验。Zhao 等提出宽度学习神经网络，通过自适应调整神经元数量并生成增强节点，大幅提高跟踪精度，同时降低网络设计和调试复杂度，使其适合嵌入龙门平台控制器。</w:t>
      </w:r>
    </w:p>
    <w:p>
      <w:pPr>
        <w:spacing w:line="307" w:lineRule="auto" w:after="80"/>
        <w:ind w:firstLine="420"/>
        <w:jc w:val="both"/>
      </w:pPr>
      <w:r>
        <w:rPr>
          <w:rFonts w:ascii="Times New Roman" w:hAnsi="Times New Roman" w:eastAsia="宋体"/>
          <w:color w:val="000000"/>
          <w:sz w:val="21"/>
        </w:rPr>
        <w:t>在线参数辨识是解决建模误差的主要方法之一，已广泛用于各种非线性系统。Phan 等利用最小均方方法辨识实际电液执行器参数。Yao 等提出基于 RLS 的间接自适应策略并用于双驱龙门平台跟踪控制。Liu 等将该辨识方法与神经网络结合，实现直线电机高精度控制。研究表明，在线辨识与神经网络结合能够有效改善控制性能。</w:t>
      </w:r>
    </w:p>
    <w:p>
      <w:pPr>
        <w:spacing w:line="307" w:lineRule="auto" w:after="80"/>
        <w:ind w:firstLine="420"/>
        <w:jc w:val="both"/>
      </w:pPr>
      <w:r>
        <w:rPr>
          <w:rFonts w:ascii="Times New Roman" w:hAnsi="Times New Roman" w:eastAsia="宋体"/>
          <w:color w:val="000000"/>
          <w:sz w:val="21"/>
        </w:rPr>
        <w:t>执行器饱和同样是工业场景中的常见现象。饱和产生的非线性会影响系统动态和稳态特性，并可能破坏稳定性。常见抗饱和方法主要包括设计抗饱和辅助系统以及采用平滑函数拟合。但部分研究假设饱和超调有界，难以严格保证系统稳定；推导公式过于复杂也增加了控制器设计难度并限制通用性，因此仍需改进。</w:t>
      </w:r>
    </w:p>
    <w:p>
      <w:pPr>
        <w:spacing w:line="307" w:lineRule="auto" w:after="80"/>
        <w:ind w:firstLine="420"/>
        <w:jc w:val="both"/>
      </w:pPr>
      <w:r>
        <w:rPr>
          <w:rFonts w:ascii="Times New Roman" w:hAnsi="Times New Roman" w:eastAsia="宋体"/>
          <w:color w:val="000000"/>
          <w:sz w:val="21"/>
        </w:rPr>
        <w:t>受上述工作启发，本文针对系统不确定性和执行器饱和提出一种高性能复合同步控制策略。主要贡献如下。第一，为应对执行器饱和风险，设计平滑函数逼近饱和效应，并引入辅助反馈项，使系统在饱和条件下保持稳定运行。第二，设计 BLNN 进一步补偿饱和误差和剩余不确定性；相较传统 RBF 网络，它显著降低系统设计难度。第三，提出融合 RLS 的高性能自适应鲁棒控制策略，并从理论和实验两方面证明其稳定性和优越性。</w:t>
      </w:r>
    </w:p>
    <w:p>
      <w:pPr>
        <w:spacing w:line="307" w:lineRule="auto" w:after="80"/>
        <w:ind w:firstLine="420"/>
        <w:jc w:val="both"/>
      </w:pPr>
      <w:r>
        <w:rPr>
          <w:rFonts w:ascii="Times New Roman" w:hAnsi="Times New Roman" w:eastAsia="宋体"/>
          <w:color w:val="000000"/>
          <w:sz w:val="21"/>
        </w:rPr>
        <w:t>本文其余部分安排如下：第 2 节详细说明模型与控制目标；第 3 节给出控制器设计和必要的稳定性分析；第 4 节通过对比实验验证方法有效性；第 5 节总结全文。</w:t>
      </w:r>
    </w:p>
    <w:p>
      <w:pPr>
        <w:pStyle w:val="Heading2"/>
        <w:keepNext/>
      </w:pPr>
      <w:r>
        <w:t>符号说明</w:t>
      </w:r>
    </w:p>
    <w:p>
      <w:pPr>
        <w:spacing w:line="307" w:lineRule="auto" w:after="80"/>
        <w:ind w:firstLine="420"/>
        <w:jc w:val="both"/>
      </w:pPr>
      <w:r>
        <w:rPr>
          <w:rFonts w:ascii="Times New Roman" w:hAnsi="Times New Roman" w:eastAsia="宋体"/>
          <w:color w:val="000000"/>
          <w:sz w:val="21"/>
        </w:rPr>
        <w:t>本文采用以下符号：对向量 x=[x₁,x₂,…,xₙ]ᵀ，定义 Sgn(x)=[sgn(x₁),sgn(x₂),…,sgn(xₙ)]ᵀ，|x|=[|x₁|,|x₂|,…,|xₙ|]ᵀ，ẋ=[ẋ₁,ẋ₂,…,ẋₙ]ᵀ，ẍ=[ẍ₁,ẍ₂,…,ẍₙ]ᵀ。sgn(xᵢ) 为符号函数，|xᵢ| 为绝对值，‖x‖ 为欧几里得范数。x̂ 表示 x 的估计值，估计误差定义为 x̃=x−x̂。</w:t>
      </w:r>
    </w:p>
    <w:p>
      <w:pPr>
        <w:pStyle w:val="Heading1"/>
        <w:keepNext/>
      </w:pPr>
      <w:r>
        <w:t>2 动力学模型与问题描述</w:t>
      </w:r>
    </w:p>
    <w:p>
      <w:pPr>
        <w:keepNext/>
        <w:ind w:firstLine="0"/>
        <w:jc w:val="center"/>
      </w:pPr>
      <w:r>
        <w:drawing>
          <wp:inline xmlns:a="http://schemas.openxmlformats.org/drawingml/2006/main" xmlns:pic="http://schemas.openxmlformats.org/drawingml/2006/picture">
            <wp:extent cx="4392000" cy="3885231"/>
            <wp:docPr id="1" name="Picture 1"/>
            <wp:cNvGraphicFramePr>
              <a:graphicFrameLocks noChangeAspect="1"/>
            </wp:cNvGraphicFramePr>
            <a:graphic>
              <a:graphicData uri="http://schemas.openxmlformats.org/drawingml/2006/picture">
                <pic:pic>
                  <pic:nvPicPr>
                    <pic:cNvPr id="0" name="fig01.jpg"/>
                    <pic:cNvPicPr/>
                  </pic:nvPicPr>
                  <pic:blipFill>
                    <a:blip r:embed="rId9"/>
                    <a:stretch>
                      <a:fillRect/>
                    </a:stretch>
                  </pic:blipFill>
                  <pic:spPr>
                    <a:xfrm>
                      <a:off x="0" y="0"/>
                      <a:ext cx="4392000" cy="3885231"/>
                    </a:xfrm>
                    <a:prstGeom prst="rect"/>
                  </pic:spPr>
                </pic:pic>
              </a:graphicData>
            </a:graphic>
          </wp:inline>
        </w:drawing>
      </w:r>
    </w:p>
    <w:p>
      <w:pPr>
        <w:keepNext w:val="0"/>
        <w:spacing w:after="140"/>
        <w:ind w:firstLine="0"/>
        <w:jc w:val="center"/>
      </w:pPr>
      <w:r>
        <w:rPr>
          <w:rFonts w:ascii="Times New Roman" w:hAnsi="Times New Roman" w:eastAsia="宋体"/>
          <w:color w:val="000000"/>
          <w:sz w:val="19"/>
        </w:rPr>
        <w:t>图 1  双驱龙门平台结构示意图</w:t>
      </w:r>
    </w:p>
    <w:p>
      <w:pPr>
        <w:spacing w:line="307" w:lineRule="auto" w:after="80"/>
        <w:ind w:firstLine="420"/>
        <w:jc w:val="both"/>
      </w:pPr>
      <w:r>
        <w:rPr>
          <w:rFonts w:ascii="Times New Roman" w:hAnsi="Times New Roman" w:eastAsia="宋体"/>
          <w:color w:val="000000"/>
          <w:sz w:val="21"/>
        </w:rPr>
        <w:t>图 1 展示了一般的双驱直线电机龙门平台。两台直线电机分别沿平台两侧直线安装，横梁在两台电机协调驱动下沿导轨的 Y 方向运动。横梁和移动平台与电机滑块、导轨滑块刚性连接，可分别视为刚体；直线导轨内的滚珠则具有相对柔性，可建模为弹性元件。滚珠的弹性变形等效为高刚度双向弹簧。</w:t>
      </w:r>
    </w:p>
    <w:p>
      <w:pPr>
        <w:spacing w:line="307" w:lineRule="auto" w:after="80"/>
        <w:ind w:firstLine="420"/>
        <w:jc w:val="both"/>
      </w:pPr>
      <w:r>
        <w:rPr>
          <w:rFonts w:ascii="Times New Roman" w:hAnsi="Times New Roman" w:eastAsia="宋体"/>
          <w:color w:val="000000"/>
          <w:sz w:val="21"/>
        </w:rPr>
        <w:t>建立运动坐标系 OXY。横梁质心记为 G，其位置坐标为 (x_G,y_G)。对 i=1,2，MYᵢ、GYᵢ、EYᵢ 分别表示平台两侧平行安装的直线电机、导轨和编码器；Lₑᵢ、L_gᵢ、L_mᵢ 分别为横梁两侧直线编码器、导轨和直线电机的长度，其总长度分别记为 Lₑ、L_g 和 L_m。第 i 台电机在 Y 方向的位置 yᵢ 由编码器获得。横梁转角 α 很小，通常近似 cosα≈1、sinα≈0，因此有</w:t>
      </w:r>
    </w:p>
    <w:p>
      <w:pPr>
        <w:spacing w:before="60" w:after="60"/>
        <w:ind w:firstLine="0"/>
        <w:jc w:val="center"/>
      </w:pPr>
      <w:r>
        <w:rPr>
          <w:rFonts w:ascii="Cambria Math" w:hAnsi="Cambria Math" w:eastAsia="Cambria Math"/>
          <w:color w:val="000000"/>
          <w:sz w:val="21"/>
        </w:rPr>
        <w:t>y_G=(Lₑ₂/Lₑ)y₁+(Lₑ₁/Lₑ)y₂，    α=(y₂−y₁)/Lₑ</w:t>
      </w:r>
      <w:r>
        <w:rPr>
          <w:rFonts w:ascii="Cambria Math" w:hAnsi="Cambria Math" w:eastAsia="Cambria Math"/>
          <w:color w:val="000000"/>
          <w:sz w:val="21"/>
        </w:rPr>
        <w:t xml:space="preserve">    (1)</w:t>
      </w:r>
    </w:p>
    <w:p>
      <w:pPr>
        <w:spacing w:line="307" w:lineRule="auto" w:after="80"/>
        <w:ind w:firstLine="420"/>
        <w:jc w:val="both"/>
      </w:pPr>
      <w:r>
        <w:rPr>
          <w:rFonts w:ascii="Times New Roman" w:hAnsi="Times New Roman" w:eastAsia="宋体"/>
          <w:color w:val="000000"/>
          <w:sz w:val="21"/>
        </w:rPr>
        <w:t>基于文献 [13] 的分析并考虑执行器饱和，计及横梁转动的龙门平台 Y 轴动力学方程为</w:t>
      </w:r>
    </w:p>
    <w:p>
      <w:pPr>
        <w:spacing w:before="60" w:after="60"/>
        <w:ind w:firstLine="0"/>
        <w:jc w:val="center"/>
      </w:pPr>
      <w:r>
        <w:rPr>
          <w:rFonts w:ascii="Cambria Math" w:hAnsi="Cambria Math" w:eastAsia="Cambria Math"/>
          <w:color w:val="000000"/>
          <w:sz w:val="21"/>
        </w:rPr>
        <w:t>M_q q̈+B_q q̇+A_q S_f(ẏ_G)+K_q q=sat(v)+d</w:t>
      </w:r>
      <w:r>
        <w:rPr>
          <w:rFonts w:ascii="Cambria Math" w:hAnsi="Cambria Math" w:eastAsia="Cambria Math"/>
          <w:color w:val="000000"/>
          <w:sz w:val="21"/>
        </w:rPr>
        <w:t xml:space="preserve">    (2)</w:t>
      </w:r>
    </w:p>
    <w:p>
      <w:pPr>
        <w:spacing w:line="307" w:lineRule="auto" w:after="80"/>
        <w:ind w:firstLine="420"/>
        <w:jc w:val="both"/>
      </w:pPr>
      <w:r>
        <w:rPr>
          <w:rFonts w:ascii="Times New Roman" w:hAnsi="Times New Roman" w:eastAsia="宋体"/>
          <w:color w:val="000000"/>
          <w:sz w:val="21"/>
        </w:rPr>
        <w:t>其中 q=[y_G,α]ᵀ 为状态向量；M_q=diag[M,J] 为惯性系数矩阵，M 和 J 分别表示整个横梁的惯性质量和转动惯量；B_q=[B_s,−B_l;−B_l,B_l2]、A_q=[A_s,−A_l]ᵀ 分别表示黏性摩擦和库仑摩擦系数矩阵，B_s、B_l、B_l2、A_s、A_l 为相关摩擦参数。本文取 S_f(ẏ_G)=2/π·arctan(1000ẏ_G)。K_q=[0,0;0,K_α] 为刚度矩阵，K_α 为等效转动刚度；d=[d₁,d₂]ᵀ 为扰动。v=T_k u 为力矩向量，其中 T_k=[1,k_y2/k_y1;−L_m1,L_m2k_y2/k_y1] 是从电压到推力的变换矩阵，k_y2/k_y1 为两侧电磁推力系数之比，u 为控制输入电压。</w:t>
      </w:r>
    </w:p>
    <w:p>
      <w:pPr>
        <w:spacing w:line="307" w:lineRule="auto" w:after="80"/>
        <w:ind w:firstLine="420"/>
        <w:jc w:val="both"/>
      </w:pPr>
      <w:r>
        <w:rPr>
          <w:rFonts w:ascii="Times New Roman" w:hAnsi="Times New Roman" w:eastAsia="宋体"/>
          <w:color w:val="000000"/>
          <w:sz w:val="21"/>
        </w:rPr>
        <w:t>对 i=1,2，定义 v_imax 为 vᵢ 的最大限幅值，饱和函数为</w:t>
      </w:r>
    </w:p>
    <w:p>
      <w:pPr>
        <w:spacing w:before="60" w:after="60"/>
        <w:ind w:firstLine="0"/>
        <w:jc w:val="center"/>
      </w:pPr>
      <w:r>
        <w:rPr>
          <w:rFonts w:ascii="Cambria Math" w:hAnsi="Cambria Math" w:eastAsia="Cambria Math"/>
          <w:color w:val="000000"/>
          <w:sz w:val="21"/>
        </w:rPr>
        <w:t>sat(vᵢ)={ sgn(vᵢ)v_imax，|vᵢ|≥v_imax；  vᵢ，|vᵢ|&lt;v_imax }</w:t>
      </w:r>
      <w:r>
        <w:rPr>
          <w:rFonts w:ascii="Cambria Math" w:hAnsi="Cambria Math" w:eastAsia="Cambria Math"/>
          <w:color w:val="000000"/>
          <w:sz w:val="21"/>
        </w:rPr>
        <w:t xml:space="preserve">    (3)</w:t>
      </w:r>
    </w:p>
    <w:p>
      <w:pPr>
        <w:spacing w:line="307" w:lineRule="auto" w:after="80"/>
        <w:ind w:firstLine="420"/>
        <w:jc w:val="both"/>
      </w:pPr>
      <w:r>
        <w:rPr>
          <w:rFonts w:ascii="Times New Roman" w:hAnsi="Times New Roman" w:eastAsia="宋体"/>
          <w:color w:val="000000"/>
          <w:sz w:val="21"/>
        </w:rPr>
        <w:t>为便于后续控制器设计，引入平滑函数 ρ(vᵢ) 逼近饱和函数：</w:t>
      </w:r>
    </w:p>
    <w:p>
      <w:pPr>
        <w:spacing w:before="60" w:after="60"/>
        <w:ind w:firstLine="0"/>
        <w:jc w:val="center"/>
      </w:pPr>
      <w:r>
        <w:rPr>
          <w:rFonts w:ascii="Cambria Math" w:hAnsi="Cambria Math" w:eastAsia="Cambria Math"/>
          <w:color w:val="000000"/>
          <w:sz w:val="21"/>
        </w:rPr>
        <w:t>sat(vᵢ)=ρ(vᵢ)+Δvᵢ=(2v_imax/π) arctan(πvᵢ/(2v_imax))+Δvᵢ</w:t>
      </w:r>
      <w:r>
        <w:rPr>
          <w:rFonts w:ascii="Cambria Math" w:hAnsi="Cambria Math" w:eastAsia="Cambria Math"/>
          <w:color w:val="000000"/>
          <w:sz w:val="21"/>
        </w:rPr>
        <w:t xml:space="preserve">    (4)</w:t>
      </w:r>
    </w:p>
    <w:p>
      <w:pPr>
        <w:spacing w:line="307" w:lineRule="auto" w:after="80"/>
        <w:ind w:firstLine="420"/>
        <w:jc w:val="both"/>
      </w:pPr>
      <w:r>
        <w:rPr>
          <w:rFonts w:ascii="Times New Roman" w:hAnsi="Times New Roman" w:eastAsia="宋体"/>
          <w:color w:val="000000"/>
          <w:sz w:val="21"/>
        </w:rPr>
        <w:t>其中 Δvᵢ 为有界估计误差，满足 |Δvᵢ|=|sat(vᵢ)−ρ(vᵢ)|≤Δv̄ᵢ，Δv̄ᵢ 为较小的正常数。因此动力学模型可写为</w:t>
      </w:r>
    </w:p>
    <w:p>
      <w:pPr>
        <w:spacing w:before="60" w:after="60"/>
        <w:ind w:firstLine="0"/>
        <w:jc w:val="center"/>
      </w:pPr>
      <w:r>
        <w:rPr>
          <w:rFonts w:ascii="Cambria Math" w:hAnsi="Cambria Math" w:eastAsia="Cambria Math"/>
          <w:color w:val="000000"/>
          <w:sz w:val="21"/>
        </w:rPr>
        <w:t>M_q q̈+B_q q̇+A_q S_f(ẏ_G)+K_q q=ρ(v)+d+Δv</w:t>
      </w:r>
      <w:r>
        <w:rPr>
          <w:rFonts w:ascii="Cambria Math" w:hAnsi="Cambria Math" w:eastAsia="Cambria Math"/>
          <w:color w:val="000000"/>
          <w:sz w:val="21"/>
        </w:rPr>
        <w:t xml:space="preserve">    (5)</w:t>
      </w:r>
    </w:p>
    <w:p>
      <w:pPr>
        <w:spacing w:line="307" w:lineRule="auto" w:after="80"/>
        <w:ind w:firstLine="420"/>
        <w:jc w:val="both"/>
      </w:pPr>
      <w:r>
        <w:rPr>
          <w:rFonts w:ascii="Times New Roman" w:hAnsi="Times New Roman" w:eastAsia="宋体"/>
          <w:color w:val="000000"/>
          <w:sz w:val="21"/>
        </w:rPr>
        <w:t>其中 ρ(v)=[ρ(v₁),ρ(v₂)]ᵀ，Δv=[Δv₁,Δv₂]ᵀ。为在线辨识模型参数，作如下合理假设。</w:t>
      </w:r>
    </w:p>
    <w:p>
      <w:pPr>
        <w:spacing w:line="307" w:lineRule="auto" w:after="80"/>
        <w:ind w:firstLine="0"/>
        <w:jc w:val="both"/>
      </w:pPr>
      <w:r>
        <w:rPr>
          <w:rFonts w:ascii="Times New Roman" w:hAnsi="Times New Roman" w:eastAsia="黑体"/>
          <w:b/>
          <w:color w:val="000000"/>
          <w:sz w:val="21"/>
        </w:rPr>
        <w:t>假设 1</w:t>
      </w:r>
      <w:r>
        <w:rPr>
          <w:rFonts w:ascii="Times New Roman" w:hAnsi="Times New Roman" w:eastAsia="宋体"/>
          <w:color w:val="000000"/>
          <w:sz w:val="21"/>
        </w:rPr>
        <w:t xml:space="preserve">  式（5）中的未知参数可写为向量</w:t>
      </w:r>
    </w:p>
    <w:p>
      <w:pPr>
        <w:spacing w:before="60" w:after="60"/>
        <w:ind w:firstLine="0"/>
        <w:jc w:val="center"/>
      </w:pPr>
      <w:r>
        <w:rPr>
          <w:rFonts w:ascii="Cambria Math" w:hAnsi="Cambria Math" w:eastAsia="Cambria Math"/>
          <w:color w:val="000000"/>
          <w:sz w:val="21"/>
        </w:rPr>
        <w:t>θ=[θ₁,θ₂,θ₃,θ₄,θ₅,θ₆,θ₇,θ₈]ᵀ=[M,J,B_s,B_l,B_l2,K_α/10³,A_s,A_l]ᵀ</w:t>
      </w:r>
      <w:r>
        <w:rPr>
          <w:rFonts w:ascii="Cambria Math" w:hAnsi="Cambria Math" w:eastAsia="Cambria Math"/>
          <w:color w:val="000000"/>
          <w:sz w:val="21"/>
        </w:rPr>
        <w:t xml:space="preserve">    (6)</w:t>
      </w:r>
    </w:p>
    <w:p>
      <w:pPr>
        <w:spacing w:before="60" w:after="60"/>
        <w:ind w:firstLine="0"/>
        <w:jc w:val="center"/>
      </w:pPr>
      <w:r>
        <w:rPr>
          <w:rFonts w:ascii="Cambria Math" w:hAnsi="Cambria Math" w:eastAsia="Cambria Math"/>
          <w:color w:val="000000"/>
          <w:sz w:val="21"/>
        </w:rPr>
        <w:t>θ∈Ω_θ={θ | θ_i min≤θᵢ≤θ_i max}</w:t>
      </w:r>
      <w:r>
        <w:rPr>
          <w:rFonts w:ascii="Cambria Math" w:hAnsi="Cambria Math" w:eastAsia="Cambria Math"/>
          <w:color w:val="000000"/>
          <w:sz w:val="21"/>
        </w:rPr>
        <w:t xml:space="preserve">    (7)</w:t>
      </w:r>
    </w:p>
    <w:p>
      <w:pPr>
        <w:spacing w:line="307" w:lineRule="auto" w:after="80"/>
        <w:ind w:firstLine="420"/>
        <w:jc w:val="both"/>
      </w:pPr>
      <w:r>
        <w:rPr>
          <w:rFonts w:ascii="Times New Roman" w:hAnsi="Times New Roman" w:eastAsia="宋体"/>
          <w:color w:val="000000"/>
          <w:sz w:val="21"/>
        </w:rPr>
        <w:t>其中 θ_min 和 θ_max 是已知边界向量。依据假设 1，在线参数辨识后的模型为</w:t>
      </w:r>
    </w:p>
    <w:p>
      <w:pPr>
        <w:spacing w:before="60" w:after="60"/>
        <w:ind w:firstLine="0"/>
        <w:jc w:val="center"/>
      </w:pPr>
      <w:r>
        <w:rPr>
          <w:rFonts w:ascii="Cambria Math" w:hAnsi="Cambria Math" w:eastAsia="Cambria Math"/>
          <w:color w:val="000000"/>
          <w:sz w:val="21"/>
        </w:rPr>
        <w:t>M̂_q q̈+B̂_q q̇+Â_q S_f(ẏ_G)+K̂_q q=ρ(v)+ℵ</w:t>
      </w:r>
      <w:r>
        <w:rPr>
          <w:rFonts w:ascii="Cambria Math" w:hAnsi="Cambria Math" w:eastAsia="Cambria Math"/>
          <w:color w:val="000000"/>
          <w:sz w:val="21"/>
        </w:rPr>
        <w:t xml:space="preserve">    (8)</w:t>
      </w:r>
    </w:p>
    <w:p>
      <w:pPr>
        <w:spacing w:line="307" w:lineRule="auto" w:after="80"/>
        <w:ind w:firstLine="420"/>
        <w:jc w:val="both"/>
      </w:pPr>
      <w:r>
        <w:rPr>
          <w:rFonts w:ascii="Times New Roman" w:hAnsi="Times New Roman" w:eastAsia="宋体"/>
          <w:color w:val="000000"/>
          <w:sz w:val="21"/>
        </w:rPr>
        <w:t>其中带帽矩阵分别为相应模型矩阵的估计值；ℵ=Δθ+d+Δv 为聚合不确定性，Δθ 表示模型估计误差。具体参数辨识方法将在下一节给出。</w:t>
      </w:r>
    </w:p>
    <w:p>
      <w:pPr>
        <w:spacing w:line="307" w:lineRule="auto" w:after="80"/>
        <w:ind w:firstLine="0"/>
        <w:jc w:val="both"/>
      </w:pPr>
      <w:r>
        <w:rPr>
          <w:rFonts w:ascii="Times New Roman" w:hAnsi="Times New Roman" w:eastAsia="黑体"/>
          <w:b/>
          <w:color w:val="000000"/>
          <w:sz w:val="21"/>
        </w:rPr>
        <w:t>假设 2</w:t>
      </w:r>
      <w:r>
        <w:rPr>
          <w:rFonts w:ascii="Times New Roman" w:hAnsi="Times New Roman" w:eastAsia="宋体"/>
          <w:color w:val="000000"/>
          <w:sz w:val="21"/>
        </w:rPr>
        <w:t xml:space="preserve">  对实际系统，y_G 与 α 的期望信号的一阶、二阶导数有界；扰动项 d 及其导数也有界。</w:t>
      </w:r>
    </w:p>
    <w:p>
      <w:pPr>
        <w:spacing w:line="307" w:lineRule="auto" w:after="80"/>
        <w:ind w:firstLine="420"/>
        <w:jc w:val="both"/>
      </w:pPr>
      <w:r>
        <w:rPr>
          <w:rFonts w:ascii="Times New Roman" w:hAnsi="Times New Roman" w:eastAsia="宋体"/>
          <w:color w:val="000000"/>
          <w:sz w:val="21"/>
        </w:rPr>
        <w:t>定义跟踪误差 e=[e_y,e_α]ᵀ=q−q_d，其中 q_d=[y_d,0]ᵀ 为已知二维期望轨迹。控制目标是在存在复杂系统不确定性和执行器饱和时，设计控制律 v 以最小化跟踪误差 e(t)。</w:t>
      </w:r>
    </w:p>
    <w:p>
      <w:pPr>
        <w:pStyle w:val="Heading1"/>
        <w:keepNext/>
      </w:pPr>
      <w:r>
        <w:t>3 主要结果</w:t>
      </w:r>
    </w:p>
    <w:p>
      <w:pPr>
        <w:keepNext/>
        <w:ind w:firstLine="0"/>
        <w:jc w:val="center"/>
      </w:pPr>
      <w:r>
        <w:drawing>
          <wp:inline xmlns:a="http://schemas.openxmlformats.org/drawingml/2006/main" xmlns:pic="http://schemas.openxmlformats.org/drawingml/2006/picture">
            <wp:extent cx="4392000" cy="2316659"/>
            <wp:docPr id="2" name="Picture 2"/>
            <wp:cNvGraphicFramePr>
              <a:graphicFrameLocks noChangeAspect="1"/>
            </wp:cNvGraphicFramePr>
            <a:graphic>
              <a:graphicData uri="http://schemas.openxmlformats.org/drawingml/2006/picture">
                <pic:pic>
                  <pic:nvPicPr>
                    <pic:cNvPr id="0" name="fig02.jpg"/>
                    <pic:cNvPicPr/>
                  </pic:nvPicPr>
                  <pic:blipFill>
                    <a:blip r:embed="rId10"/>
                    <a:stretch>
                      <a:fillRect/>
                    </a:stretch>
                  </pic:blipFill>
                  <pic:spPr>
                    <a:xfrm>
                      <a:off x="0" y="0"/>
                      <a:ext cx="4392000" cy="2316659"/>
                    </a:xfrm>
                    <a:prstGeom prst="rect"/>
                  </pic:spPr>
                </pic:pic>
              </a:graphicData>
            </a:graphic>
          </wp:inline>
        </w:drawing>
      </w:r>
    </w:p>
    <w:p>
      <w:pPr>
        <w:keepNext w:val="0"/>
        <w:spacing w:after="140"/>
        <w:ind w:firstLine="0"/>
        <w:jc w:val="center"/>
      </w:pPr>
      <w:r>
        <w:rPr>
          <w:rFonts w:ascii="Times New Roman" w:hAnsi="Times New Roman" w:eastAsia="宋体"/>
          <w:color w:val="000000"/>
          <w:sz w:val="19"/>
        </w:rPr>
        <w:t>图 2  双驱龙门平台控制框图</w:t>
      </w:r>
    </w:p>
    <w:p>
      <w:pPr>
        <w:spacing w:line="307" w:lineRule="auto" w:after="80"/>
        <w:ind w:firstLine="420"/>
        <w:jc w:val="both"/>
      </w:pPr>
      <w:r>
        <w:rPr>
          <w:rFonts w:ascii="Times New Roman" w:hAnsi="Times New Roman" w:eastAsia="宋体"/>
          <w:color w:val="000000"/>
          <w:sz w:val="21"/>
        </w:rPr>
        <w:t>所提控制方案结构如图 2。为保证模型精度，设计间接自适应律实时估计模型参数；为处理执行器饱和，一方面在控制器中设计反馈补偿项，另一方面用特定函数平滑控制器输出；最后采用带自适应律的 BLNN 复合鲁棒自适应控制器，实现高精度闭环跟踪。</w:t>
      </w:r>
    </w:p>
    <w:p>
      <w:pPr>
        <w:spacing w:line="307" w:lineRule="auto" w:after="80"/>
        <w:ind w:firstLine="420"/>
        <w:jc w:val="both"/>
      </w:pPr>
      <w:r>
        <w:rPr>
          <w:rFonts w:ascii="Times New Roman" w:hAnsi="Times New Roman" w:eastAsia="宋体"/>
          <w:color w:val="000000"/>
          <w:sz w:val="21"/>
        </w:rPr>
        <w:t>由于式（5）中的执行器饱和由平滑函数（4）描述，需要对 ρ(v) 线性化重构。根据中值定理，对 i=1,2 有</w:t>
      </w:r>
    </w:p>
    <w:p>
      <w:pPr>
        <w:spacing w:before="60" w:after="60"/>
        <w:ind w:firstLine="0"/>
        <w:jc w:val="center"/>
      </w:pPr>
      <w:r>
        <w:rPr>
          <w:rFonts w:ascii="Cambria Math" w:hAnsi="Cambria Math" w:eastAsia="Cambria Math"/>
          <w:color w:val="000000"/>
          <w:sz w:val="21"/>
        </w:rPr>
        <w:t>ρ(vᵢ)=ρ(vᵢ⁰)+[∂ρ(vᵢ)/∂vᵢ]_(vᵢ=vᵢ^ζ)(vᵢ−vᵢ⁰)</w:t>
      </w:r>
      <w:r>
        <w:rPr>
          <w:rFonts w:ascii="Cambria Math" w:hAnsi="Cambria Math" w:eastAsia="Cambria Math"/>
          <w:color w:val="000000"/>
          <w:sz w:val="21"/>
        </w:rPr>
        <w:t xml:space="preserve">    (9)</w:t>
      </w:r>
    </w:p>
    <w:p>
      <w:pPr>
        <w:spacing w:line="307" w:lineRule="auto" w:after="80"/>
        <w:ind w:firstLine="420"/>
        <w:jc w:val="both"/>
      </w:pPr>
      <w:r>
        <w:rPr>
          <w:rFonts w:ascii="Times New Roman" w:hAnsi="Times New Roman" w:eastAsia="宋体"/>
          <w:color w:val="000000"/>
          <w:sz w:val="21"/>
        </w:rPr>
        <w:t>其中 vᵢ⁰ 是参考点，本文取 vᵢ⁰=0；vᵢ^ζ 位于参考点和当前输入之间，满足 vᵢ^ζ=ζᵢvᵢ+(1−ζᵢ)vᵢ⁰，0&lt;ζᵢ&lt;1。由式（4）可得</w:t>
      </w:r>
    </w:p>
    <w:p>
      <w:pPr>
        <w:spacing w:before="60" w:after="60"/>
        <w:ind w:firstLine="0"/>
        <w:jc w:val="center"/>
      </w:pPr>
      <w:r>
        <w:rPr>
          <w:rFonts w:ascii="Cambria Math" w:hAnsi="Cambria Math" w:eastAsia="Cambria Math"/>
          <w:color w:val="000000"/>
          <w:sz w:val="21"/>
        </w:rPr>
        <w:t>[∂ρ(vᵢ)/∂vᵢ]_(vᵢ=vᵢ^ζ)=1/[1+(πvᵢ^ζ/(2v_imax))²]</w:t>
      </w:r>
      <w:r>
        <w:rPr>
          <w:rFonts w:ascii="Cambria Math" w:hAnsi="Cambria Math" w:eastAsia="Cambria Math"/>
          <w:color w:val="000000"/>
          <w:sz w:val="21"/>
        </w:rPr>
        <w:t xml:space="preserve">    (10)</w:t>
      </w:r>
    </w:p>
    <w:p>
      <w:pPr>
        <w:spacing w:line="307" w:lineRule="auto" w:after="80"/>
        <w:ind w:firstLine="420"/>
        <w:jc w:val="both"/>
      </w:pPr>
      <w:r>
        <w:rPr>
          <w:rFonts w:ascii="Times New Roman" w:hAnsi="Times New Roman" w:eastAsia="宋体"/>
          <w:color w:val="000000"/>
          <w:sz w:val="21"/>
        </w:rPr>
        <w:t>定义 Ξ=diag[Ξ₁,Ξ₂]，Ξᵢ=1−1/[1+(πvᵢ^ζ/(2v_imax))²]，则</w:t>
      </w:r>
    </w:p>
    <w:p>
      <w:pPr>
        <w:spacing w:before="60" w:after="60"/>
        <w:ind w:firstLine="0"/>
        <w:jc w:val="center"/>
      </w:pPr>
      <w:r>
        <w:rPr>
          <w:rFonts w:ascii="Cambria Math" w:hAnsi="Cambria Math" w:eastAsia="Cambria Math"/>
          <w:color w:val="000000"/>
          <w:sz w:val="21"/>
        </w:rPr>
        <w:t>ρ(v)=(I₂−Ξ)v=v−Ξv</w:t>
      </w:r>
      <w:r>
        <w:rPr>
          <w:rFonts w:ascii="Cambria Math" w:hAnsi="Cambria Math" w:eastAsia="Cambria Math"/>
          <w:color w:val="000000"/>
          <w:sz w:val="21"/>
        </w:rPr>
        <w:t xml:space="preserve">    (11)</w:t>
      </w:r>
    </w:p>
    <w:p>
      <w:pPr>
        <w:spacing w:line="307" w:lineRule="auto" w:after="80"/>
        <w:ind w:firstLine="420"/>
        <w:jc w:val="both"/>
      </w:pPr>
      <w:r>
        <w:rPr>
          <w:rFonts w:ascii="Times New Roman" w:hAnsi="Times New Roman" w:eastAsia="宋体"/>
          <w:color w:val="000000"/>
          <w:sz w:val="21"/>
        </w:rPr>
        <w:t>其中 I₂ 为二维单位矩阵，后续控制器设计需要消除 Ξv 的影响。定义 PD 型性能指标</w:t>
      </w:r>
    </w:p>
    <w:p>
      <w:pPr>
        <w:spacing w:before="60" w:after="60"/>
        <w:ind w:firstLine="0"/>
        <w:jc w:val="center"/>
      </w:pPr>
      <w:r>
        <w:rPr>
          <w:rFonts w:ascii="Cambria Math" w:hAnsi="Cambria Math" w:eastAsia="Cambria Math"/>
          <w:color w:val="000000"/>
          <w:sz w:val="21"/>
        </w:rPr>
        <w:t>σ=ė+γe</w:t>
      </w:r>
      <w:r>
        <w:rPr>
          <w:rFonts w:ascii="Cambria Math" w:hAnsi="Cambria Math" w:eastAsia="Cambria Math"/>
          <w:color w:val="000000"/>
          <w:sz w:val="21"/>
        </w:rPr>
        <w:t xml:space="preserve">    (12)</w:t>
      </w:r>
    </w:p>
    <w:p>
      <w:pPr>
        <w:spacing w:line="307" w:lineRule="auto" w:after="80"/>
        <w:ind w:firstLine="420"/>
        <w:jc w:val="both"/>
      </w:pPr>
      <w:r>
        <w:rPr>
          <w:rFonts w:ascii="Times New Roman" w:hAnsi="Times New Roman" w:eastAsia="宋体"/>
          <w:color w:val="000000"/>
          <w:sz w:val="21"/>
        </w:rPr>
        <w:t>其中 γ=diag[γ₁,γ₂] 为正定常数矩阵。控制律设计为</w:t>
      </w:r>
    </w:p>
    <w:p>
      <w:pPr>
        <w:spacing w:before="60" w:after="60"/>
        <w:ind w:firstLine="0"/>
        <w:jc w:val="center"/>
      </w:pPr>
      <w:r>
        <w:rPr>
          <w:rFonts w:ascii="Cambria Math" w:hAnsi="Cambria Math" w:eastAsia="Cambria Math"/>
          <w:color w:val="000000"/>
          <w:sz w:val="21"/>
        </w:rPr>
        <w:t>v=v_a+v_nn+v_r+v_Ξ</w:t>
      </w:r>
    </w:p>
    <w:p>
      <w:pPr>
        <w:spacing w:before="60" w:after="60"/>
        <w:ind w:firstLine="0"/>
        <w:jc w:val="center"/>
      </w:pPr>
      <w:r>
        <w:rPr>
          <w:rFonts w:ascii="Cambria Math" w:hAnsi="Cambria Math" w:eastAsia="Cambria Math"/>
          <w:color w:val="000000"/>
          <w:sz w:val="21"/>
        </w:rPr>
        <w:t>v_a=B̂_q q̇+K̂_q q+Â_q S_f(q̇)+M̂_q q̈_d</w:t>
      </w:r>
    </w:p>
    <w:p>
      <w:pPr>
        <w:spacing w:before="60" w:after="60"/>
        <w:ind w:firstLine="0"/>
        <w:jc w:val="center"/>
      </w:pPr>
      <w:r>
        <w:rPr>
          <w:rFonts w:ascii="Cambria Math" w:hAnsi="Cambria Math" w:eastAsia="Cambria Math"/>
          <w:color w:val="000000"/>
          <w:sz w:val="21"/>
        </w:rPr>
        <w:t>v_nn=−Ŵ_NᵀS_N</w:t>
      </w:r>
    </w:p>
    <w:p>
      <w:pPr>
        <w:spacing w:before="60" w:after="60"/>
        <w:ind w:firstLine="0"/>
        <w:jc w:val="center"/>
      </w:pPr>
      <w:r>
        <w:rPr>
          <w:rFonts w:ascii="Cambria Math" w:hAnsi="Cambria Math" w:eastAsia="Cambria Math"/>
          <w:color w:val="000000"/>
          <w:sz w:val="21"/>
        </w:rPr>
        <w:t>v_r=−K₁σ−K₂Sgn(σ)−M̂_qγė</w:t>
      </w:r>
    </w:p>
    <w:p>
      <w:pPr>
        <w:spacing w:before="60" w:after="60"/>
        <w:ind w:firstLine="0"/>
        <w:jc w:val="center"/>
      </w:pPr>
      <w:r>
        <w:rPr>
          <w:rFonts w:ascii="Cambria Math" w:hAnsi="Cambria Math" w:eastAsia="Cambria Math"/>
          <w:color w:val="000000"/>
          <w:sz w:val="21"/>
        </w:rPr>
        <w:t>v_Ξ=−‖v_a+v_nn+v_r‖σ/[‖σ‖(1−λ_max(Ξ))+ε_c]</w:t>
      </w:r>
      <w:r>
        <w:rPr>
          <w:rFonts w:ascii="Cambria Math" w:hAnsi="Cambria Math" w:eastAsia="Cambria Math"/>
          <w:color w:val="000000"/>
          <w:sz w:val="21"/>
        </w:rPr>
        <w:t xml:space="preserve">    (13)</w:t>
      </w:r>
    </w:p>
    <w:p>
      <w:pPr>
        <w:spacing w:line="307" w:lineRule="auto" w:after="80"/>
        <w:ind w:firstLine="420"/>
        <w:jc w:val="both"/>
      </w:pPr>
      <w:r>
        <w:rPr>
          <w:rFonts w:ascii="Times New Roman" w:hAnsi="Times New Roman" w:eastAsia="宋体"/>
          <w:color w:val="000000"/>
          <w:sz w:val="21"/>
        </w:rPr>
        <w:t>其中 v_a 为基于模型的前馈补偿项；v_nn 为 BLNN 输出，S_N=[S_N1,S_N2]ᵀ 为激活函数矩阵，Ŵ_N=diag[Ŵ_N1,Ŵ_N2] 为权重矩阵；v_r 为鲁棒反馈项，K₁=diag[k₁₁,k₁₂]、K₂=diag[k₂₁,k₂₂] 为待设计正参数矩阵；v_Ξ 用于抵消式（11）中 Ξv 的影响；λ_max(·) 表示最大特征值；ε_c 为避免奇异性而设置的小正常数。对 i=1,2，权重和增益的更新律分别为</w:t>
      </w:r>
    </w:p>
    <w:p>
      <w:pPr>
        <w:spacing w:before="60" w:after="60"/>
        <w:ind w:firstLine="0"/>
        <w:jc w:val="center"/>
      </w:pPr>
      <w:r>
        <w:rPr>
          <w:rFonts w:ascii="Cambria Math" w:hAnsi="Cambria Math" w:eastAsia="Cambria Math"/>
          <w:color w:val="000000"/>
          <w:sz w:val="21"/>
        </w:rPr>
        <w:t>Ŵ̇_Ni=εᵢ(σᵢS_Ni−ηᵢŴ_Ni)</w:t>
      </w:r>
      <w:r>
        <w:rPr>
          <w:rFonts w:ascii="Cambria Math" w:hAnsi="Cambria Math" w:eastAsia="Cambria Math"/>
          <w:color w:val="000000"/>
          <w:sz w:val="21"/>
        </w:rPr>
        <w:t xml:space="preserve">    (14)</w:t>
      </w:r>
    </w:p>
    <w:p>
      <w:pPr>
        <w:spacing w:before="60" w:after="60"/>
        <w:ind w:firstLine="0"/>
        <w:jc w:val="center"/>
      </w:pPr>
      <w:r>
        <w:rPr>
          <w:rFonts w:ascii="Cambria Math" w:hAnsi="Cambria Math" w:eastAsia="Cambria Math"/>
          <w:color w:val="000000"/>
          <w:sz w:val="21"/>
        </w:rPr>
        <w:t>k̇₂ᵢ=ωᵢ(|σᵢ|−βᵢk₂ᵢ)</w:t>
      </w:r>
      <w:r>
        <w:rPr>
          <w:rFonts w:ascii="Cambria Math" w:hAnsi="Cambria Math" w:eastAsia="Cambria Math"/>
          <w:color w:val="000000"/>
          <w:sz w:val="21"/>
        </w:rPr>
        <w:t xml:space="preserve">    (15)</w:t>
      </w:r>
    </w:p>
    <w:p>
      <w:pPr>
        <w:spacing w:line="307" w:lineRule="auto" w:after="80"/>
        <w:ind w:firstLine="420"/>
        <w:jc w:val="both"/>
      </w:pPr>
      <w:r>
        <w:rPr>
          <w:rFonts w:ascii="Times New Roman" w:hAnsi="Times New Roman" w:eastAsia="宋体"/>
          <w:color w:val="000000"/>
          <w:sz w:val="21"/>
        </w:rPr>
        <w:t>其中 εᵢ、ηᵢ、ωᵢ、βᵢ&gt;0 为待设计参数。进一步引入基于 RLS 的限速投影自适应律估计模型参数：</w:t>
      </w:r>
    </w:p>
    <w:p>
      <w:pPr>
        <w:spacing w:before="60" w:after="60"/>
        <w:ind w:firstLine="0"/>
        <w:jc w:val="center"/>
      </w:pPr>
      <w:r>
        <w:rPr>
          <w:rFonts w:ascii="Cambria Math" w:hAnsi="Cambria Math" w:eastAsia="Cambria Math"/>
          <w:color w:val="000000"/>
          <w:sz w:val="21"/>
        </w:rPr>
        <w:t>θ̂̇=sat_ξM(Proj_θ̂(h̄ι))</w:t>
      </w:r>
    </w:p>
    <w:p>
      <w:pPr>
        <w:spacing w:before="60" w:after="60"/>
        <w:ind w:firstLine="0"/>
        <w:jc w:val="center"/>
      </w:pPr>
      <w:r>
        <w:rPr>
          <w:rFonts w:ascii="Cambria Math" w:hAnsi="Cambria Math" w:eastAsia="Cambria Math"/>
          <w:color w:val="000000"/>
          <w:sz w:val="21"/>
        </w:rPr>
        <w:t>sat_ξM(·)={·，若 ‖·‖≤ξ_M； ξ_M·/‖·‖，否则}</w:t>
      </w:r>
    </w:p>
    <w:p>
      <w:pPr>
        <w:spacing w:before="60" w:after="60"/>
        <w:ind w:firstLine="0"/>
        <w:jc w:val="center"/>
      </w:pPr>
      <w:r>
        <w:rPr>
          <w:rFonts w:ascii="Cambria Math" w:hAnsi="Cambria Math" w:eastAsia="Cambria Math"/>
          <w:color w:val="000000"/>
          <w:sz w:val="21"/>
        </w:rPr>
        <w:t>Proj_θ̂(·)={I−h̄ν_θ̂ν_θ̂ᵀ/(ν_θ̂ᵀh̄ν_θ̂)·，若 θ̂∈∂Ω_θ 且 ν_θ̂ᵀ·&gt;0； ·，否则}</w:t>
      </w:r>
      <w:r>
        <w:rPr>
          <w:rFonts w:ascii="Cambria Math" w:hAnsi="Cambria Math" w:eastAsia="Cambria Math"/>
          <w:color w:val="000000"/>
          <w:sz w:val="21"/>
        </w:rPr>
        <w:t xml:space="preserve">    (16)</w:t>
      </w:r>
    </w:p>
    <w:p>
      <w:pPr>
        <w:spacing w:line="307" w:lineRule="auto" w:after="80"/>
        <w:ind w:firstLine="420"/>
        <w:jc w:val="both"/>
      </w:pPr>
      <w:r>
        <w:rPr>
          <w:rFonts w:ascii="Times New Roman" w:hAnsi="Times New Roman" w:eastAsia="宋体"/>
          <w:color w:val="000000"/>
          <w:sz w:val="21"/>
        </w:rPr>
        <w:t>其中 ξ_M 是自适应速率上界，h̄ 为自适应速率矩阵，ι 为 RLS 型自适应函数，I 为单位矩阵，Proj 为标准投影映射，ν_θ̂ 为 θ̂∈∂Ω_θ 处的外法向单位向量。若模型仅含参数项，经过四阶 Butterworth 滤波器后，线性回归模型可表示为</w:t>
      </w:r>
    </w:p>
    <w:p>
      <w:pPr>
        <w:spacing w:before="60" w:after="60"/>
        <w:ind w:firstLine="0"/>
        <w:jc w:val="center"/>
      </w:pPr>
      <w:r>
        <w:rPr>
          <w:rFonts w:ascii="Cambria Math" w:hAnsi="Cambria Math" w:eastAsia="Cambria Math"/>
          <w:color w:val="000000"/>
          <w:sz w:val="21"/>
        </w:rPr>
        <w:t>φ_f θ=ρ(v)_f</w:t>
      </w:r>
      <w:r>
        <w:rPr>
          <w:rFonts w:ascii="Cambria Math" w:hAnsi="Cambria Math" w:eastAsia="Cambria Math"/>
          <w:color w:val="000000"/>
          <w:sz w:val="21"/>
        </w:rPr>
        <w:t xml:space="preserve">    (17)</w:t>
      </w:r>
    </w:p>
    <w:p>
      <w:pPr>
        <w:spacing w:line="307" w:lineRule="auto" w:after="80"/>
        <w:ind w:firstLine="420"/>
        <w:jc w:val="both"/>
      </w:pPr>
      <w:r>
        <w:rPr>
          <w:rFonts w:ascii="Times New Roman" w:hAnsi="Times New Roman" w:eastAsia="宋体"/>
          <w:color w:val="000000"/>
          <w:sz w:val="21"/>
        </w:rPr>
        <w:t>带遗忘因子的参数估计算法为</w:t>
      </w:r>
    </w:p>
    <w:p>
      <w:pPr>
        <w:spacing w:before="60" w:after="60"/>
        <w:ind w:firstLine="0"/>
        <w:jc w:val="center"/>
      </w:pPr>
      <w:r>
        <w:rPr>
          <w:rFonts w:ascii="Cambria Math" w:hAnsi="Cambria Math" w:eastAsia="Cambria Math"/>
          <w:color w:val="000000"/>
          <w:sz w:val="21"/>
        </w:rPr>
        <w:t>ι=−φ_f ϵ/[1+μ tr{φ_fᵀh̄φ_f}]，    ϵ=φ_f θ̂−ρ(v)_f=φ_f θ̃</w:t>
      </w:r>
    </w:p>
    <w:p>
      <w:pPr>
        <w:spacing w:before="60" w:after="60"/>
        <w:ind w:firstLine="0"/>
        <w:jc w:val="center"/>
      </w:pPr>
      <w:r>
        <w:rPr>
          <w:rFonts w:ascii="Cambria Math" w:hAnsi="Cambria Math" w:eastAsia="Cambria Math"/>
          <w:color w:val="000000"/>
          <w:sz w:val="21"/>
        </w:rPr>
        <w:t>h̄̇={0，若 λ_max(h̄(t))&gt;h̄_M； δh̄−h̄φ_fφ_fᵀh̄/[1+μ tr{φ_fᵀh̄φ_f}]，否则}</w:t>
      </w:r>
      <w:r>
        <w:rPr>
          <w:rFonts w:ascii="Cambria Math" w:hAnsi="Cambria Math" w:eastAsia="Cambria Math"/>
          <w:color w:val="000000"/>
          <w:sz w:val="21"/>
        </w:rPr>
        <w:t xml:space="preserve">    (18)</w:t>
      </w:r>
    </w:p>
    <w:p>
      <w:pPr>
        <w:spacing w:line="307" w:lineRule="auto" w:after="80"/>
        <w:ind w:firstLine="420"/>
        <w:jc w:val="both"/>
      </w:pPr>
      <w:r>
        <w:rPr>
          <w:rFonts w:ascii="Times New Roman" w:hAnsi="Times New Roman" w:eastAsia="宋体"/>
          <w:color w:val="000000"/>
          <w:sz w:val="21"/>
        </w:rPr>
        <w:t>其中 μ&gt;0 为归一化因子，δ&gt;0 为遗忘因子，ϵ 为估计误差，h̄_M 为限制自适应更新速率而设定的上界，tr(·) 表示迹运算。</w:t>
      </w:r>
    </w:p>
    <w:p>
      <w:pPr>
        <w:spacing w:line="307" w:lineRule="auto" w:after="80"/>
        <w:ind w:firstLine="0"/>
        <w:jc w:val="both"/>
      </w:pPr>
      <w:r>
        <w:rPr>
          <w:rFonts w:ascii="Times New Roman" w:hAnsi="Times New Roman" w:eastAsia="黑体"/>
          <w:b/>
          <w:color w:val="000000"/>
          <w:sz w:val="21"/>
        </w:rPr>
        <w:t>定理 1</w:t>
      </w:r>
      <w:r>
        <w:rPr>
          <w:rFonts w:ascii="Times New Roman" w:hAnsi="Times New Roman" w:eastAsia="宋体"/>
          <w:color w:val="000000"/>
          <w:sz w:val="21"/>
        </w:rPr>
        <w:t xml:space="preserve">  对式（8）描述的双驱龙门平台，在 RLS 参数自适应律（16）、控制策略（13）以及更新律（14）、（15）作用下，即使执行器存在一定程度饱和，跟踪误差仍将渐近收敛到零的小邻域，且上述全部参数与状态有界。</w:t>
      </w:r>
    </w:p>
    <w:p>
      <w:pPr>
        <w:spacing w:line="307" w:lineRule="auto" w:after="80"/>
        <w:ind w:firstLine="420"/>
        <w:jc w:val="both"/>
      </w:pPr>
      <w:r>
        <w:rPr>
          <w:rFonts w:ascii="Times New Roman" w:hAnsi="Times New Roman" w:eastAsia="黑体"/>
          <w:b/>
          <w:color w:val="000000"/>
          <w:sz w:val="21"/>
        </w:rPr>
        <w:t>证明</w:t>
      </w:r>
      <w:r>
        <w:rPr>
          <w:rFonts w:ascii="Times New Roman" w:hAnsi="Times New Roman" w:eastAsia="宋体"/>
          <w:color w:val="000000"/>
          <w:sz w:val="21"/>
        </w:rPr>
        <w:t xml:space="preserve">  定理 1 的证明分为两步。第一步证明参数估计误差 θ̃ 有界。自适应律（16）对任意 ι 具有以下性质：P1，θ̂∈Ω_θ 且 ‖θ̂̇‖≤ξ_M；P2，θ̃ᵀ[h̄⁻¹Proj_θ̂(h̄ι)−ι]≤0。为进一步证明 θ̃ 的收敛性，引入下述引理。</w:t>
      </w:r>
    </w:p>
    <w:p>
      <w:pPr>
        <w:spacing w:line="307" w:lineRule="auto" w:after="80"/>
        <w:ind w:firstLine="0"/>
        <w:jc w:val="both"/>
      </w:pPr>
      <w:r>
        <w:rPr>
          <w:rFonts w:ascii="Times New Roman" w:hAnsi="Times New Roman" w:eastAsia="黑体"/>
          <w:b/>
          <w:color w:val="000000"/>
          <w:sz w:val="21"/>
        </w:rPr>
        <w:t>引理 1（见文献 [32]）</w:t>
      </w:r>
      <w:r>
        <w:rPr>
          <w:rFonts w:ascii="Times New Roman" w:hAnsi="Times New Roman" w:eastAsia="宋体"/>
          <w:color w:val="000000"/>
          <w:sz w:val="21"/>
        </w:rPr>
        <w:t xml:space="preserve">  对仅含参数不确定性的系统（2），采用自适应律（16）进行在线参数估计。若 φ_f∈L_∞ 且满足如下持续激励条件</w:t>
      </w:r>
    </w:p>
    <w:p>
      <w:pPr>
        <w:spacing w:before="60" w:after="60"/>
        <w:ind w:firstLine="0"/>
        <w:jc w:val="center"/>
      </w:pPr>
      <w:r>
        <w:rPr>
          <w:rFonts w:ascii="Cambria Math" w:hAnsi="Cambria Math" w:eastAsia="Cambria Math"/>
          <w:color w:val="000000"/>
          <w:sz w:val="21"/>
        </w:rPr>
        <w:t>∫_t^(t+t̄) φ_f φ_fᵀ dτ≥ϑI，    对某些 ϑ&gt;0、t̄&gt;0</w:t>
      </w:r>
      <w:r>
        <w:rPr>
          <w:rFonts w:ascii="Cambria Math" w:hAnsi="Cambria Math" w:eastAsia="Cambria Math"/>
          <w:color w:val="000000"/>
          <w:sz w:val="21"/>
        </w:rPr>
        <w:t xml:space="preserve">    (19)</w:t>
      </w:r>
    </w:p>
    <w:p>
      <w:pPr>
        <w:spacing w:line="307" w:lineRule="auto" w:after="80"/>
        <w:ind w:firstLine="420"/>
        <w:jc w:val="both"/>
      </w:pPr>
      <w:r>
        <w:rPr>
          <w:rFonts w:ascii="Times New Roman" w:hAnsi="Times New Roman" w:eastAsia="宋体"/>
          <w:color w:val="000000"/>
          <w:sz w:val="21"/>
        </w:rPr>
        <w:t>则 θ̃∈L₂∩L_∞、θ̂̇∈L₂∩L_∞，并且当 t→∞ 时 θ̃→0。实际系统存在复杂不确定性，θ̃ 几乎不可能严格趋于零，因此可合理假定估计误差 Δθ 有界，从而聚合不确定性 ℵ 也有界。</w:t>
      </w:r>
    </w:p>
    <w:p>
      <w:pPr>
        <w:spacing w:line="307" w:lineRule="auto" w:after="80"/>
        <w:ind w:firstLine="420"/>
        <w:jc w:val="both"/>
      </w:pPr>
      <w:r>
        <w:rPr>
          <w:rFonts w:ascii="Times New Roman" w:hAnsi="Times New Roman" w:eastAsia="宋体"/>
          <w:color w:val="000000"/>
          <w:sz w:val="21"/>
        </w:rPr>
        <w:t>第二步证明跟踪误差 e 收敛。由 Ξ 的定义，每个元素满足 Ξᵢ∈(0,1)。令 v_β=v_a+v_nn+v_r，结合式（13）及 Cauchy-Schwarz 不等式可得</w:t>
      </w:r>
    </w:p>
    <w:p>
      <w:pPr>
        <w:spacing w:before="60" w:after="60"/>
        <w:ind w:firstLine="0"/>
        <w:jc w:val="center"/>
      </w:pPr>
      <w:r>
        <w:rPr>
          <w:rFonts w:ascii="Cambria Math" w:hAnsi="Cambria Math" w:eastAsia="Cambria Math"/>
          <w:color w:val="000000"/>
          <w:sz w:val="21"/>
        </w:rPr>
        <w:t>σᵀ(v_Ξ−Ξv)=σᵀ(I−Ξ)v_Ξ−σᵀΞv_β≤0</w:t>
      </w:r>
      <w:r>
        <w:rPr>
          <w:rFonts w:ascii="Cambria Math" w:hAnsi="Cambria Math" w:eastAsia="Cambria Math"/>
          <w:color w:val="000000"/>
          <w:sz w:val="21"/>
        </w:rPr>
        <w:t xml:space="preserve">    (20)</w:t>
      </w:r>
    </w:p>
    <w:p>
      <w:pPr>
        <w:spacing w:line="307" w:lineRule="auto" w:after="80"/>
        <w:ind w:firstLine="420"/>
        <w:jc w:val="both"/>
      </w:pPr>
      <w:r>
        <w:rPr>
          <w:rFonts w:ascii="Times New Roman" w:hAnsi="Times New Roman" w:eastAsia="宋体"/>
          <w:color w:val="000000"/>
          <w:sz w:val="21"/>
        </w:rPr>
        <w:t>因此 v_Ξ 能够完全抵消 Ξv 的影响。众所周知，只要设置适当的隐藏层节点，神经网络就能以任意精度逼近连续函数。对 i=1,2，聚合不确定性 ℵᵢ 的补偿可表示为</w:t>
      </w:r>
    </w:p>
    <w:p>
      <w:pPr>
        <w:spacing w:before="60" w:after="60"/>
        <w:ind w:firstLine="0"/>
        <w:jc w:val="center"/>
      </w:pPr>
      <w:r>
        <w:rPr>
          <w:rFonts w:ascii="Cambria Math" w:hAnsi="Cambria Math" w:eastAsia="Cambria Math"/>
          <w:color w:val="000000"/>
          <w:sz w:val="21"/>
        </w:rPr>
        <w:t>ℵᵢ=W_NiᵀS_Ni+ε_Ni=Ŵ_NiᵀS_Ni+ς_Ni</w:t>
      </w:r>
      <w:r>
        <w:rPr>
          <w:rFonts w:ascii="Cambria Math" w:hAnsi="Cambria Math" w:eastAsia="Cambria Math"/>
          <w:color w:val="000000"/>
          <w:sz w:val="21"/>
        </w:rPr>
        <w:t xml:space="preserve">    (21)</w:t>
      </w:r>
    </w:p>
    <w:p>
      <w:pPr>
        <w:spacing w:line="307" w:lineRule="auto" w:after="80"/>
        <w:ind w:firstLine="420"/>
        <w:jc w:val="both"/>
      </w:pPr>
      <w:r>
        <w:rPr>
          <w:rFonts w:ascii="Times New Roman" w:hAnsi="Times New Roman" w:eastAsia="宋体"/>
          <w:color w:val="000000"/>
          <w:sz w:val="21"/>
        </w:rPr>
        <w:t>其中 W_Ni 为理想但未知的权重矩阵；ε_Ni 和 ς_Ni 分别为理论估计误差与实际估计误差，且 ς_Ni=W̃_NiᵀS_Ni+ε_Ni。由于 ℵᵢ 有界，存在 |ς_Ni|&lt;ς̄ᵢ、|ε_Ni|&lt;ε̄ᵢ 且 ε̄ᵢ&lt;ς̄ᵢ；ς̄ᵢ 由鲁棒反馈项中的自适应增益 K₂sgn(σ) 抵消。选取 Lyapunov 函数候选</w:t>
      </w:r>
    </w:p>
    <w:p>
      <w:pPr>
        <w:spacing w:before="60" w:after="60"/>
        <w:ind w:firstLine="0"/>
        <w:jc w:val="center"/>
      </w:pPr>
      <w:r>
        <w:rPr>
          <w:rFonts w:ascii="Cambria Math" w:hAnsi="Cambria Math" w:eastAsia="Cambria Math"/>
          <w:color w:val="000000"/>
          <w:sz w:val="21"/>
        </w:rPr>
        <w:t>V=½σᵀM̂_qσ+½Σ(i=1..2)(1/εᵢ)W̃_NiᵀW̃_Ni+½Σ(i=1..2)(1/ωᵢ)(k₂ᵢ−ς̄ᵢ)²</w:t>
      </w:r>
      <w:r>
        <w:rPr>
          <w:rFonts w:ascii="Cambria Math" w:hAnsi="Cambria Math" w:eastAsia="Cambria Math"/>
          <w:color w:val="000000"/>
          <w:sz w:val="21"/>
        </w:rPr>
        <w:t xml:space="preserve">    (22)</w:t>
      </w:r>
    </w:p>
    <w:p>
      <w:pPr>
        <w:spacing w:line="307" w:lineRule="auto" w:after="80"/>
        <w:ind w:firstLine="420"/>
        <w:jc w:val="both"/>
      </w:pPr>
      <w:r>
        <w:rPr>
          <w:rFonts w:ascii="Times New Roman" w:hAnsi="Times New Roman" w:eastAsia="宋体"/>
          <w:color w:val="000000"/>
          <w:sz w:val="21"/>
        </w:rPr>
        <w:t>结合式（8）、（13）至（15）和（20），对 V 求导。根据 Young 不等式有</w:t>
      </w:r>
    </w:p>
    <w:p>
      <w:pPr>
        <w:spacing w:before="60" w:after="60"/>
        <w:ind w:firstLine="0"/>
        <w:jc w:val="center"/>
      </w:pPr>
      <w:r>
        <w:rPr>
          <w:rFonts w:ascii="Cambria Math" w:hAnsi="Cambria Math" w:eastAsia="Cambria Math"/>
          <w:color w:val="000000"/>
          <w:sz w:val="21"/>
        </w:rPr>
        <w:t>ηᵢW̃_NiᵀŴ_Ni≤(ηᵢ/2)W̃_NiᵀW̃_Ni+(ηᵢ/2)W_NiᵀW_Ni</w:t>
      </w:r>
      <w:r>
        <w:rPr>
          <w:rFonts w:ascii="Cambria Math" w:hAnsi="Cambria Math" w:eastAsia="Cambria Math"/>
          <w:color w:val="000000"/>
          <w:sz w:val="21"/>
        </w:rPr>
        <w:t xml:space="preserve">    (23)</w:t>
      </w:r>
    </w:p>
    <w:p>
      <w:pPr>
        <w:spacing w:before="60" w:after="60"/>
        <w:ind w:firstLine="0"/>
        <w:jc w:val="center"/>
      </w:pPr>
      <w:r>
        <w:rPr>
          <w:rFonts w:ascii="Cambria Math" w:hAnsi="Cambria Math" w:eastAsia="Cambria Math"/>
          <w:color w:val="000000"/>
          <w:sz w:val="21"/>
        </w:rPr>
        <w:t>βᵢ|k₂ᵢ−ς̄ᵢ|ς̄ᵢ≤(βᵢ/2)(k₂ᵢ−ς̄ᵢ)²+(βᵢ/2)ς̄ᵢ²</w:t>
      </w:r>
      <w:r>
        <w:rPr>
          <w:rFonts w:ascii="Cambria Math" w:hAnsi="Cambria Math" w:eastAsia="Cambria Math"/>
          <w:color w:val="000000"/>
          <w:sz w:val="21"/>
        </w:rPr>
        <w:t xml:space="preserve">    (24)</w:t>
      </w:r>
    </w:p>
    <w:p>
      <w:pPr>
        <w:spacing w:line="307" w:lineRule="auto" w:after="80"/>
        <w:ind w:firstLine="420"/>
        <w:jc w:val="both"/>
      </w:pPr>
      <w:r>
        <w:rPr>
          <w:rFonts w:ascii="Times New Roman" w:hAnsi="Times New Roman" w:eastAsia="宋体"/>
          <w:color w:val="000000"/>
          <w:sz w:val="21"/>
        </w:rPr>
        <w:t>继续推导可得 V̇≤−φ₁V+ψ₁，其中</w:t>
      </w:r>
    </w:p>
    <w:p>
      <w:pPr>
        <w:spacing w:before="60" w:after="60"/>
        <w:ind w:firstLine="0"/>
        <w:jc w:val="center"/>
      </w:pPr>
      <w:r>
        <w:rPr>
          <w:rFonts w:ascii="Cambria Math" w:hAnsi="Cambria Math" w:eastAsia="Cambria Math"/>
          <w:color w:val="000000"/>
          <w:sz w:val="21"/>
        </w:rPr>
        <w:t>φ₁=min{λ_min(2K₁/M̂_q), λ_min(ηᵀε), λ_min(ωᵀβ)}</w:t>
      </w:r>
    </w:p>
    <w:p>
      <w:pPr>
        <w:spacing w:before="60" w:after="60"/>
        <w:ind w:firstLine="0"/>
        <w:jc w:val="center"/>
      </w:pPr>
      <w:r>
        <w:rPr>
          <w:rFonts w:ascii="Cambria Math" w:hAnsi="Cambria Math" w:eastAsia="Cambria Math"/>
          <w:color w:val="000000"/>
          <w:sz w:val="21"/>
        </w:rPr>
        <w:t>ψ₁=Σ(i=1..2)(ηᵢ/2)W_NiᵀW_Ni+Σ(i=1..2)(βᵢ/2)ς̄ᵢ²</w:t>
      </w:r>
      <w:r>
        <w:rPr>
          <w:rFonts w:ascii="Cambria Math" w:hAnsi="Cambria Math" w:eastAsia="Cambria Math"/>
          <w:color w:val="000000"/>
          <w:sz w:val="21"/>
        </w:rPr>
        <w:t xml:space="preserve">    (25)</w:t>
      </w:r>
    </w:p>
    <w:p>
      <w:pPr>
        <w:spacing w:line="307" w:lineRule="auto" w:after="80"/>
        <w:ind w:firstLine="420"/>
        <w:jc w:val="both"/>
      </w:pPr>
      <w:r>
        <w:rPr>
          <w:rFonts w:ascii="Times New Roman" w:hAnsi="Times New Roman" w:eastAsia="宋体"/>
          <w:color w:val="000000"/>
          <w:sz w:val="21"/>
        </w:rPr>
        <w:t>结合式（22）可得</w:t>
      </w:r>
    </w:p>
    <w:p>
      <w:pPr>
        <w:spacing w:before="60" w:after="60"/>
        <w:ind w:firstLine="0"/>
        <w:jc w:val="center"/>
      </w:pPr>
      <w:r>
        <w:rPr>
          <w:rFonts w:ascii="Cambria Math" w:hAnsi="Cambria Math" w:eastAsia="Cambria Math"/>
          <w:color w:val="000000"/>
          <w:sz w:val="21"/>
        </w:rPr>
        <w:t>|σᵢ|≤√[2ψ₁/(φ₁λ_min(M̂_q))]</w:t>
      </w:r>
      <w:r>
        <w:rPr>
          <w:rFonts w:ascii="Cambria Math" w:hAnsi="Cambria Math" w:eastAsia="Cambria Math"/>
          <w:color w:val="000000"/>
          <w:sz w:val="21"/>
        </w:rPr>
        <w:t xml:space="preserve">    (26)</w:t>
      </w:r>
    </w:p>
    <w:p>
      <w:pPr>
        <w:spacing w:before="60" w:after="60"/>
        <w:ind w:firstLine="0"/>
        <w:jc w:val="center"/>
      </w:pPr>
      <w:r>
        <w:rPr>
          <w:rFonts w:ascii="Cambria Math" w:hAnsi="Cambria Math" w:eastAsia="Cambria Math"/>
          <w:color w:val="000000"/>
          <w:sz w:val="21"/>
        </w:rPr>
        <w:t>‖W̃_Ni‖≤√[2ψ₁λ_max(ε)/φ₁]，    |k₂ᵢ−ς̄ᵢ|≤√[2ψ₁λ_max(ω)/φ₁]</w:t>
      </w:r>
      <w:r>
        <w:rPr>
          <w:rFonts w:ascii="Cambria Math" w:hAnsi="Cambria Math" w:eastAsia="Cambria Math"/>
          <w:color w:val="000000"/>
          <w:sz w:val="21"/>
        </w:rPr>
        <w:t xml:space="preserve">    (27)</w:t>
      </w:r>
    </w:p>
    <w:p>
      <w:pPr>
        <w:spacing w:line="307" w:lineRule="auto" w:after="80"/>
        <w:ind w:firstLine="420"/>
        <w:jc w:val="both"/>
      </w:pPr>
      <w:r>
        <w:rPr>
          <w:rFonts w:ascii="Times New Roman" w:hAnsi="Times New Roman" w:eastAsia="宋体"/>
          <w:color w:val="000000"/>
          <w:sz w:val="21"/>
        </w:rPr>
        <w:t>进一步依据式（12），通过调节 γᵢ、k₁ᵢ、ηᵢ、εᵢ、ωᵢ 和 βᵢ，可将误差 e 限制在零点附近的小邻域，实现期望控制性能。证毕。</w:t>
      </w:r>
    </w:p>
    <w:p>
      <w:pPr>
        <w:pStyle w:val="Heading2"/>
        <w:keepNext/>
      </w:pPr>
      <w:r>
        <w:t>3.1 宽度学习神经网络设计</w:t>
      </w:r>
    </w:p>
    <w:p>
      <w:pPr>
        <w:keepNext/>
        <w:ind w:firstLine="0"/>
        <w:jc w:val="center"/>
      </w:pPr>
      <w:r>
        <w:drawing>
          <wp:inline xmlns:a="http://schemas.openxmlformats.org/drawingml/2006/main" xmlns:pic="http://schemas.openxmlformats.org/drawingml/2006/picture">
            <wp:extent cx="4428000" cy="1596000"/>
            <wp:docPr id="3" name="Picture 3"/>
            <wp:cNvGraphicFramePr>
              <a:graphicFrameLocks noChangeAspect="1"/>
            </wp:cNvGraphicFramePr>
            <a:graphic>
              <a:graphicData uri="http://schemas.openxmlformats.org/drawingml/2006/picture">
                <pic:pic>
                  <pic:nvPicPr>
                    <pic:cNvPr id="0" name="fig03.jpg"/>
                    <pic:cNvPicPr/>
                  </pic:nvPicPr>
                  <pic:blipFill>
                    <a:blip r:embed="rId11"/>
                    <a:stretch>
                      <a:fillRect/>
                    </a:stretch>
                  </pic:blipFill>
                  <pic:spPr>
                    <a:xfrm>
                      <a:off x="0" y="0"/>
                      <a:ext cx="4428000" cy="1596000"/>
                    </a:xfrm>
                    <a:prstGeom prst="rect"/>
                  </pic:spPr>
                </pic:pic>
              </a:graphicData>
            </a:graphic>
          </wp:inline>
        </w:drawing>
      </w:r>
    </w:p>
    <w:p>
      <w:pPr>
        <w:keepNext w:val="0"/>
        <w:spacing w:after="140"/>
        <w:ind w:firstLine="0"/>
        <w:jc w:val="center"/>
      </w:pPr>
      <w:r>
        <w:rPr>
          <w:rFonts w:ascii="Times New Roman" w:hAnsi="Times New Roman" w:eastAsia="宋体"/>
          <w:color w:val="000000"/>
          <w:sz w:val="19"/>
        </w:rPr>
        <w:t>图 3  BLNN 设计框图</w:t>
      </w:r>
    </w:p>
    <w:p>
      <w:pPr>
        <w:spacing w:line="307" w:lineRule="auto" w:after="80"/>
        <w:ind w:firstLine="0"/>
        <w:jc w:val="both"/>
      </w:pPr>
      <w:r>
        <w:rPr>
          <w:rFonts w:ascii="Times New Roman" w:hAnsi="Times New Roman" w:eastAsia="黑体"/>
          <w:b/>
          <w:color w:val="000000"/>
          <w:sz w:val="21"/>
        </w:rPr>
        <w:t>注 1</w:t>
      </w:r>
      <w:r>
        <w:rPr>
          <w:rFonts w:ascii="Times New Roman" w:hAnsi="Times New Roman" w:eastAsia="宋体"/>
          <w:color w:val="000000"/>
          <w:sz w:val="21"/>
        </w:rPr>
        <w:t xml:space="preserve">  控制项 v_nn 来自图 3 所示 BLNN。该网络既具有扩展增强神经元，又能自适应增加神经元数量，从而获得良好的逼近性能。若将式（21）中的 ℵᵢ 表示为任意连续函数 f，传统 RBF 神经网络可表示为</w:t>
      </w:r>
    </w:p>
    <w:p>
      <w:pPr>
        <w:spacing w:before="60" w:after="60"/>
        <w:ind w:firstLine="0"/>
        <w:jc w:val="center"/>
      </w:pPr>
      <w:r>
        <w:rPr>
          <w:rFonts w:ascii="Cambria Math" w:hAnsi="Cambria Math" w:eastAsia="Cambria Math"/>
          <w:color w:val="000000"/>
          <w:sz w:val="21"/>
        </w:rPr>
        <w:t>f(χ)=WᵀH(χ)+ε</w:t>
      </w:r>
      <w:r>
        <w:rPr>
          <w:rFonts w:ascii="Cambria Math" w:hAnsi="Cambria Math" w:eastAsia="Cambria Math"/>
          <w:color w:val="000000"/>
          <w:sz w:val="21"/>
        </w:rPr>
        <w:t xml:space="preserve">    (28)</w:t>
      </w:r>
    </w:p>
    <w:p>
      <w:pPr>
        <w:spacing w:line="307" w:lineRule="auto" w:after="80"/>
        <w:ind w:firstLine="420"/>
        <w:jc w:val="both"/>
      </w:pPr>
      <w:r>
        <w:rPr>
          <w:rFonts w:ascii="Times New Roman" w:hAnsi="Times New Roman" w:eastAsia="宋体"/>
          <w:color w:val="000000"/>
          <w:sz w:val="21"/>
        </w:rPr>
        <w:t>其中 χ 为输入向量，W=[w₁,w₂,…,wₙ]ᵀ 为最优权重，H(χ)=[h₁(χ),h₂(χ),…,hₙ(χ)]ᵀ。hᵢ(χ) 为高斯函数：</w:t>
      </w:r>
    </w:p>
    <w:p>
      <w:pPr>
        <w:spacing w:before="60" w:after="60"/>
        <w:ind w:firstLine="0"/>
        <w:jc w:val="center"/>
      </w:pPr>
      <w:r>
        <w:rPr>
          <w:rFonts w:ascii="Cambria Math" w:hAnsi="Cambria Math" w:eastAsia="Cambria Math"/>
          <w:color w:val="000000"/>
          <w:sz w:val="21"/>
        </w:rPr>
        <w:t>hᵢ(χ)=exp[−(χ−cᵢ)ᵀ(χ−cᵢ)/bᵢ²]，    i=1,2,…,n</w:t>
      </w:r>
      <w:r>
        <w:rPr>
          <w:rFonts w:ascii="Cambria Math" w:hAnsi="Cambria Math" w:eastAsia="Cambria Math"/>
          <w:color w:val="000000"/>
          <w:sz w:val="21"/>
        </w:rPr>
        <w:t xml:space="preserve">    (29)</w:t>
      </w:r>
    </w:p>
    <w:p>
      <w:pPr>
        <w:spacing w:line="307" w:lineRule="auto" w:after="80"/>
        <w:ind w:firstLine="420"/>
        <w:jc w:val="both"/>
      </w:pPr>
      <w:r>
        <w:rPr>
          <w:rFonts w:ascii="Times New Roman" w:hAnsi="Times New Roman" w:eastAsia="宋体"/>
          <w:color w:val="000000"/>
          <w:sz w:val="21"/>
        </w:rPr>
        <w:t>其中 n 为网络节点数，cᵢ=[c_i1,c_i2,…,c_il]ᵀ 和 bᵢ 分别为高斯函数中心和宽度，l 与输入向量 χ 的维数相同，ε 为逼近误差。BLNN 的独特之处在于节点数 n 可按规则自适应调节。定义中心向量 C=[c₁,c₂,…,cₙ]ᵀ。通过计算 ‖χ−cᵢ‖，得到由距离 χ 最近的 m 个节点组成的向量 p=[p₁,p₂,…,p_m]ᵀ∈C，其中 m&lt;n。令 c_avg=(1/m)Σpᵢ，新增加的中心为</w:t>
      </w:r>
    </w:p>
    <w:p>
      <w:pPr>
        <w:spacing w:before="60" w:after="60"/>
        <w:ind w:firstLine="0"/>
        <w:jc w:val="center"/>
      </w:pPr>
      <w:r>
        <w:rPr>
          <w:rFonts w:ascii="Cambria Math" w:hAnsi="Cambria Math" w:eastAsia="Cambria Math"/>
          <w:color w:val="000000"/>
          <w:sz w:val="21"/>
        </w:rPr>
        <w:t>c_new=c_avg+τ(χ−c_avg)</w:t>
      </w:r>
      <w:r>
        <w:rPr>
          <w:rFonts w:ascii="Cambria Math" w:hAnsi="Cambria Math" w:eastAsia="Cambria Math"/>
          <w:color w:val="000000"/>
          <w:sz w:val="21"/>
        </w:rPr>
        <w:t xml:space="preserve">    (30)</w:t>
      </w:r>
    </w:p>
    <w:p>
      <w:pPr>
        <w:spacing w:line="307" w:lineRule="auto" w:after="80"/>
        <w:ind w:firstLine="420"/>
        <w:jc w:val="both"/>
      </w:pPr>
      <w:r>
        <w:rPr>
          <w:rFonts w:ascii="Times New Roman" w:hAnsi="Times New Roman" w:eastAsia="宋体"/>
          <w:color w:val="000000"/>
          <w:sz w:val="21"/>
        </w:rPr>
        <w:t>其中 τ 为可调参数。是否增加新节点的规则为</w:t>
      </w:r>
    </w:p>
    <w:p>
      <w:pPr>
        <w:spacing w:before="60" w:after="60"/>
        <w:ind w:firstLine="0"/>
        <w:jc w:val="center"/>
      </w:pPr>
      <w:r>
        <w:rPr>
          <w:rFonts w:ascii="Cambria Math" w:hAnsi="Cambria Math" w:eastAsia="Cambria Math"/>
          <w:color w:val="000000"/>
          <w:sz w:val="21"/>
        </w:rPr>
        <w:t>c(t+T)={ [c(t)|c_new]，若 ‖χ−c_avg‖&gt;Θ； c(t)，否则 }</w:t>
      </w:r>
      <w:r>
        <w:rPr>
          <w:rFonts w:ascii="Cambria Math" w:hAnsi="Cambria Math" w:eastAsia="Cambria Math"/>
          <w:color w:val="000000"/>
          <w:sz w:val="21"/>
        </w:rPr>
        <w:t xml:space="preserve">    (31)</w:t>
      </w:r>
    </w:p>
    <w:p>
      <w:pPr>
        <w:spacing w:line="307" w:lineRule="auto" w:after="80"/>
        <w:ind w:firstLine="420"/>
        <w:jc w:val="both"/>
      </w:pPr>
      <w:r>
        <w:rPr>
          <w:rFonts w:ascii="Times New Roman" w:hAnsi="Times New Roman" w:eastAsia="宋体"/>
          <w:color w:val="000000"/>
          <w:sz w:val="21"/>
        </w:rPr>
        <w:t>其中 T 为计算间隔，c(t+T) 为下一计算步的中心向量，[·|·] 表示两个矩阵的纵向拼接，Θ 是决定是否将 c_new 加入 c(t+T) 的阈值。参照文献 [22]，引入增强神经元，其激活函数为</w:t>
      </w:r>
    </w:p>
    <w:p>
      <w:pPr>
        <w:spacing w:before="60" w:after="60"/>
        <w:ind w:firstLine="0"/>
        <w:jc w:val="center"/>
      </w:pPr>
      <w:r>
        <w:rPr>
          <w:rFonts w:ascii="Cambria Math" w:hAnsi="Cambria Math" w:eastAsia="Cambria Math"/>
          <w:color w:val="000000"/>
          <w:sz w:val="21"/>
        </w:rPr>
        <w:t>eᵢ=[cos(hᵢ(χ)), sin(hᵢ(χ))]</w:t>
      </w:r>
      <w:r>
        <w:rPr>
          <w:rFonts w:ascii="Cambria Math" w:hAnsi="Cambria Math" w:eastAsia="Cambria Math"/>
          <w:color w:val="000000"/>
          <w:sz w:val="21"/>
        </w:rPr>
        <w:t xml:space="preserve">    (32)</w:t>
      </w:r>
    </w:p>
    <w:p>
      <w:pPr>
        <w:spacing w:line="307" w:lineRule="auto" w:after="80"/>
        <w:ind w:firstLine="420"/>
        <w:jc w:val="both"/>
      </w:pPr>
      <w:r>
        <w:rPr>
          <w:rFonts w:ascii="Times New Roman" w:hAnsi="Times New Roman" w:eastAsia="宋体"/>
          <w:color w:val="000000"/>
          <w:sz w:val="21"/>
        </w:rPr>
        <w:t>最终，BLNN 的激活函数输出向量和对应权重向量为</w:t>
      </w:r>
    </w:p>
    <w:p>
      <w:pPr>
        <w:spacing w:before="60" w:after="60"/>
        <w:ind w:firstLine="0"/>
        <w:jc w:val="center"/>
      </w:pPr>
      <w:r>
        <w:rPr>
          <w:rFonts w:ascii="Cambria Math" w:hAnsi="Cambria Math" w:eastAsia="Cambria Math"/>
          <w:color w:val="000000"/>
          <w:sz w:val="21"/>
        </w:rPr>
        <w:t>S=[h₁,h₂,…,hₙ,e₁,e₂,…,eₙ]ᵀ</w:t>
      </w:r>
    </w:p>
    <w:p>
      <w:pPr>
        <w:spacing w:before="60" w:after="60"/>
        <w:ind w:firstLine="0"/>
        <w:jc w:val="center"/>
      </w:pPr>
      <w:r>
        <w:rPr>
          <w:rFonts w:ascii="Cambria Math" w:hAnsi="Cambria Math" w:eastAsia="Cambria Math"/>
          <w:color w:val="000000"/>
          <w:sz w:val="21"/>
        </w:rPr>
        <w:t>W=[w₁,w₂,…,wₙ,w_e1,w_e2,…,w_en]ᵀ</w:t>
      </w:r>
      <w:r>
        <w:rPr>
          <w:rFonts w:ascii="Cambria Math" w:hAnsi="Cambria Math" w:eastAsia="Cambria Math"/>
          <w:color w:val="000000"/>
          <w:sz w:val="21"/>
        </w:rPr>
        <w:t xml:space="preserve">    (33)</w:t>
      </w:r>
    </w:p>
    <w:p>
      <w:pPr>
        <w:spacing w:line="307" w:lineRule="auto" w:after="80"/>
        <w:ind w:firstLine="420"/>
        <w:jc w:val="both"/>
      </w:pPr>
      <w:r>
        <w:rPr>
          <w:rFonts w:ascii="Times New Roman" w:hAnsi="Times New Roman" w:eastAsia="宋体"/>
          <w:color w:val="000000"/>
          <w:sz w:val="21"/>
        </w:rPr>
        <w:t>其中 w_ei 为增强神经元对应的权重，式（28）可重写为</w:t>
      </w:r>
    </w:p>
    <w:p>
      <w:pPr>
        <w:spacing w:before="60" w:after="60"/>
        <w:ind w:firstLine="0"/>
        <w:jc w:val="center"/>
      </w:pPr>
      <w:r>
        <w:rPr>
          <w:rFonts w:ascii="Cambria Math" w:hAnsi="Cambria Math" w:eastAsia="Cambria Math"/>
          <w:color w:val="000000"/>
          <w:sz w:val="21"/>
        </w:rPr>
        <w:t>f(χ)=WᵀS(χ)+ε</w:t>
      </w:r>
      <w:r>
        <w:rPr>
          <w:rFonts w:ascii="Cambria Math" w:hAnsi="Cambria Math" w:eastAsia="Cambria Math"/>
          <w:color w:val="000000"/>
          <w:sz w:val="21"/>
        </w:rPr>
        <w:t xml:space="preserve">    (34)</w:t>
      </w:r>
    </w:p>
    <w:p>
      <w:pPr>
        <w:spacing w:line="307" w:lineRule="auto" w:after="80"/>
        <w:ind w:firstLine="0"/>
        <w:jc w:val="both"/>
      </w:pPr>
      <w:r>
        <w:rPr>
          <w:rFonts w:ascii="Times New Roman" w:hAnsi="Times New Roman" w:eastAsia="黑体"/>
          <w:b/>
          <w:color w:val="000000"/>
          <w:sz w:val="21"/>
        </w:rPr>
        <w:t>注 2</w:t>
      </w:r>
      <w:r>
        <w:rPr>
          <w:rFonts w:ascii="Times New Roman" w:hAnsi="Times New Roman" w:eastAsia="宋体"/>
          <w:color w:val="000000"/>
          <w:sz w:val="21"/>
        </w:rPr>
        <w:t xml:space="preserve">  自适应项（15）不仅缓解了高增益设计问题，也为计算能力有限、无法容纳大量神经节点的系统提供了更大灵活性。初始值应满足 k₂ᵢ(0)&gt;0。βᵢ 越小，k₂ᵢ 变化越快，因而对外部扰动峰值的适应能力越强，但对噪声也更敏感。随着 |σᵢ| 逐渐减小，k₂ᵢ 的变化率表现为指数衰减。</w:t>
      </w:r>
    </w:p>
    <w:p>
      <w:pPr>
        <w:pStyle w:val="Heading1"/>
        <w:keepNext/>
      </w:pPr>
      <w:r>
        <w:t>4 实验验证</w:t>
      </w:r>
    </w:p>
    <w:p>
      <w:pPr>
        <w:spacing w:line="307" w:lineRule="auto" w:after="80"/>
        <w:ind w:firstLine="420"/>
        <w:jc w:val="both"/>
      </w:pPr>
      <w:r>
        <w:rPr>
          <w:rFonts w:ascii="Times New Roman" w:hAnsi="Times New Roman" w:eastAsia="宋体"/>
          <w:color w:val="000000"/>
          <w:sz w:val="21"/>
        </w:rPr>
        <w:t>本节在图 4 所示双驱龙门平台上验证所提控制器。</w:t>
      </w:r>
    </w:p>
    <w:p>
      <w:pPr>
        <w:keepNext/>
        <w:ind w:firstLine="0"/>
        <w:jc w:val="center"/>
      </w:pPr>
      <w:r>
        <w:drawing>
          <wp:inline xmlns:a="http://schemas.openxmlformats.org/drawingml/2006/main" xmlns:pic="http://schemas.openxmlformats.org/drawingml/2006/picture">
            <wp:extent cx="4392000" cy="2708400"/>
            <wp:docPr id="4" name="Picture 4"/>
            <wp:cNvGraphicFramePr>
              <a:graphicFrameLocks noChangeAspect="1"/>
            </wp:cNvGraphicFramePr>
            <a:graphic>
              <a:graphicData uri="http://schemas.openxmlformats.org/drawingml/2006/picture">
                <pic:pic>
                  <pic:nvPicPr>
                    <pic:cNvPr id="0" name="fig04.jpg"/>
                    <pic:cNvPicPr/>
                  </pic:nvPicPr>
                  <pic:blipFill>
                    <a:blip r:embed="rId12"/>
                    <a:stretch>
                      <a:fillRect/>
                    </a:stretch>
                  </pic:blipFill>
                  <pic:spPr>
                    <a:xfrm>
                      <a:off x="0" y="0"/>
                      <a:ext cx="4392000" cy="2708400"/>
                    </a:xfrm>
                    <a:prstGeom prst="rect"/>
                  </pic:spPr>
                </pic:pic>
              </a:graphicData>
            </a:graphic>
          </wp:inline>
        </w:drawing>
      </w:r>
    </w:p>
    <w:p>
      <w:pPr>
        <w:keepNext w:val="0"/>
        <w:spacing w:after="140"/>
        <w:ind w:firstLine="0"/>
        <w:jc w:val="center"/>
      </w:pPr>
      <w:r>
        <w:rPr>
          <w:rFonts w:ascii="Times New Roman" w:hAnsi="Times New Roman" w:eastAsia="宋体"/>
          <w:color w:val="000000"/>
          <w:sz w:val="19"/>
        </w:rPr>
        <w:t>图 4  实验用双驱龙门平台</w:t>
      </w:r>
    </w:p>
    <w:p>
      <w:pPr>
        <w:pStyle w:val="Heading2"/>
        <w:keepNext/>
      </w:pPr>
      <w:r>
        <w:t>4.1 实验装置</w:t>
      </w:r>
    </w:p>
    <w:p>
      <w:pPr>
        <w:spacing w:line="307" w:lineRule="auto" w:after="80"/>
        <w:ind w:firstLine="420"/>
        <w:jc w:val="both"/>
      </w:pPr>
      <w:r>
        <w:rPr>
          <w:rFonts w:ascii="Times New Roman" w:hAnsi="Times New Roman" w:eastAsia="宋体"/>
          <w:color w:val="000000"/>
          <w:sz w:val="21"/>
        </w:rPr>
        <w:t>横梁两侧的直线电机、导轨和直线编码器长度分别为 L_m=0.975 m、L_g=1.095 m 和 L_e=1.185 m。直线编码器位置反馈分辨率为 0.05 μm，对应横梁转角分辨率为 0.042 μrad。速度信息由位置微分获得。控制代码运行于上位机，并经 EtherCAT 协议向驱动器发送控制指令；通过数模转换后，驱动直线电机运动。整个闭环系统由工业计算机实时管理，程序采样周期 T_p=1 ms。</w:t>
      </w:r>
    </w:p>
    <w:p>
      <w:pPr>
        <w:spacing w:line="307" w:lineRule="auto" w:after="80"/>
        <w:ind w:firstLine="420"/>
        <w:jc w:val="both"/>
      </w:pPr>
      <w:r>
        <w:rPr>
          <w:rFonts w:ascii="Times New Roman" w:hAnsi="Times New Roman" w:eastAsia="宋体"/>
          <w:color w:val="000000"/>
          <w:sz w:val="21"/>
        </w:rPr>
        <w:t>实验系统中，移动平台质量为 11 kg，横梁质量为 25 kg。两台直线电机的额定恒定推力系数为 157.2 N/V。经离线辨识，两侧电机推力系数比 k_y2/k_y1=1.02。</w:t>
      </w:r>
    </w:p>
    <w:p>
      <w:pPr>
        <w:pStyle w:val="Heading2"/>
        <w:keepNext/>
      </w:pPr>
      <w:r>
        <w:t>4.2 对比实验设计</w:t>
      </w:r>
    </w:p>
    <w:p>
      <w:pPr>
        <w:keepNext/>
        <w:ind w:firstLine="0"/>
        <w:jc w:val="center"/>
      </w:pPr>
      <w:r>
        <w:drawing>
          <wp:inline xmlns:a="http://schemas.openxmlformats.org/drawingml/2006/main" xmlns:pic="http://schemas.openxmlformats.org/drawingml/2006/picture">
            <wp:extent cx="4392000" cy="2696200"/>
            <wp:docPr id="5" name="Picture 5"/>
            <wp:cNvGraphicFramePr>
              <a:graphicFrameLocks noChangeAspect="1"/>
            </wp:cNvGraphicFramePr>
            <a:graphic>
              <a:graphicData uri="http://schemas.openxmlformats.org/drawingml/2006/picture">
                <pic:pic>
                  <pic:nvPicPr>
                    <pic:cNvPr id="0" name="fig05.jpg"/>
                    <pic:cNvPicPr/>
                  </pic:nvPicPr>
                  <pic:blipFill>
                    <a:blip r:embed="rId13"/>
                    <a:stretch>
                      <a:fillRect/>
                    </a:stretch>
                  </pic:blipFill>
                  <pic:spPr>
                    <a:xfrm>
                      <a:off x="0" y="0"/>
                      <a:ext cx="4392000" cy="2696200"/>
                    </a:xfrm>
                    <a:prstGeom prst="rect"/>
                  </pic:spPr>
                </pic:pic>
              </a:graphicData>
            </a:graphic>
          </wp:inline>
        </w:drawing>
      </w:r>
    </w:p>
    <w:p>
      <w:pPr>
        <w:keepNext w:val="0"/>
        <w:spacing w:after="140"/>
        <w:ind w:firstLine="0"/>
        <w:jc w:val="center"/>
      </w:pPr>
      <w:r>
        <w:rPr>
          <w:rFonts w:ascii="Times New Roman" w:hAnsi="Times New Roman" w:eastAsia="宋体"/>
          <w:color w:val="000000"/>
          <w:sz w:val="19"/>
        </w:rPr>
        <w:t>图 5  工况 Set2 下的龙门平台</w:t>
      </w:r>
    </w:p>
    <w:p>
      <w:pPr>
        <w:spacing w:line="307" w:lineRule="auto" w:after="80"/>
        <w:ind w:firstLine="420"/>
        <w:jc w:val="both"/>
      </w:pPr>
      <w:r>
        <w:rPr>
          <w:rFonts w:ascii="Times New Roman" w:hAnsi="Times New Roman" w:eastAsia="宋体"/>
          <w:color w:val="000000"/>
          <w:sz w:val="21"/>
        </w:rPr>
        <w:t>为验证所提策略的改进效果与优势，在双驱龙门平台上开展以下对比实验。</w:t>
      </w:r>
    </w:p>
    <w:p>
      <w:pPr>
        <w:spacing w:line="307" w:lineRule="auto" w:after="80"/>
        <w:ind w:firstLine="420"/>
        <w:jc w:val="both"/>
      </w:pPr>
      <w:r>
        <w:rPr>
          <w:rFonts w:ascii="Times New Roman" w:hAnsi="Times New Roman" w:eastAsia="宋体"/>
          <w:color w:val="000000"/>
          <w:sz w:val="21"/>
        </w:rPr>
        <w:t>C1：本文方法。参数设置为 γ=diag[30,20]，K₁=diag[70,125]，η=0.01，ε=diag[30,30]，Θ=0.3，ω=diag[5,2]，β=diag[1,1]，K₂ 初值为 diag[0.05,0.02]，λ_max(Ξ)=0.72。BLNN 初始节点数 n₀=4，τ=0.7，m=3，cᵢ=[−1,−0.5,0,0.5,1]，bᵢ=1，i=1,2,…,4。输入向量 χ=[q̈,q̇,q,e,ė]ᵀ。系统参数初值 θ=[0.3,0.01,0.2,0,1.4,1.5,0.015,0]ᵀ，为该平台离线辨识结果。θ_max=[0.4,0.02,0.25,0.1,1.5,2,0.05,0.02]ᵀ，θ_min=[0.1,0.002,0.14,−0.1,1.3,1,−0.05,−0.02]ᵀ。自适应速率矩阵 h̄=[10,0,80,0,0,0,80,30]，h̄_M=5000，δ=0.02，μ=0.1。</w:t>
      </w:r>
    </w:p>
    <w:p>
      <w:pPr>
        <w:spacing w:line="307" w:lineRule="auto" w:after="80"/>
        <w:ind w:firstLine="420"/>
        <w:jc w:val="both"/>
      </w:pPr>
      <w:r>
        <w:rPr>
          <w:rFonts w:ascii="Times New Roman" w:hAnsi="Times New Roman" w:eastAsia="宋体"/>
          <w:color w:val="000000"/>
          <w:sz w:val="21"/>
        </w:rPr>
        <w:t>C2：PID 控制器。控制律为 u=K_p e+K_I∫₀ᵗe(τ)dτ+K_d ė，参数 K_p=[2100,2500]ᵀ、K_I=[1000,1000]ᵀ、K_d=[30,20]ᵀ。</w:t>
      </w:r>
    </w:p>
    <w:p>
      <w:pPr>
        <w:spacing w:line="307" w:lineRule="auto" w:after="80"/>
        <w:ind w:firstLine="420"/>
        <w:jc w:val="both"/>
      </w:pPr>
      <w:r>
        <w:rPr>
          <w:rFonts w:ascii="Times New Roman" w:hAnsi="Times New Roman" w:eastAsia="宋体"/>
          <w:color w:val="000000"/>
          <w:sz w:val="21"/>
        </w:rPr>
        <w:t>C3：文献 [11] 提出的基于 DCARC 的同步控制方法。控制律 v_s=−K_dσ−K_e e−K_a‖e‖²σ；K_d=diag[50,100]，K_e=diag[600,500]，K_a=diag[500,500]，γ=diag[30,20]，其余参数与 C1 相同。</w:t>
      </w:r>
    </w:p>
    <w:p>
      <w:pPr>
        <w:spacing w:line="307" w:lineRule="auto" w:after="80"/>
        <w:ind w:firstLine="420"/>
        <w:jc w:val="both"/>
      </w:pPr>
      <w:r>
        <w:rPr>
          <w:rFonts w:ascii="Times New Roman" w:hAnsi="Times New Roman" w:eastAsia="宋体"/>
          <w:color w:val="000000"/>
          <w:sz w:val="21"/>
        </w:rPr>
        <w:t>C4：文献 [13] 提出的 RBFNN-DCARC 同步控制方法。控制律与 C3 相同；RBF 节点在 −0.21 至 0.21 范围内均匀分布，共 60 个，其余参数与 C1 相同。由于 C1 最终神经元数量为 n=60，C4 也设置为相同数量，以保证比较公平。</w:t>
      </w:r>
    </w:p>
    <w:p>
      <w:pPr>
        <w:spacing w:line="307" w:lineRule="auto" w:after="80"/>
        <w:ind w:firstLine="420"/>
        <w:jc w:val="both"/>
      </w:pPr>
      <w:r>
        <w:rPr>
          <w:rFonts w:ascii="Times New Roman" w:hAnsi="Times New Roman" w:eastAsia="宋体"/>
          <w:color w:val="000000"/>
          <w:sz w:val="21"/>
        </w:rPr>
        <w:t>上述设置保证四种方法对应的状态反馈系数相同。各方法均采用相同的控制周期、采样周期和目标轨迹：</w:t>
      </w:r>
    </w:p>
    <w:p>
      <w:pPr>
        <w:spacing w:before="60" w:after="60"/>
        <w:ind w:firstLine="0"/>
        <w:jc w:val="center"/>
      </w:pPr>
      <w:r>
        <w:rPr>
          <w:rFonts w:ascii="Cambria Math" w:hAnsi="Cambria Math" w:eastAsia="Cambria Math"/>
          <w:color w:val="000000"/>
          <w:sz w:val="21"/>
        </w:rPr>
        <w:t>y_d(t)=0.06[1−cos(πt)] m</w:t>
      </w:r>
      <w:r>
        <w:rPr>
          <w:rFonts w:ascii="Cambria Math" w:hAnsi="Cambria Math" w:eastAsia="Cambria Math"/>
          <w:color w:val="000000"/>
          <w:sz w:val="21"/>
        </w:rPr>
        <w:t xml:space="preserve">    (35)</w:t>
      </w:r>
    </w:p>
    <w:p>
      <w:pPr>
        <w:spacing w:line="307" w:lineRule="auto" w:after="80"/>
        <w:ind w:firstLine="420"/>
        <w:jc w:val="both"/>
      </w:pPr>
      <w:r>
        <w:rPr>
          <w:rFonts w:ascii="Times New Roman" w:hAnsi="Times New Roman" w:eastAsia="宋体"/>
          <w:color w:val="000000"/>
          <w:sz w:val="21"/>
        </w:rPr>
        <w:t>设置三种实验工况。Set1：移动头停在横梁中部，比较不同方法的精度；不考虑饱和，饱和上限取较大值。Set2：如图 5，移动头停在靠近 Y2 轴处，L_m2=0.3 m，并在 Y1 轴安装外部阻力，比较抗干扰能力；饱和上限仍取较大值。Set3：其余条件与 Set1 相同，为评估饱和条件下的性能，令 v₁max=v₂max=0.3 Nm，并将各方法的控制器输出均替换为平滑函数 ρ(v)。由于控制器对转角的控制能力有限，Set3 仅比较饱和条件下 Y 轴位置跟踪性能。</w:t>
      </w:r>
    </w:p>
    <w:p>
      <w:pPr>
        <w:spacing w:line="307" w:lineRule="auto" w:after="80"/>
        <w:ind w:firstLine="420"/>
        <w:jc w:val="both"/>
      </w:pPr>
      <w:r>
        <w:rPr>
          <w:rFonts w:ascii="Times New Roman" w:hAnsi="Times New Roman" w:eastAsia="宋体"/>
          <w:color w:val="000000"/>
          <w:sz w:val="21"/>
        </w:rPr>
        <w:t>评价指标如下：T_c=30 s 为统计区间；E[·]_r=√[(1/T_c)∫₀^Tc|·|²dt] 为均方根值，反映平均控制效果；E[·]_m=max_Tc(|·|) 为最大绝对值，反映运动控制的瞬态性能。</w:t>
      </w:r>
    </w:p>
    <w:p>
      <w:pPr>
        <w:pStyle w:val="Heading2"/>
        <w:keepNext/>
      </w:pPr>
      <w:r>
        <w:t>4.3 实验结果</w:t>
      </w:r>
    </w:p>
    <w:p>
      <w:pPr>
        <w:keepNext/>
        <w:ind w:firstLine="0"/>
        <w:jc w:val="center"/>
      </w:pPr>
      <w:r>
        <w:drawing>
          <wp:inline xmlns:a="http://schemas.openxmlformats.org/drawingml/2006/main" xmlns:pic="http://schemas.openxmlformats.org/drawingml/2006/picture">
            <wp:extent cx="4500000" cy="4001351"/>
            <wp:docPr id="6" name="Picture 6"/>
            <wp:cNvGraphicFramePr>
              <a:graphicFrameLocks noChangeAspect="1"/>
            </wp:cNvGraphicFramePr>
            <a:graphic>
              <a:graphicData uri="http://schemas.openxmlformats.org/drawingml/2006/picture">
                <pic:pic>
                  <pic:nvPicPr>
                    <pic:cNvPr id="0" name="fig06.jpg"/>
                    <pic:cNvPicPr/>
                  </pic:nvPicPr>
                  <pic:blipFill>
                    <a:blip r:embed="rId14"/>
                    <a:stretch>
                      <a:fillRect/>
                    </a:stretch>
                  </pic:blipFill>
                  <pic:spPr>
                    <a:xfrm>
                      <a:off x="0" y="0"/>
                      <a:ext cx="4500000" cy="4001351"/>
                    </a:xfrm>
                    <a:prstGeom prst="rect"/>
                  </pic:spPr>
                </pic:pic>
              </a:graphicData>
            </a:graphic>
          </wp:inline>
        </w:drawing>
      </w:r>
    </w:p>
    <w:p>
      <w:pPr>
        <w:keepNext w:val="0"/>
        <w:spacing w:after="140"/>
        <w:ind w:firstLine="0"/>
        <w:jc w:val="center"/>
      </w:pPr>
      <w:r>
        <w:rPr>
          <w:rFonts w:ascii="Times New Roman" w:hAnsi="Times New Roman" w:eastAsia="宋体"/>
          <w:color w:val="000000"/>
          <w:sz w:val="19"/>
        </w:rPr>
        <w:t>图 6  Set1 中横梁的跟踪误差与转角</w:t>
      </w:r>
    </w:p>
    <w:p>
      <w:pPr>
        <w:keepNext/>
        <w:ind w:firstLine="0"/>
        <w:jc w:val="center"/>
      </w:pPr>
      <w:r>
        <w:rPr>
          <w:rFonts w:ascii="Times New Roman" w:hAnsi="Times New Roman" w:eastAsia="宋体"/>
          <w:color w:val="000000"/>
          <w:sz w:val="19"/>
        </w:rPr>
        <w:t>表 1  Set1 与 Set2 的性能指标</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848"/>
        <w:gridCol w:w="1848"/>
        <w:gridCol w:w="1848"/>
        <w:gridCol w:w="1848"/>
        <w:gridCol w:w="1848"/>
      </w:tblGrid>
      <w:tr>
        <w:tc>
          <w:tcPr>
            <w:tcW w:type="dxa" w:w="1814"/>
            <w:shd w:fill="DCE6F1"/>
            <w:vAlign w:val="center"/>
            <w:tcMar>
              <w:top w:w="90" w:type="dxa"/>
              <w:start w:w="90" w:type="dxa"/>
              <w:bottom w:w="90" w:type="dxa"/>
              <w:end w:w="90" w:type="dxa"/>
            </w:tcMar>
          </w:tcPr>
          <w:p>
            <w:pPr>
              <w:ind w:firstLine="0"/>
              <w:jc w:val="center"/>
            </w:pPr>
            <w:r>
              <w:rPr>
                <w:rFonts w:ascii="Times New Roman" w:hAnsi="Times New Roman" w:eastAsia="黑体"/>
                <w:b/>
                <w:color w:val="000000"/>
                <w:sz w:val="19"/>
              </w:rPr>
              <w:t>方案</w:t>
            </w:r>
          </w:p>
        </w:tc>
        <w:tc>
          <w:tcPr>
            <w:tcW w:type="dxa" w:w="1531"/>
            <w:shd w:fill="DCE6F1"/>
            <w:vAlign w:val="center"/>
            <w:tcMar>
              <w:top w:w="90" w:type="dxa"/>
              <w:start w:w="90" w:type="dxa"/>
              <w:bottom w:w="90" w:type="dxa"/>
              <w:end w:w="90" w:type="dxa"/>
            </w:tcMar>
          </w:tcPr>
          <w:p>
            <w:pPr>
              <w:ind w:firstLine="0"/>
              <w:jc w:val="center"/>
            </w:pPr>
            <w:r>
              <w:rPr>
                <w:rFonts w:ascii="Times New Roman" w:hAnsi="Times New Roman" w:eastAsia="黑体"/>
                <w:b/>
                <w:color w:val="000000"/>
                <w:sz w:val="19"/>
              </w:rPr>
              <w:t>E[e_y]_r</w:t>
              <w:br/>
              <w:t>μm</w:t>
            </w:r>
          </w:p>
        </w:tc>
        <w:tc>
          <w:tcPr>
            <w:tcW w:type="dxa" w:w="1531"/>
            <w:shd w:fill="DCE6F1"/>
            <w:vAlign w:val="center"/>
            <w:tcMar>
              <w:top w:w="90" w:type="dxa"/>
              <w:start w:w="90" w:type="dxa"/>
              <w:bottom w:w="90" w:type="dxa"/>
              <w:end w:w="90" w:type="dxa"/>
            </w:tcMar>
          </w:tcPr>
          <w:p>
            <w:pPr>
              <w:ind w:firstLine="0"/>
              <w:jc w:val="center"/>
            </w:pPr>
            <w:r>
              <w:rPr>
                <w:rFonts w:ascii="Times New Roman" w:hAnsi="Times New Roman" w:eastAsia="黑体"/>
                <w:b/>
                <w:color w:val="000000"/>
                <w:sz w:val="19"/>
              </w:rPr>
              <w:t>E[e_y]_m</w:t>
              <w:br/>
              <w:t>μm</w:t>
            </w:r>
          </w:p>
        </w:tc>
        <w:tc>
          <w:tcPr>
            <w:tcW w:type="dxa" w:w="1644"/>
            <w:shd w:fill="DCE6F1"/>
            <w:vAlign w:val="center"/>
            <w:tcMar>
              <w:top w:w="90" w:type="dxa"/>
              <w:start w:w="90" w:type="dxa"/>
              <w:bottom w:w="90" w:type="dxa"/>
              <w:end w:w="90" w:type="dxa"/>
            </w:tcMar>
          </w:tcPr>
          <w:p>
            <w:pPr>
              <w:ind w:firstLine="0"/>
              <w:jc w:val="center"/>
            </w:pPr>
            <w:r>
              <w:rPr>
                <w:rFonts w:ascii="Times New Roman" w:hAnsi="Times New Roman" w:eastAsia="黑体"/>
                <w:b/>
                <w:color w:val="000000"/>
                <w:sz w:val="19"/>
              </w:rPr>
              <w:t>E[e_α]_r</w:t>
              <w:br/>
              <w:t>μrad</w:t>
            </w:r>
          </w:p>
        </w:tc>
        <w:tc>
          <w:tcPr>
            <w:tcW w:type="dxa" w:w="1644"/>
            <w:shd w:fill="DCE6F1"/>
            <w:vAlign w:val="center"/>
            <w:tcMar>
              <w:top w:w="90" w:type="dxa"/>
              <w:start w:w="90" w:type="dxa"/>
              <w:bottom w:w="90" w:type="dxa"/>
              <w:end w:w="90" w:type="dxa"/>
            </w:tcMar>
          </w:tcPr>
          <w:p>
            <w:pPr>
              <w:ind w:firstLine="0"/>
              <w:jc w:val="center"/>
            </w:pPr>
            <w:r>
              <w:rPr>
                <w:rFonts w:ascii="Times New Roman" w:hAnsi="Times New Roman" w:eastAsia="黑体"/>
                <w:b/>
                <w:color w:val="000000"/>
                <w:sz w:val="19"/>
              </w:rPr>
              <w:t>E[e_α]_m</w:t>
              <w:br/>
              <w:t>μrad</w:t>
            </w:r>
          </w:p>
        </w:tc>
      </w:tr>
      <w:tr>
        <w:tc>
          <w:tcPr>
            <w:tcW w:type="dxa" w:w="1814"/>
            <w:vAlign w:val="center"/>
            <w:tcMar>
              <w:top w:w="90" w:type="dxa"/>
              <w:start w:w="90" w:type="dxa"/>
              <w:bottom w:w="90" w:type="dxa"/>
              <w:end w:w="90" w:type="dxa"/>
            </w:tcMar>
          </w:tcPr>
          <w:p>
            <w:pPr>
              <w:ind w:firstLine="0"/>
              <w:jc w:val="center"/>
            </w:pPr>
            <w:r>
              <w:rPr>
                <w:rFonts w:ascii="Times New Roman" w:hAnsi="Times New Roman" w:eastAsia="宋体"/>
                <w:color w:val="000000"/>
                <w:sz w:val="18"/>
              </w:rPr>
              <w:t>C1（Set1）</w:t>
            </w:r>
          </w:p>
        </w:tc>
        <w:tc>
          <w:tcPr>
            <w:tcW w:type="dxa" w:w="1531"/>
            <w:vAlign w:val="center"/>
            <w:tcMar>
              <w:top w:w="90" w:type="dxa"/>
              <w:start w:w="90" w:type="dxa"/>
              <w:bottom w:w="90" w:type="dxa"/>
              <w:end w:w="90" w:type="dxa"/>
            </w:tcMar>
          </w:tcPr>
          <w:p>
            <w:pPr>
              <w:ind w:firstLine="0"/>
              <w:jc w:val="center"/>
            </w:pPr>
            <w:r>
              <w:rPr>
                <w:rFonts w:ascii="Times New Roman" w:hAnsi="Times New Roman" w:eastAsia="宋体"/>
                <w:color w:val="000000"/>
                <w:sz w:val="18"/>
              </w:rPr>
              <w:t>6.068</w:t>
            </w:r>
          </w:p>
        </w:tc>
        <w:tc>
          <w:tcPr>
            <w:tcW w:type="dxa" w:w="1531"/>
            <w:vAlign w:val="center"/>
            <w:tcMar>
              <w:top w:w="90" w:type="dxa"/>
              <w:start w:w="90" w:type="dxa"/>
              <w:bottom w:w="90" w:type="dxa"/>
              <w:end w:w="90" w:type="dxa"/>
            </w:tcMar>
          </w:tcPr>
          <w:p>
            <w:pPr>
              <w:ind w:firstLine="0"/>
              <w:jc w:val="center"/>
            </w:pPr>
            <w:r>
              <w:rPr>
                <w:rFonts w:ascii="Times New Roman" w:hAnsi="Times New Roman" w:eastAsia="宋体"/>
                <w:color w:val="000000"/>
                <w:sz w:val="18"/>
              </w:rPr>
              <w:t>15.827</w:t>
            </w:r>
          </w:p>
        </w:tc>
        <w:tc>
          <w:tcPr>
            <w:tcW w:type="dxa" w:w="1644"/>
            <w:vAlign w:val="center"/>
            <w:tcMar>
              <w:top w:w="90" w:type="dxa"/>
              <w:start w:w="90" w:type="dxa"/>
              <w:bottom w:w="90" w:type="dxa"/>
              <w:end w:w="90" w:type="dxa"/>
            </w:tcMar>
          </w:tcPr>
          <w:p>
            <w:pPr>
              <w:ind w:firstLine="0"/>
              <w:jc w:val="center"/>
            </w:pPr>
            <w:r>
              <w:rPr>
                <w:rFonts w:ascii="Times New Roman" w:hAnsi="Times New Roman" w:eastAsia="宋体"/>
                <w:color w:val="000000"/>
                <w:sz w:val="18"/>
              </w:rPr>
              <w:t>4.054</w:t>
            </w:r>
          </w:p>
        </w:tc>
        <w:tc>
          <w:tcPr>
            <w:tcW w:type="dxa" w:w="1644"/>
            <w:vAlign w:val="center"/>
            <w:tcMar>
              <w:top w:w="90" w:type="dxa"/>
              <w:start w:w="90" w:type="dxa"/>
              <w:bottom w:w="90" w:type="dxa"/>
              <w:end w:w="90" w:type="dxa"/>
            </w:tcMar>
          </w:tcPr>
          <w:p>
            <w:pPr>
              <w:ind w:firstLine="0"/>
              <w:jc w:val="center"/>
            </w:pPr>
            <w:r>
              <w:rPr>
                <w:rFonts w:ascii="Times New Roman" w:hAnsi="Times New Roman" w:eastAsia="宋体"/>
                <w:color w:val="000000"/>
                <w:sz w:val="18"/>
              </w:rPr>
              <w:t>9.395</w:t>
            </w:r>
          </w:p>
        </w:tc>
      </w:tr>
      <w:tr>
        <w:tc>
          <w:tcPr>
            <w:tcW w:type="dxa" w:w="1814"/>
            <w:vAlign w:val="center"/>
            <w:tcMar>
              <w:top w:w="90" w:type="dxa"/>
              <w:start w:w="90" w:type="dxa"/>
              <w:bottom w:w="90" w:type="dxa"/>
              <w:end w:w="90" w:type="dxa"/>
            </w:tcMar>
            <w:shd w:fill="F7F9FC"/>
          </w:tcPr>
          <w:p>
            <w:pPr>
              <w:ind w:firstLine="0"/>
              <w:jc w:val="center"/>
            </w:pPr>
            <w:r>
              <w:rPr>
                <w:rFonts w:ascii="Times New Roman" w:hAnsi="Times New Roman" w:eastAsia="宋体"/>
                <w:color w:val="000000"/>
                <w:sz w:val="18"/>
              </w:rPr>
              <w:t>C2（Set1）</w:t>
            </w:r>
          </w:p>
        </w:tc>
        <w:tc>
          <w:tcPr>
            <w:tcW w:type="dxa" w:w="1531"/>
            <w:vAlign w:val="center"/>
            <w:tcMar>
              <w:top w:w="90" w:type="dxa"/>
              <w:start w:w="90" w:type="dxa"/>
              <w:bottom w:w="90" w:type="dxa"/>
              <w:end w:w="90" w:type="dxa"/>
            </w:tcMar>
            <w:shd w:fill="F7F9FC"/>
          </w:tcPr>
          <w:p>
            <w:pPr>
              <w:ind w:firstLine="0"/>
              <w:jc w:val="center"/>
            </w:pPr>
            <w:r>
              <w:rPr>
                <w:rFonts w:ascii="Times New Roman" w:hAnsi="Times New Roman" w:eastAsia="宋体"/>
                <w:color w:val="000000"/>
                <w:sz w:val="18"/>
              </w:rPr>
              <w:t>14.230</w:t>
            </w:r>
          </w:p>
        </w:tc>
        <w:tc>
          <w:tcPr>
            <w:tcW w:type="dxa" w:w="1531"/>
            <w:vAlign w:val="center"/>
            <w:tcMar>
              <w:top w:w="90" w:type="dxa"/>
              <w:start w:w="90" w:type="dxa"/>
              <w:bottom w:w="90" w:type="dxa"/>
              <w:end w:w="90" w:type="dxa"/>
            </w:tcMar>
            <w:shd w:fill="F7F9FC"/>
          </w:tcPr>
          <w:p>
            <w:pPr>
              <w:ind w:firstLine="0"/>
              <w:jc w:val="center"/>
            </w:pPr>
            <w:r>
              <w:rPr>
                <w:rFonts w:ascii="Times New Roman" w:hAnsi="Times New Roman" w:eastAsia="宋体"/>
                <w:color w:val="000000"/>
                <w:sz w:val="18"/>
              </w:rPr>
              <w:t>32.428</w:t>
            </w:r>
          </w:p>
        </w:tc>
        <w:tc>
          <w:tcPr>
            <w:tcW w:type="dxa" w:w="1644"/>
            <w:vAlign w:val="center"/>
            <w:tcMar>
              <w:top w:w="90" w:type="dxa"/>
              <w:start w:w="90" w:type="dxa"/>
              <w:bottom w:w="90" w:type="dxa"/>
              <w:end w:w="90" w:type="dxa"/>
            </w:tcMar>
            <w:shd w:fill="F7F9FC"/>
          </w:tcPr>
          <w:p>
            <w:pPr>
              <w:ind w:firstLine="0"/>
              <w:jc w:val="center"/>
            </w:pPr>
            <w:r>
              <w:rPr>
                <w:rFonts w:ascii="Times New Roman" w:hAnsi="Times New Roman" w:eastAsia="宋体"/>
                <w:color w:val="000000"/>
                <w:sz w:val="18"/>
              </w:rPr>
              <w:t>8.066</w:t>
            </w:r>
          </w:p>
        </w:tc>
        <w:tc>
          <w:tcPr>
            <w:tcW w:type="dxa" w:w="1644"/>
            <w:vAlign w:val="center"/>
            <w:tcMar>
              <w:top w:w="90" w:type="dxa"/>
              <w:start w:w="90" w:type="dxa"/>
              <w:bottom w:w="90" w:type="dxa"/>
              <w:end w:w="90" w:type="dxa"/>
            </w:tcMar>
            <w:shd w:fill="F7F9FC"/>
          </w:tcPr>
          <w:p>
            <w:pPr>
              <w:ind w:firstLine="0"/>
              <w:jc w:val="center"/>
            </w:pPr>
            <w:r>
              <w:rPr>
                <w:rFonts w:ascii="Times New Roman" w:hAnsi="Times New Roman" w:eastAsia="宋体"/>
                <w:color w:val="000000"/>
                <w:sz w:val="18"/>
              </w:rPr>
              <w:t>26.284</w:t>
            </w:r>
          </w:p>
        </w:tc>
      </w:tr>
      <w:tr>
        <w:tc>
          <w:tcPr>
            <w:tcW w:type="dxa" w:w="1814"/>
            <w:vAlign w:val="center"/>
            <w:tcMar>
              <w:top w:w="90" w:type="dxa"/>
              <w:start w:w="90" w:type="dxa"/>
              <w:bottom w:w="90" w:type="dxa"/>
              <w:end w:w="90" w:type="dxa"/>
            </w:tcMar>
          </w:tcPr>
          <w:p>
            <w:pPr>
              <w:ind w:firstLine="0"/>
              <w:jc w:val="center"/>
            </w:pPr>
            <w:r>
              <w:rPr>
                <w:rFonts w:ascii="Times New Roman" w:hAnsi="Times New Roman" w:eastAsia="宋体"/>
                <w:color w:val="000000"/>
                <w:sz w:val="18"/>
              </w:rPr>
              <w:t>C3（Set1）</w:t>
            </w:r>
          </w:p>
        </w:tc>
        <w:tc>
          <w:tcPr>
            <w:tcW w:type="dxa" w:w="1531"/>
            <w:vAlign w:val="center"/>
            <w:tcMar>
              <w:top w:w="90" w:type="dxa"/>
              <w:start w:w="90" w:type="dxa"/>
              <w:bottom w:w="90" w:type="dxa"/>
              <w:end w:w="90" w:type="dxa"/>
            </w:tcMar>
          </w:tcPr>
          <w:p>
            <w:pPr>
              <w:ind w:firstLine="0"/>
              <w:jc w:val="center"/>
            </w:pPr>
            <w:r>
              <w:rPr>
                <w:rFonts w:ascii="Times New Roman" w:hAnsi="Times New Roman" w:eastAsia="宋体"/>
                <w:color w:val="000000"/>
                <w:sz w:val="18"/>
              </w:rPr>
              <w:t>12.391</w:t>
            </w:r>
          </w:p>
        </w:tc>
        <w:tc>
          <w:tcPr>
            <w:tcW w:type="dxa" w:w="1531"/>
            <w:vAlign w:val="center"/>
            <w:tcMar>
              <w:top w:w="90" w:type="dxa"/>
              <w:start w:w="90" w:type="dxa"/>
              <w:bottom w:w="90" w:type="dxa"/>
              <w:end w:w="90" w:type="dxa"/>
            </w:tcMar>
          </w:tcPr>
          <w:p>
            <w:pPr>
              <w:ind w:firstLine="0"/>
              <w:jc w:val="center"/>
            </w:pPr>
            <w:r>
              <w:rPr>
                <w:rFonts w:ascii="Times New Roman" w:hAnsi="Times New Roman" w:eastAsia="宋体"/>
                <w:color w:val="000000"/>
                <w:sz w:val="18"/>
              </w:rPr>
              <w:t>26.973</w:t>
            </w:r>
          </w:p>
        </w:tc>
        <w:tc>
          <w:tcPr>
            <w:tcW w:type="dxa" w:w="1644"/>
            <w:vAlign w:val="center"/>
            <w:tcMar>
              <w:top w:w="90" w:type="dxa"/>
              <w:start w:w="90" w:type="dxa"/>
              <w:bottom w:w="90" w:type="dxa"/>
              <w:end w:w="90" w:type="dxa"/>
            </w:tcMar>
          </w:tcPr>
          <w:p>
            <w:pPr>
              <w:ind w:firstLine="0"/>
              <w:jc w:val="center"/>
            </w:pPr>
            <w:r>
              <w:rPr>
                <w:rFonts w:ascii="Times New Roman" w:hAnsi="Times New Roman" w:eastAsia="宋体"/>
                <w:color w:val="000000"/>
                <w:sz w:val="18"/>
              </w:rPr>
              <w:t>11.213</w:t>
            </w:r>
          </w:p>
        </w:tc>
        <w:tc>
          <w:tcPr>
            <w:tcW w:type="dxa" w:w="1644"/>
            <w:vAlign w:val="center"/>
            <w:tcMar>
              <w:top w:w="90" w:type="dxa"/>
              <w:start w:w="90" w:type="dxa"/>
              <w:bottom w:w="90" w:type="dxa"/>
              <w:end w:w="90" w:type="dxa"/>
            </w:tcMar>
          </w:tcPr>
          <w:p>
            <w:pPr>
              <w:ind w:firstLine="0"/>
              <w:jc w:val="center"/>
            </w:pPr>
            <w:r>
              <w:rPr>
                <w:rFonts w:ascii="Times New Roman" w:hAnsi="Times New Roman" w:eastAsia="宋体"/>
                <w:color w:val="000000"/>
                <w:sz w:val="18"/>
              </w:rPr>
              <w:t>23.972</w:t>
            </w:r>
          </w:p>
        </w:tc>
      </w:tr>
      <w:tr>
        <w:tc>
          <w:tcPr>
            <w:tcW w:type="dxa" w:w="1814"/>
            <w:vAlign w:val="center"/>
            <w:tcMar>
              <w:top w:w="90" w:type="dxa"/>
              <w:start w:w="90" w:type="dxa"/>
              <w:bottom w:w="90" w:type="dxa"/>
              <w:end w:w="90" w:type="dxa"/>
            </w:tcMar>
            <w:shd w:fill="F7F9FC"/>
          </w:tcPr>
          <w:p>
            <w:pPr>
              <w:ind w:firstLine="0"/>
              <w:jc w:val="center"/>
            </w:pPr>
            <w:r>
              <w:rPr>
                <w:rFonts w:ascii="Times New Roman" w:hAnsi="Times New Roman" w:eastAsia="宋体"/>
                <w:color w:val="000000"/>
                <w:sz w:val="18"/>
              </w:rPr>
              <w:t>C4（Set1）</w:t>
            </w:r>
          </w:p>
        </w:tc>
        <w:tc>
          <w:tcPr>
            <w:tcW w:type="dxa" w:w="1531"/>
            <w:vAlign w:val="center"/>
            <w:tcMar>
              <w:top w:w="90" w:type="dxa"/>
              <w:start w:w="90" w:type="dxa"/>
              <w:bottom w:w="90" w:type="dxa"/>
              <w:end w:w="90" w:type="dxa"/>
            </w:tcMar>
            <w:shd w:fill="F7F9FC"/>
          </w:tcPr>
          <w:p>
            <w:pPr>
              <w:ind w:firstLine="0"/>
              <w:jc w:val="center"/>
            </w:pPr>
            <w:r>
              <w:rPr>
                <w:rFonts w:ascii="Times New Roman" w:hAnsi="Times New Roman" w:eastAsia="宋体"/>
                <w:color w:val="000000"/>
                <w:sz w:val="18"/>
              </w:rPr>
              <w:t>7.502</w:t>
            </w:r>
          </w:p>
        </w:tc>
        <w:tc>
          <w:tcPr>
            <w:tcW w:type="dxa" w:w="1531"/>
            <w:vAlign w:val="center"/>
            <w:tcMar>
              <w:top w:w="90" w:type="dxa"/>
              <w:start w:w="90" w:type="dxa"/>
              <w:bottom w:w="90" w:type="dxa"/>
              <w:end w:w="90" w:type="dxa"/>
            </w:tcMar>
            <w:shd w:fill="F7F9FC"/>
          </w:tcPr>
          <w:p>
            <w:pPr>
              <w:ind w:firstLine="0"/>
              <w:jc w:val="center"/>
            </w:pPr>
            <w:r>
              <w:rPr>
                <w:rFonts w:ascii="Times New Roman" w:hAnsi="Times New Roman" w:eastAsia="宋体"/>
                <w:color w:val="000000"/>
                <w:sz w:val="18"/>
              </w:rPr>
              <w:t>19.358</w:t>
            </w:r>
          </w:p>
        </w:tc>
        <w:tc>
          <w:tcPr>
            <w:tcW w:type="dxa" w:w="1644"/>
            <w:vAlign w:val="center"/>
            <w:tcMar>
              <w:top w:w="90" w:type="dxa"/>
              <w:start w:w="90" w:type="dxa"/>
              <w:bottom w:w="90" w:type="dxa"/>
              <w:end w:w="90" w:type="dxa"/>
            </w:tcMar>
            <w:shd w:fill="F7F9FC"/>
          </w:tcPr>
          <w:p>
            <w:pPr>
              <w:ind w:firstLine="0"/>
              <w:jc w:val="center"/>
            </w:pPr>
            <w:r>
              <w:rPr>
                <w:rFonts w:ascii="Times New Roman" w:hAnsi="Times New Roman" w:eastAsia="宋体"/>
                <w:color w:val="000000"/>
                <w:sz w:val="18"/>
              </w:rPr>
              <w:t>5.484</w:t>
            </w:r>
          </w:p>
        </w:tc>
        <w:tc>
          <w:tcPr>
            <w:tcW w:type="dxa" w:w="1644"/>
            <w:vAlign w:val="center"/>
            <w:tcMar>
              <w:top w:w="90" w:type="dxa"/>
              <w:start w:w="90" w:type="dxa"/>
              <w:bottom w:w="90" w:type="dxa"/>
              <w:end w:w="90" w:type="dxa"/>
            </w:tcMar>
            <w:shd w:fill="F7F9FC"/>
          </w:tcPr>
          <w:p>
            <w:pPr>
              <w:ind w:firstLine="0"/>
              <w:jc w:val="center"/>
            </w:pPr>
            <w:r>
              <w:rPr>
                <w:rFonts w:ascii="Times New Roman" w:hAnsi="Times New Roman" w:eastAsia="宋体"/>
                <w:color w:val="000000"/>
                <w:sz w:val="18"/>
              </w:rPr>
              <w:t>12.835</w:t>
            </w:r>
          </w:p>
        </w:tc>
      </w:tr>
      <w:tr>
        <w:tc>
          <w:tcPr>
            <w:tcW w:type="dxa" w:w="1814"/>
            <w:vAlign w:val="center"/>
            <w:tcMar>
              <w:top w:w="90" w:type="dxa"/>
              <w:start w:w="90" w:type="dxa"/>
              <w:bottom w:w="90" w:type="dxa"/>
              <w:end w:w="90" w:type="dxa"/>
            </w:tcMar>
          </w:tcPr>
          <w:p>
            <w:pPr>
              <w:ind w:firstLine="0"/>
              <w:jc w:val="center"/>
            </w:pPr>
            <w:r>
              <w:rPr>
                <w:rFonts w:ascii="Times New Roman" w:hAnsi="Times New Roman" w:eastAsia="宋体"/>
                <w:color w:val="000000"/>
                <w:sz w:val="18"/>
              </w:rPr>
              <w:t>C1（Set2）</w:t>
            </w:r>
          </w:p>
        </w:tc>
        <w:tc>
          <w:tcPr>
            <w:tcW w:type="dxa" w:w="1531"/>
            <w:vAlign w:val="center"/>
            <w:tcMar>
              <w:top w:w="90" w:type="dxa"/>
              <w:start w:w="90" w:type="dxa"/>
              <w:bottom w:w="90" w:type="dxa"/>
              <w:end w:w="90" w:type="dxa"/>
            </w:tcMar>
          </w:tcPr>
          <w:p>
            <w:pPr>
              <w:ind w:firstLine="0"/>
              <w:jc w:val="center"/>
            </w:pPr>
            <w:r>
              <w:rPr>
                <w:rFonts w:ascii="Times New Roman" w:hAnsi="Times New Roman" w:eastAsia="宋体"/>
                <w:color w:val="000000"/>
                <w:sz w:val="18"/>
              </w:rPr>
              <w:t>8.764</w:t>
            </w:r>
          </w:p>
        </w:tc>
        <w:tc>
          <w:tcPr>
            <w:tcW w:type="dxa" w:w="1531"/>
            <w:vAlign w:val="center"/>
            <w:tcMar>
              <w:top w:w="90" w:type="dxa"/>
              <w:start w:w="90" w:type="dxa"/>
              <w:bottom w:w="90" w:type="dxa"/>
              <w:end w:w="90" w:type="dxa"/>
            </w:tcMar>
          </w:tcPr>
          <w:p>
            <w:pPr>
              <w:ind w:firstLine="0"/>
              <w:jc w:val="center"/>
            </w:pPr>
            <w:r>
              <w:rPr>
                <w:rFonts w:ascii="Times New Roman" w:hAnsi="Times New Roman" w:eastAsia="宋体"/>
                <w:color w:val="000000"/>
                <w:sz w:val="18"/>
              </w:rPr>
              <w:t>22.862</w:t>
            </w:r>
          </w:p>
        </w:tc>
        <w:tc>
          <w:tcPr>
            <w:tcW w:type="dxa" w:w="1644"/>
            <w:vAlign w:val="center"/>
            <w:tcMar>
              <w:top w:w="90" w:type="dxa"/>
              <w:start w:w="90" w:type="dxa"/>
              <w:bottom w:w="90" w:type="dxa"/>
              <w:end w:w="90" w:type="dxa"/>
            </w:tcMar>
          </w:tcPr>
          <w:p>
            <w:pPr>
              <w:ind w:firstLine="0"/>
              <w:jc w:val="center"/>
            </w:pPr>
            <w:r>
              <w:rPr>
                <w:rFonts w:ascii="Times New Roman" w:hAnsi="Times New Roman" w:eastAsia="宋体"/>
                <w:color w:val="000000"/>
                <w:sz w:val="18"/>
              </w:rPr>
              <w:t>7.240</w:t>
            </w:r>
          </w:p>
        </w:tc>
        <w:tc>
          <w:tcPr>
            <w:tcW w:type="dxa" w:w="1644"/>
            <w:vAlign w:val="center"/>
            <w:tcMar>
              <w:top w:w="90" w:type="dxa"/>
              <w:start w:w="90" w:type="dxa"/>
              <w:bottom w:w="90" w:type="dxa"/>
              <w:end w:w="90" w:type="dxa"/>
            </w:tcMar>
          </w:tcPr>
          <w:p>
            <w:pPr>
              <w:ind w:firstLine="0"/>
              <w:jc w:val="center"/>
            </w:pPr>
            <w:r>
              <w:rPr>
                <w:rFonts w:ascii="Times New Roman" w:hAnsi="Times New Roman" w:eastAsia="宋体"/>
                <w:color w:val="000000"/>
                <w:sz w:val="18"/>
              </w:rPr>
              <w:t>17.289</w:t>
            </w:r>
          </w:p>
        </w:tc>
      </w:tr>
      <w:tr>
        <w:tc>
          <w:tcPr>
            <w:tcW w:type="dxa" w:w="1814"/>
            <w:vAlign w:val="center"/>
            <w:tcMar>
              <w:top w:w="90" w:type="dxa"/>
              <w:start w:w="90" w:type="dxa"/>
              <w:bottom w:w="90" w:type="dxa"/>
              <w:end w:w="90" w:type="dxa"/>
            </w:tcMar>
            <w:shd w:fill="F7F9FC"/>
          </w:tcPr>
          <w:p>
            <w:pPr>
              <w:ind w:firstLine="0"/>
              <w:jc w:val="center"/>
            </w:pPr>
            <w:r>
              <w:rPr>
                <w:rFonts w:ascii="Times New Roman" w:hAnsi="Times New Roman" w:eastAsia="宋体"/>
                <w:color w:val="000000"/>
                <w:sz w:val="18"/>
              </w:rPr>
              <w:t>C2（Set2）</w:t>
            </w:r>
          </w:p>
        </w:tc>
        <w:tc>
          <w:tcPr>
            <w:tcW w:type="dxa" w:w="1531"/>
            <w:vAlign w:val="center"/>
            <w:tcMar>
              <w:top w:w="90" w:type="dxa"/>
              <w:start w:w="90" w:type="dxa"/>
              <w:bottom w:w="90" w:type="dxa"/>
              <w:end w:w="90" w:type="dxa"/>
            </w:tcMar>
            <w:shd w:fill="F7F9FC"/>
          </w:tcPr>
          <w:p>
            <w:pPr>
              <w:ind w:firstLine="0"/>
              <w:jc w:val="center"/>
            </w:pPr>
            <w:r>
              <w:rPr>
                <w:rFonts w:ascii="Times New Roman" w:hAnsi="Times New Roman" w:eastAsia="宋体"/>
                <w:color w:val="000000"/>
                <w:sz w:val="18"/>
              </w:rPr>
              <w:t>16.211</w:t>
            </w:r>
          </w:p>
        </w:tc>
        <w:tc>
          <w:tcPr>
            <w:tcW w:type="dxa" w:w="1531"/>
            <w:vAlign w:val="center"/>
            <w:tcMar>
              <w:top w:w="90" w:type="dxa"/>
              <w:start w:w="90" w:type="dxa"/>
              <w:bottom w:w="90" w:type="dxa"/>
              <w:end w:w="90" w:type="dxa"/>
            </w:tcMar>
            <w:shd w:fill="F7F9FC"/>
          </w:tcPr>
          <w:p>
            <w:pPr>
              <w:ind w:firstLine="0"/>
              <w:jc w:val="center"/>
            </w:pPr>
            <w:r>
              <w:rPr>
                <w:rFonts w:ascii="Times New Roman" w:hAnsi="Times New Roman" w:eastAsia="宋体"/>
                <w:color w:val="000000"/>
                <w:sz w:val="18"/>
              </w:rPr>
              <w:t>41.913</w:t>
            </w:r>
          </w:p>
        </w:tc>
        <w:tc>
          <w:tcPr>
            <w:tcW w:type="dxa" w:w="1644"/>
            <w:vAlign w:val="center"/>
            <w:tcMar>
              <w:top w:w="90" w:type="dxa"/>
              <w:start w:w="90" w:type="dxa"/>
              <w:bottom w:w="90" w:type="dxa"/>
              <w:end w:w="90" w:type="dxa"/>
            </w:tcMar>
            <w:shd w:fill="F7F9FC"/>
          </w:tcPr>
          <w:p>
            <w:pPr>
              <w:ind w:firstLine="0"/>
              <w:jc w:val="center"/>
            </w:pPr>
            <w:r>
              <w:rPr>
                <w:rFonts w:ascii="Times New Roman" w:hAnsi="Times New Roman" w:eastAsia="宋体"/>
                <w:color w:val="000000"/>
                <w:sz w:val="18"/>
              </w:rPr>
              <w:t>12.227</w:t>
            </w:r>
          </w:p>
        </w:tc>
        <w:tc>
          <w:tcPr>
            <w:tcW w:type="dxa" w:w="1644"/>
            <w:vAlign w:val="center"/>
            <w:tcMar>
              <w:top w:w="90" w:type="dxa"/>
              <w:start w:w="90" w:type="dxa"/>
              <w:bottom w:w="90" w:type="dxa"/>
              <w:end w:w="90" w:type="dxa"/>
            </w:tcMar>
            <w:shd w:fill="F7F9FC"/>
          </w:tcPr>
          <w:p>
            <w:pPr>
              <w:ind w:firstLine="0"/>
              <w:jc w:val="center"/>
            </w:pPr>
            <w:r>
              <w:rPr>
                <w:rFonts w:ascii="Times New Roman" w:hAnsi="Times New Roman" w:eastAsia="宋体"/>
                <w:color w:val="000000"/>
                <w:sz w:val="18"/>
              </w:rPr>
              <w:t>31.913</w:t>
            </w:r>
          </w:p>
        </w:tc>
      </w:tr>
      <w:tr>
        <w:tc>
          <w:tcPr>
            <w:tcW w:type="dxa" w:w="1814"/>
            <w:vAlign w:val="center"/>
            <w:tcMar>
              <w:top w:w="90" w:type="dxa"/>
              <w:start w:w="90" w:type="dxa"/>
              <w:bottom w:w="90" w:type="dxa"/>
              <w:end w:w="90" w:type="dxa"/>
            </w:tcMar>
          </w:tcPr>
          <w:p>
            <w:pPr>
              <w:ind w:firstLine="0"/>
              <w:jc w:val="center"/>
            </w:pPr>
            <w:r>
              <w:rPr>
                <w:rFonts w:ascii="Times New Roman" w:hAnsi="Times New Roman" w:eastAsia="宋体"/>
                <w:color w:val="000000"/>
                <w:sz w:val="18"/>
              </w:rPr>
              <w:t>C3（Set2）</w:t>
            </w:r>
          </w:p>
        </w:tc>
        <w:tc>
          <w:tcPr>
            <w:tcW w:type="dxa" w:w="1531"/>
            <w:vAlign w:val="center"/>
            <w:tcMar>
              <w:top w:w="90" w:type="dxa"/>
              <w:start w:w="90" w:type="dxa"/>
              <w:bottom w:w="90" w:type="dxa"/>
              <w:end w:w="90" w:type="dxa"/>
            </w:tcMar>
          </w:tcPr>
          <w:p>
            <w:pPr>
              <w:ind w:firstLine="0"/>
              <w:jc w:val="center"/>
            </w:pPr>
            <w:r>
              <w:rPr>
                <w:rFonts w:ascii="Times New Roman" w:hAnsi="Times New Roman" w:eastAsia="宋体"/>
                <w:color w:val="000000"/>
                <w:sz w:val="18"/>
              </w:rPr>
              <w:t>16.406</w:t>
            </w:r>
          </w:p>
        </w:tc>
        <w:tc>
          <w:tcPr>
            <w:tcW w:type="dxa" w:w="1531"/>
            <w:vAlign w:val="center"/>
            <w:tcMar>
              <w:top w:w="90" w:type="dxa"/>
              <w:start w:w="90" w:type="dxa"/>
              <w:bottom w:w="90" w:type="dxa"/>
              <w:end w:w="90" w:type="dxa"/>
            </w:tcMar>
          </w:tcPr>
          <w:p>
            <w:pPr>
              <w:ind w:firstLine="0"/>
              <w:jc w:val="center"/>
            </w:pPr>
            <w:r>
              <w:rPr>
                <w:rFonts w:ascii="Times New Roman" w:hAnsi="Times New Roman" w:eastAsia="宋体"/>
                <w:color w:val="000000"/>
                <w:sz w:val="18"/>
              </w:rPr>
              <w:t>38.811</w:t>
            </w:r>
          </w:p>
        </w:tc>
        <w:tc>
          <w:tcPr>
            <w:tcW w:type="dxa" w:w="1644"/>
            <w:vAlign w:val="center"/>
            <w:tcMar>
              <w:top w:w="90" w:type="dxa"/>
              <w:start w:w="90" w:type="dxa"/>
              <w:bottom w:w="90" w:type="dxa"/>
              <w:end w:w="90" w:type="dxa"/>
            </w:tcMar>
          </w:tcPr>
          <w:p>
            <w:pPr>
              <w:ind w:firstLine="0"/>
              <w:jc w:val="center"/>
            </w:pPr>
            <w:r>
              <w:rPr>
                <w:rFonts w:ascii="Times New Roman" w:hAnsi="Times New Roman" w:eastAsia="宋体"/>
                <w:color w:val="000000"/>
                <w:sz w:val="18"/>
              </w:rPr>
              <w:t>9.186</w:t>
            </w:r>
          </w:p>
        </w:tc>
        <w:tc>
          <w:tcPr>
            <w:tcW w:type="dxa" w:w="1644"/>
            <w:vAlign w:val="center"/>
            <w:tcMar>
              <w:top w:w="90" w:type="dxa"/>
              <w:start w:w="90" w:type="dxa"/>
              <w:bottom w:w="90" w:type="dxa"/>
              <w:end w:w="90" w:type="dxa"/>
            </w:tcMar>
          </w:tcPr>
          <w:p>
            <w:pPr>
              <w:ind w:firstLine="0"/>
              <w:jc w:val="center"/>
            </w:pPr>
            <w:r>
              <w:rPr>
                <w:rFonts w:ascii="Times New Roman" w:hAnsi="Times New Roman" w:eastAsia="宋体"/>
                <w:color w:val="000000"/>
                <w:sz w:val="18"/>
              </w:rPr>
              <w:t>24.915</w:t>
            </w:r>
          </w:p>
        </w:tc>
      </w:tr>
      <w:tr>
        <w:tc>
          <w:tcPr>
            <w:tcW w:type="dxa" w:w="1814"/>
            <w:vAlign w:val="center"/>
            <w:tcMar>
              <w:top w:w="90" w:type="dxa"/>
              <w:start w:w="90" w:type="dxa"/>
              <w:bottom w:w="90" w:type="dxa"/>
              <w:end w:w="90" w:type="dxa"/>
            </w:tcMar>
            <w:shd w:fill="F7F9FC"/>
          </w:tcPr>
          <w:p>
            <w:pPr>
              <w:ind w:firstLine="0"/>
              <w:jc w:val="center"/>
            </w:pPr>
            <w:r>
              <w:rPr>
                <w:rFonts w:ascii="Times New Roman" w:hAnsi="Times New Roman" w:eastAsia="宋体"/>
                <w:color w:val="000000"/>
                <w:sz w:val="18"/>
              </w:rPr>
              <w:t>C4（Set2）</w:t>
            </w:r>
          </w:p>
        </w:tc>
        <w:tc>
          <w:tcPr>
            <w:tcW w:type="dxa" w:w="1531"/>
            <w:vAlign w:val="center"/>
            <w:tcMar>
              <w:top w:w="90" w:type="dxa"/>
              <w:start w:w="90" w:type="dxa"/>
              <w:bottom w:w="90" w:type="dxa"/>
              <w:end w:w="90" w:type="dxa"/>
            </w:tcMar>
            <w:shd w:fill="F7F9FC"/>
          </w:tcPr>
          <w:p>
            <w:pPr>
              <w:ind w:firstLine="0"/>
              <w:jc w:val="center"/>
            </w:pPr>
            <w:r>
              <w:rPr>
                <w:rFonts w:ascii="Times New Roman" w:hAnsi="Times New Roman" w:eastAsia="宋体"/>
                <w:color w:val="000000"/>
                <w:sz w:val="18"/>
              </w:rPr>
              <w:t>9.068</w:t>
            </w:r>
          </w:p>
        </w:tc>
        <w:tc>
          <w:tcPr>
            <w:tcW w:type="dxa" w:w="1531"/>
            <w:vAlign w:val="center"/>
            <w:tcMar>
              <w:top w:w="90" w:type="dxa"/>
              <w:start w:w="90" w:type="dxa"/>
              <w:bottom w:w="90" w:type="dxa"/>
              <w:end w:w="90" w:type="dxa"/>
            </w:tcMar>
            <w:shd w:fill="F7F9FC"/>
          </w:tcPr>
          <w:p>
            <w:pPr>
              <w:ind w:firstLine="0"/>
              <w:jc w:val="center"/>
            </w:pPr>
            <w:r>
              <w:rPr>
                <w:rFonts w:ascii="Times New Roman" w:hAnsi="Times New Roman" w:eastAsia="宋体"/>
                <w:color w:val="000000"/>
                <w:sz w:val="18"/>
              </w:rPr>
              <w:t>26.540</w:t>
            </w:r>
          </w:p>
        </w:tc>
        <w:tc>
          <w:tcPr>
            <w:tcW w:type="dxa" w:w="1644"/>
            <w:vAlign w:val="center"/>
            <w:tcMar>
              <w:top w:w="90" w:type="dxa"/>
              <w:start w:w="90" w:type="dxa"/>
              <w:bottom w:w="90" w:type="dxa"/>
              <w:end w:w="90" w:type="dxa"/>
            </w:tcMar>
            <w:shd w:fill="F7F9FC"/>
          </w:tcPr>
          <w:p>
            <w:pPr>
              <w:ind w:firstLine="0"/>
              <w:jc w:val="center"/>
            </w:pPr>
            <w:r>
              <w:rPr>
                <w:rFonts w:ascii="Times New Roman" w:hAnsi="Times New Roman" w:eastAsia="宋体"/>
                <w:color w:val="000000"/>
                <w:sz w:val="18"/>
              </w:rPr>
              <w:t>7.439</w:t>
            </w:r>
          </w:p>
        </w:tc>
        <w:tc>
          <w:tcPr>
            <w:tcW w:type="dxa" w:w="1644"/>
            <w:vAlign w:val="center"/>
            <w:tcMar>
              <w:top w:w="90" w:type="dxa"/>
              <w:start w:w="90" w:type="dxa"/>
              <w:bottom w:w="90" w:type="dxa"/>
              <w:end w:w="90" w:type="dxa"/>
            </w:tcMar>
            <w:shd w:fill="F7F9FC"/>
          </w:tcPr>
          <w:p>
            <w:pPr>
              <w:ind w:firstLine="0"/>
              <w:jc w:val="center"/>
            </w:pPr>
            <w:r>
              <w:rPr>
                <w:rFonts w:ascii="Times New Roman" w:hAnsi="Times New Roman" w:eastAsia="宋体"/>
                <w:color w:val="000000"/>
                <w:sz w:val="18"/>
              </w:rPr>
              <w:t>20.666</w:t>
            </w:r>
          </w:p>
        </w:tc>
      </w:tr>
    </w:tbl>
    <w:p>
      <w:pPr>
        <w:spacing w:after="20"/>
      </w:pPr>
    </w:p>
    <w:p>
      <w:pPr>
        <w:spacing w:line="307" w:lineRule="auto" w:after="80"/>
        <w:ind w:firstLine="420"/>
        <w:jc w:val="both"/>
      </w:pPr>
      <w:r>
        <w:rPr>
          <w:rFonts w:ascii="Times New Roman" w:hAnsi="Times New Roman" w:eastAsia="宋体"/>
          <w:color w:val="000000"/>
          <w:sz w:val="21"/>
        </w:rPr>
        <w:t>（1）Set1 分析。不同方法的跟踪误差与转角如图 6，数值见表 1。四种控制器均获得较高控制性能，且跟踪误差有界。C1 的位置误差和角度误差均显著小于另外三种方法，四项指标的最大改善幅度分别为 57.36%、51.20%、63.84% 和 64.25%。值得注意的是，尽管 C4 使用与 C1 相同数量的神经元拟合误差，结果仍表明 BLNN 的非线性逼近能力优于传统 RBF 神经网络。</w:t>
      </w:r>
    </w:p>
    <w:p>
      <w:pPr>
        <w:keepNext/>
        <w:ind w:firstLine="0"/>
        <w:jc w:val="center"/>
      </w:pPr>
      <w:r>
        <w:drawing>
          <wp:inline xmlns:a="http://schemas.openxmlformats.org/drawingml/2006/main" xmlns:pic="http://schemas.openxmlformats.org/drawingml/2006/picture">
            <wp:extent cx="4500000" cy="4134146"/>
            <wp:docPr id="7" name="Picture 7"/>
            <wp:cNvGraphicFramePr>
              <a:graphicFrameLocks noChangeAspect="1"/>
            </wp:cNvGraphicFramePr>
            <a:graphic>
              <a:graphicData uri="http://schemas.openxmlformats.org/drawingml/2006/picture">
                <pic:pic>
                  <pic:nvPicPr>
                    <pic:cNvPr id="0" name="fig07.jpg"/>
                    <pic:cNvPicPr/>
                  </pic:nvPicPr>
                  <pic:blipFill>
                    <a:blip r:embed="rId15"/>
                    <a:stretch>
                      <a:fillRect/>
                    </a:stretch>
                  </pic:blipFill>
                  <pic:spPr>
                    <a:xfrm>
                      <a:off x="0" y="0"/>
                      <a:ext cx="4500000" cy="4134146"/>
                    </a:xfrm>
                    <a:prstGeom prst="rect"/>
                  </pic:spPr>
                </pic:pic>
              </a:graphicData>
            </a:graphic>
          </wp:inline>
        </w:drawing>
      </w:r>
    </w:p>
    <w:p>
      <w:pPr>
        <w:keepNext w:val="0"/>
        <w:spacing w:after="140"/>
        <w:ind w:firstLine="0"/>
        <w:jc w:val="center"/>
      </w:pPr>
      <w:r>
        <w:rPr>
          <w:rFonts w:ascii="Times New Roman" w:hAnsi="Times New Roman" w:eastAsia="宋体"/>
          <w:color w:val="000000"/>
          <w:sz w:val="19"/>
        </w:rPr>
        <w:t>图 7  Set2 中横梁的跟踪误差与转角</w:t>
      </w:r>
    </w:p>
    <w:p>
      <w:pPr>
        <w:spacing w:line="307" w:lineRule="auto" w:after="80"/>
        <w:ind w:firstLine="420"/>
        <w:jc w:val="both"/>
      </w:pPr>
      <w:r>
        <w:rPr>
          <w:rFonts w:ascii="Times New Roman" w:hAnsi="Times New Roman" w:eastAsia="宋体"/>
          <w:color w:val="000000"/>
          <w:sz w:val="21"/>
        </w:rPr>
        <w:t>（2）Set2 分析。在外部扰动存在时，各方法的跟踪误差与转角如图 7，数值见表 1。C1 的位置误差与角度误差仍显著小于另外三种方法，四项指标最大改善幅度分别为 46.55%、45.44%、40.79% 和 45.83%。C2 和 C3 的表现相对较差，抗干扰能力不足。C4 在 E[e_y]_r 和 E[e_α]_r 上与 C1 接近，但在其余两项指标上略差。因此，C1 具有较强鲁棒性和抗干扰能力。</w:t>
      </w:r>
    </w:p>
    <w:p>
      <w:pPr>
        <w:keepNext/>
        <w:ind w:firstLine="0"/>
        <w:jc w:val="center"/>
      </w:pPr>
      <w:r>
        <w:drawing>
          <wp:inline xmlns:a="http://schemas.openxmlformats.org/drawingml/2006/main" xmlns:pic="http://schemas.openxmlformats.org/drawingml/2006/picture">
            <wp:extent cx="4500000" cy="4046321"/>
            <wp:docPr id="8" name="Picture 8"/>
            <wp:cNvGraphicFramePr>
              <a:graphicFrameLocks noChangeAspect="1"/>
            </wp:cNvGraphicFramePr>
            <a:graphic>
              <a:graphicData uri="http://schemas.openxmlformats.org/drawingml/2006/picture">
                <pic:pic>
                  <pic:nvPicPr>
                    <pic:cNvPr id="0" name="fig08.jpg"/>
                    <pic:cNvPicPr/>
                  </pic:nvPicPr>
                  <pic:blipFill>
                    <a:blip r:embed="rId16"/>
                    <a:stretch>
                      <a:fillRect/>
                    </a:stretch>
                  </pic:blipFill>
                  <pic:spPr>
                    <a:xfrm>
                      <a:off x="0" y="0"/>
                      <a:ext cx="4500000" cy="4046321"/>
                    </a:xfrm>
                    <a:prstGeom prst="rect"/>
                  </pic:spPr>
                </pic:pic>
              </a:graphicData>
            </a:graphic>
          </wp:inline>
        </w:drawing>
      </w:r>
    </w:p>
    <w:p>
      <w:pPr>
        <w:keepNext w:val="0"/>
        <w:spacing w:after="140"/>
        <w:ind w:firstLine="0"/>
        <w:jc w:val="center"/>
      </w:pPr>
      <w:r>
        <w:rPr>
          <w:rFonts w:ascii="Times New Roman" w:hAnsi="Times New Roman" w:eastAsia="宋体"/>
          <w:color w:val="000000"/>
          <w:sz w:val="19"/>
        </w:rPr>
        <w:t>图 8  Set3 中横梁的跟踪误差与控制输入</w:t>
      </w:r>
    </w:p>
    <w:p>
      <w:pPr>
        <w:spacing w:line="307" w:lineRule="auto" w:after="80"/>
        <w:ind w:firstLine="420"/>
        <w:jc w:val="both"/>
      </w:pPr>
      <w:r>
        <w:rPr>
          <w:rFonts w:ascii="Times New Roman" w:hAnsi="Times New Roman" w:eastAsia="宋体"/>
          <w:color w:val="000000"/>
          <w:sz w:val="21"/>
        </w:rPr>
        <w:t>（3）Set3 分析。本实验设置了较严格的控制器饱和上限，Y 轴位置跟踪误差和控制器输出曲线如图 8。在给定饱和条件下，控制器输出被强制限制在规定值以下。C2、C3 和 C4 虽能继续运行，但跟踪误差显著大于 C1，表明抗饱和性能较差，而且缺少保证系统始终稳定运行的理论依据。C1 初始运行时虽有较大超调，但很快稳定在较小范围内。结合前述理论分析，C1 能够稳定运行并表现出更优性能。</w:t>
      </w:r>
    </w:p>
    <w:p>
      <w:pPr>
        <w:pStyle w:val="Heading2"/>
        <w:keepNext/>
      </w:pPr>
      <w:r>
        <w:t>4.4 BLNN 节点增长与计算负担</w:t>
      </w:r>
    </w:p>
    <w:p>
      <w:pPr>
        <w:keepNext/>
        <w:ind w:firstLine="0"/>
        <w:jc w:val="center"/>
      </w:pPr>
      <w:r>
        <w:drawing>
          <wp:inline xmlns:a="http://schemas.openxmlformats.org/drawingml/2006/main" xmlns:pic="http://schemas.openxmlformats.org/drawingml/2006/picture">
            <wp:extent cx="4392000" cy="4006948"/>
            <wp:docPr id="9" name="Picture 9"/>
            <wp:cNvGraphicFramePr>
              <a:graphicFrameLocks noChangeAspect="1"/>
            </wp:cNvGraphicFramePr>
            <a:graphic>
              <a:graphicData uri="http://schemas.openxmlformats.org/drawingml/2006/picture">
                <pic:pic>
                  <pic:nvPicPr>
                    <pic:cNvPr id="0" name="fig09.jpg"/>
                    <pic:cNvPicPr/>
                  </pic:nvPicPr>
                  <pic:blipFill>
                    <a:blip r:embed="rId17"/>
                    <a:stretch>
                      <a:fillRect/>
                    </a:stretch>
                  </pic:blipFill>
                  <pic:spPr>
                    <a:xfrm>
                      <a:off x="0" y="0"/>
                      <a:ext cx="4392000" cy="4006948"/>
                    </a:xfrm>
                    <a:prstGeom prst="rect"/>
                  </pic:spPr>
                </pic:pic>
              </a:graphicData>
            </a:graphic>
          </wp:inline>
        </w:drawing>
      </w:r>
    </w:p>
    <w:p>
      <w:pPr>
        <w:keepNext w:val="0"/>
        <w:spacing w:after="140"/>
        <w:ind w:firstLine="0"/>
        <w:jc w:val="center"/>
      </w:pPr>
      <w:r>
        <w:rPr>
          <w:rFonts w:ascii="Times New Roman" w:hAnsi="Times New Roman" w:eastAsia="宋体"/>
          <w:color w:val="000000"/>
          <w:sz w:val="19"/>
        </w:rPr>
        <w:t>图 9  BLNN 权重更新</w:t>
      </w:r>
    </w:p>
    <w:p>
      <w:pPr>
        <w:spacing w:line="307" w:lineRule="auto" w:after="80"/>
        <w:ind w:firstLine="0"/>
        <w:jc w:val="both"/>
      </w:pPr>
      <w:r>
        <w:rPr>
          <w:rFonts w:ascii="Times New Roman" w:hAnsi="Times New Roman" w:eastAsia="黑体"/>
          <w:b/>
          <w:color w:val="000000"/>
          <w:sz w:val="21"/>
        </w:rPr>
        <w:t>注 5</w:t>
      </w:r>
      <w:r>
        <w:rPr>
          <w:rFonts w:ascii="Times New Roman" w:hAnsi="Times New Roman" w:eastAsia="宋体"/>
          <w:color w:val="000000"/>
          <w:sz w:val="21"/>
        </w:rPr>
        <w:t xml:space="preserve">  BLNN 相比传统 RBF 网络的主要优势在于简化神经网络设计，使使用者无需反复选择激活函数参数和最优神经元数量。激活函数体现网络对输入层信号的解释；参数选择不当会削弱神经元感知信号的能力，并降低整体拟合性能。BLNN 初始设计只需设置少量神经元，参数可自由给定。通过调整阈值 Θ，网络会自动增加神经元；新增神经元通常比初始节点具有更强的感知能力，相应权重也更大，如图 9。</w:t>
      </w:r>
    </w:p>
    <w:p>
      <w:pPr>
        <w:keepNext/>
        <w:ind w:firstLine="0"/>
        <w:jc w:val="center"/>
      </w:pPr>
      <w:r>
        <w:drawing>
          <wp:inline xmlns:a="http://schemas.openxmlformats.org/drawingml/2006/main" xmlns:pic="http://schemas.openxmlformats.org/drawingml/2006/picture">
            <wp:extent cx="4500000" cy="3905660"/>
            <wp:docPr id="10" name="Picture 10"/>
            <wp:cNvGraphicFramePr>
              <a:graphicFrameLocks noChangeAspect="1"/>
            </wp:cNvGraphicFramePr>
            <a:graphic>
              <a:graphicData uri="http://schemas.openxmlformats.org/drawingml/2006/picture">
                <pic:pic>
                  <pic:nvPicPr>
                    <pic:cNvPr id="0" name="fig10.jpg"/>
                    <pic:cNvPicPr/>
                  </pic:nvPicPr>
                  <pic:blipFill>
                    <a:blip r:embed="rId18"/>
                    <a:stretch>
                      <a:fillRect/>
                    </a:stretch>
                  </pic:blipFill>
                  <pic:spPr>
                    <a:xfrm>
                      <a:off x="0" y="0"/>
                      <a:ext cx="4500000" cy="3905660"/>
                    </a:xfrm>
                    <a:prstGeom prst="rect"/>
                  </pic:spPr>
                </pic:pic>
              </a:graphicData>
            </a:graphic>
          </wp:inline>
        </w:drawing>
      </w:r>
    </w:p>
    <w:p>
      <w:pPr>
        <w:keepNext w:val="0"/>
        <w:spacing w:after="140"/>
        <w:ind w:firstLine="0"/>
        <w:jc w:val="center"/>
      </w:pPr>
      <w:r>
        <w:rPr>
          <w:rFonts w:ascii="Times New Roman" w:hAnsi="Times New Roman" w:eastAsia="宋体"/>
          <w:color w:val="000000"/>
          <w:sz w:val="19"/>
        </w:rPr>
        <w:t>图 10  不同阈值下的跟踪误差</w:t>
      </w:r>
    </w:p>
    <w:p>
      <w:pPr>
        <w:keepNext/>
        <w:ind w:firstLine="0"/>
        <w:jc w:val="center"/>
      </w:pPr>
      <w:r>
        <w:drawing>
          <wp:inline xmlns:a="http://schemas.openxmlformats.org/drawingml/2006/main" xmlns:pic="http://schemas.openxmlformats.org/drawingml/2006/picture">
            <wp:extent cx="4500000" cy="3893530"/>
            <wp:docPr id="11" name="Picture 11"/>
            <wp:cNvGraphicFramePr>
              <a:graphicFrameLocks noChangeAspect="1"/>
            </wp:cNvGraphicFramePr>
            <a:graphic>
              <a:graphicData uri="http://schemas.openxmlformats.org/drawingml/2006/picture">
                <pic:pic>
                  <pic:nvPicPr>
                    <pic:cNvPr id="0" name="fig11.jpg"/>
                    <pic:cNvPicPr/>
                  </pic:nvPicPr>
                  <pic:blipFill>
                    <a:blip r:embed="rId19"/>
                    <a:stretch>
                      <a:fillRect/>
                    </a:stretch>
                  </pic:blipFill>
                  <pic:spPr>
                    <a:xfrm>
                      <a:off x="0" y="0"/>
                      <a:ext cx="4500000" cy="3893530"/>
                    </a:xfrm>
                    <a:prstGeom prst="rect"/>
                  </pic:spPr>
                </pic:pic>
              </a:graphicData>
            </a:graphic>
          </wp:inline>
        </w:drawing>
      </w:r>
    </w:p>
    <w:p>
      <w:pPr>
        <w:keepNext w:val="0"/>
        <w:spacing w:after="140"/>
        <w:ind w:firstLine="0"/>
        <w:jc w:val="center"/>
      </w:pPr>
      <w:r>
        <w:rPr>
          <w:rFonts w:ascii="Times New Roman" w:hAnsi="Times New Roman" w:eastAsia="宋体"/>
          <w:color w:val="000000"/>
          <w:sz w:val="19"/>
        </w:rPr>
        <w:t>图 11  不同阈值下的神经元数量</w:t>
      </w:r>
    </w:p>
    <w:p>
      <w:pPr>
        <w:keepNext/>
        <w:ind w:firstLine="0"/>
        <w:jc w:val="center"/>
      </w:pPr>
      <w:r>
        <w:drawing>
          <wp:inline xmlns:a="http://schemas.openxmlformats.org/drawingml/2006/main" xmlns:pic="http://schemas.openxmlformats.org/drawingml/2006/picture">
            <wp:extent cx="4500000" cy="4196765"/>
            <wp:docPr id="12" name="Picture 12"/>
            <wp:cNvGraphicFramePr>
              <a:graphicFrameLocks noChangeAspect="1"/>
            </wp:cNvGraphicFramePr>
            <a:graphic>
              <a:graphicData uri="http://schemas.openxmlformats.org/drawingml/2006/picture">
                <pic:pic>
                  <pic:nvPicPr>
                    <pic:cNvPr id="0" name="fig12.jpg"/>
                    <pic:cNvPicPr/>
                  </pic:nvPicPr>
                  <pic:blipFill>
                    <a:blip r:embed="rId20"/>
                    <a:stretch>
                      <a:fillRect/>
                    </a:stretch>
                  </pic:blipFill>
                  <pic:spPr>
                    <a:xfrm>
                      <a:off x="0" y="0"/>
                      <a:ext cx="4500000" cy="4196765"/>
                    </a:xfrm>
                    <a:prstGeom prst="rect"/>
                  </pic:spPr>
                </pic:pic>
              </a:graphicData>
            </a:graphic>
          </wp:inline>
        </w:drawing>
      </w:r>
    </w:p>
    <w:p>
      <w:pPr>
        <w:keepNext w:val="0"/>
        <w:spacing w:after="140"/>
        <w:ind w:firstLine="0"/>
        <w:jc w:val="center"/>
      </w:pPr>
      <w:r>
        <w:rPr>
          <w:rFonts w:ascii="Times New Roman" w:hAnsi="Times New Roman" w:eastAsia="宋体"/>
          <w:color w:val="000000"/>
          <w:sz w:val="19"/>
        </w:rPr>
        <w:t>图 12  不同阈值下的平均执行时间</w:t>
      </w:r>
    </w:p>
    <w:p>
      <w:pPr>
        <w:spacing w:line="307" w:lineRule="auto" w:after="80"/>
        <w:ind w:firstLine="0"/>
        <w:jc w:val="both"/>
      </w:pPr>
      <w:r>
        <w:rPr>
          <w:rFonts w:ascii="Times New Roman" w:hAnsi="Times New Roman" w:eastAsia="黑体"/>
          <w:b/>
          <w:color w:val="000000"/>
          <w:sz w:val="21"/>
        </w:rPr>
        <w:t>注 6</w:t>
      </w:r>
      <w:r>
        <w:rPr>
          <w:rFonts w:ascii="Times New Roman" w:hAnsi="Times New Roman" w:eastAsia="宋体"/>
          <w:color w:val="000000"/>
          <w:sz w:val="21"/>
        </w:rPr>
        <w:t xml:space="preserve">  神经网络可以较好逼近系统非线性，但神经元数量增加也会消耗更多计算资源。因此，需要设置神经元数量上限，在效率与精度之间折中。图 10 和图 11 给出不同阈值下的结果，其中图 11 仅显示 e_y 维度的神经元增长曲线。随着阈值减小，神经元数量增加直至某一上限，跟踪误差相应减小；但当神经元过多时，例如 Θ=0.02，跟踪误差反而增大。图 12 比较不同阈值下的算法执行时间，执行时间由 TwinCAT 内置功能模块实时读取，单位为微秒。神经元数量过多时，系统无法提供稳定算力，导致算法执行时间显著波动。</w:t>
      </w:r>
    </w:p>
    <w:p>
      <w:pPr>
        <w:keepNext/>
        <w:ind w:firstLine="0"/>
        <w:jc w:val="center"/>
      </w:pPr>
      <w:r>
        <w:rPr>
          <w:rFonts w:ascii="Times New Roman" w:hAnsi="Times New Roman" w:eastAsia="宋体"/>
          <w:color w:val="000000"/>
          <w:sz w:val="19"/>
        </w:rPr>
        <w:t>表 2  算法执行时间比较</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848"/>
        <w:gridCol w:w="1848"/>
        <w:gridCol w:w="1848"/>
        <w:gridCol w:w="1848"/>
        <w:gridCol w:w="1848"/>
      </w:tblGrid>
      <w:tr>
        <w:tc>
          <w:tcPr>
            <w:tcW w:type="dxa" w:w="1701"/>
            <w:shd w:fill="DCE6F1"/>
            <w:vAlign w:val="center"/>
            <w:tcMar>
              <w:top w:w="90" w:type="dxa"/>
              <w:start w:w="90" w:type="dxa"/>
              <w:bottom w:w="90" w:type="dxa"/>
              <w:end w:w="90" w:type="dxa"/>
            </w:tcMar>
          </w:tcPr>
          <w:p>
            <w:pPr>
              <w:ind w:firstLine="0"/>
              <w:jc w:val="center"/>
            </w:pPr>
            <w:r>
              <w:rPr>
                <w:rFonts w:ascii="Times New Roman" w:hAnsi="Times New Roman" w:eastAsia="黑体"/>
                <w:b/>
                <w:color w:val="000000"/>
                <w:sz w:val="19"/>
              </w:rPr>
              <w:t>工况</w:t>
            </w:r>
          </w:p>
        </w:tc>
        <w:tc>
          <w:tcPr>
            <w:tcW w:type="dxa" w:w="1531"/>
            <w:shd w:fill="DCE6F1"/>
            <w:vAlign w:val="center"/>
            <w:tcMar>
              <w:top w:w="90" w:type="dxa"/>
              <w:start w:w="90" w:type="dxa"/>
              <w:bottom w:w="90" w:type="dxa"/>
              <w:end w:w="90" w:type="dxa"/>
            </w:tcMar>
          </w:tcPr>
          <w:p>
            <w:pPr>
              <w:ind w:firstLine="0"/>
              <w:jc w:val="center"/>
            </w:pPr>
            <w:r>
              <w:rPr>
                <w:rFonts w:ascii="Times New Roman" w:hAnsi="Times New Roman" w:eastAsia="黑体"/>
                <w:b/>
                <w:color w:val="000000"/>
                <w:sz w:val="19"/>
              </w:rPr>
              <w:t>C1（μs）</w:t>
            </w:r>
          </w:p>
        </w:tc>
        <w:tc>
          <w:tcPr>
            <w:tcW w:type="dxa" w:w="1531"/>
            <w:shd w:fill="DCE6F1"/>
            <w:vAlign w:val="center"/>
            <w:tcMar>
              <w:top w:w="90" w:type="dxa"/>
              <w:start w:w="90" w:type="dxa"/>
              <w:bottom w:w="90" w:type="dxa"/>
              <w:end w:w="90" w:type="dxa"/>
            </w:tcMar>
          </w:tcPr>
          <w:p>
            <w:pPr>
              <w:ind w:firstLine="0"/>
              <w:jc w:val="center"/>
            </w:pPr>
            <w:r>
              <w:rPr>
                <w:rFonts w:ascii="Times New Roman" w:hAnsi="Times New Roman" w:eastAsia="黑体"/>
                <w:b/>
                <w:color w:val="000000"/>
                <w:sz w:val="19"/>
              </w:rPr>
              <w:t>C2（μs）</w:t>
            </w:r>
          </w:p>
        </w:tc>
        <w:tc>
          <w:tcPr>
            <w:tcW w:type="dxa" w:w="1531"/>
            <w:shd w:fill="DCE6F1"/>
            <w:vAlign w:val="center"/>
            <w:tcMar>
              <w:top w:w="90" w:type="dxa"/>
              <w:start w:w="90" w:type="dxa"/>
              <w:bottom w:w="90" w:type="dxa"/>
              <w:end w:w="90" w:type="dxa"/>
            </w:tcMar>
          </w:tcPr>
          <w:p>
            <w:pPr>
              <w:ind w:firstLine="0"/>
              <w:jc w:val="center"/>
            </w:pPr>
            <w:r>
              <w:rPr>
                <w:rFonts w:ascii="Times New Roman" w:hAnsi="Times New Roman" w:eastAsia="黑体"/>
                <w:b/>
                <w:color w:val="000000"/>
                <w:sz w:val="19"/>
              </w:rPr>
              <w:t>C3（μs）</w:t>
            </w:r>
          </w:p>
        </w:tc>
        <w:tc>
          <w:tcPr>
            <w:tcW w:type="dxa" w:w="1531"/>
            <w:shd w:fill="DCE6F1"/>
            <w:vAlign w:val="center"/>
            <w:tcMar>
              <w:top w:w="90" w:type="dxa"/>
              <w:start w:w="90" w:type="dxa"/>
              <w:bottom w:w="90" w:type="dxa"/>
              <w:end w:w="90" w:type="dxa"/>
            </w:tcMar>
          </w:tcPr>
          <w:p>
            <w:pPr>
              <w:ind w:firstLine="0"/>
              <w:jc w:val="center"/>
            </w:pPr>
            <w:r>
              <w:rPr>
                <w:rFonts w:ascii="Times New Roman" w:hAnsi="Times New Roman" w:eastAsia="黑体"/>
                <w:b/>
                <w:color w:val="000000"/>
                <w:sz w:val="19"/>
              </w:rPr>
              <w:t>C4（μs）</w:t>
            </w:r>
          </w:p>
        </w:tc>
      </w:tr>
      <w:tr>
        <w:tc>
          <w:tcPr>
            <w:tcW w:type="dxa" w:w="1701"/>
            <w:vAlign w:val="center"/>
            <w:tcMar>
              <w:top w:w="90" w:type="dxa"/>
              <w:start w:w="90" w:type="dxa"/>
              <w:bottom w:w="90" w:type="dxa"/>
              <w:end w:w="90" w:type="dxa"/>
            </w:tcMar>
          </w:tcPr>
          <w:p>
            <w:pPr>
              <w:ind w:firstLine="0"/>
              <w:jc w:val="center"/>
            </w:pPr>
            <w:r>
              <w:rPr>
                <w:rFonts w:ascii="Times New Roman" w:hAnsi="Times New Roman" w:eastAsia="宋体"/>
                <w:color w:val="000000"/>
                <w:sz w:val="18"/>
              </w:rPr>
              <w:t>Set1</w:t>
            </w:r>
          </w:p>
        </w:tc>
        <w:tc>
          <w:tcPr>
            <w:tcW w:type="dxa" w:w="1531"/>
            <w:vAlign w:val="center"/>
            <w:tcMar>
              <w:top w:w="90" w:type="dxa"/>
              <w:start w:w="90" w:type="dxa"/>
              <w:bottom w:w="90" w:type="dxa"/>
              <w:end w:w="90" w:type="dxa"/>
            </w:tcMar>
          </w:tcPr>
          <w:p>
            <w:pPr>
              <w:ind w:firstLine="0"/>
              <w:jc w:val="center"/>
            </w:pPr>
            <w:r>
              <w:rPr>
                <w:rFonts w:ascii="Times New Roman" w:hAnsi="Times New Roman" w:eastAsia="宋体"/>
                <w:color w:val="000000"/>
                <w:sz w:val="18"/>
              </w:rPr>
              <w:t>14</w:t>
            </w:r>
          </w:p>
        </w:tc>
        <w:tc>
          <w:tcPr>
            <w:tcW w:type="dxa" w:w="1531"/>
            <w:vAlign w:val="center"/>
            <w:tcMar>
              <w:top w:w="90" w:type="dxa"/>
              <w:start w:w="90" w:type="dxa"/>
              <w:bottom w:w="90" w:type="dxa"/>
              <w:end w:w="90" w:type="dxa"/>
            </w:tcMar>
          </w:tcPr>
          <w:p>
            <w:pPr>
              <w:ind w:firstLine="0"/>
              <w:jc w:val="center"/>
            </w:pPr>
            <w:r>
              <w:rPr>
                <w:rFonts w:ascii="Times New Roman" w:hAnsi="Times New Roman" w:eastAsia="宋体"/>
                <w:color w:val="000000"/>
                <w:sz w:val="18"/>
              </w:rPr>
              <w:t>2</w:t>
            </w:r>
          </w:p>
        </w:tc>
        <w:tc>
          <w:tcPr>
            <w:tcW w:type="dxa" w:w="1531"/>
            <w:vAlign w:val="center"/>
            <w:tcMar>
              <w:top w:w="90" w:type="dxa"/>
              <w:start w:w="90" w:type="dxa"/>
              <w:bottom w:w="90" w:type="dxa"/>
              <w:end w:w="90" w:type="dxa"/>
            </w:tcMar>
          </w:tcPr>
          <w:p>
            <w:pPr>
              <w:ind w:firstLine="0"/>
              <w:jc w:val="center"/>
            </w:pPr>
            <w:r>
              <w:rPr>
                <w:rFonts w:ascii="Times New Roman" w:hAnsi="Times New Roman" w:eastAsia="宋体"/>
                <w:color w:val="000000"/>
                <w:sz w:val="18"/>
              </w:rPr>
              <w:t>7</w:t>
            </w:r>
          </w:p>
        </w:tc>
        <w:tc>
          <w:tcPr>
            <w:tcW w:type="dxa" w:w="1531"/>
            <w:vAlign w:val="center"/>
            <w:tcMar>
              <w:top w:w="90" w:type="dxa"/>
              <w:start w:w="90" w:type="dxa"/>
              <w:bottom w:w="90" w:type="dxa"/>
              <w:end w:w="90" w:type="dxa"/>
            </w:tcMar>
          </w:tcPr>
          <w:p>
            <w:pPr>
              <w:ind w:firstLine="0"/>
              <w:jc w:val="center"/>
            </w:pPr>
            <w:r>
              <w:rPr>
                <w:rFonts w:ascii="Times New Roman" w:hAnsi="Times New Roman" w:eastAsia="宋体"/>
                <w:color w:val="000000"/>
                <w:sz w:val="18"/>
              </w:rPr>
              <w:t>12</w:t>
            </w:r>
          </w:p>
        </w:tc>
      </w:tr>
      <w:tr>
        <w:tc>
          <w:tcPr>
            <w:tcW w:type="dxa" w:w="1701"/>
            <w:vAlign w:val="center"/>
            <w:tcMar>
              <w:top w:w="90" w:type="dxa"/>
              <w:start w:w="90" w:type="dxa"/>
              <w:bottom w:w="90" w:type="dxa"/>
              <w:end w:w="90" w:type="dxa"/>
            </w:tcMar>
            <w:shd w:fill="F7F9FC"/>
          </w:tcPr>
          <w:p>
            <w:pPr>
              <w:ind w:firstLine="0"/>
              <w:jc w:val="center"/>
            </w:pPr>
            <w:r>
              <w:rPr>
                <w:rFonts w:ascii="Times New Roman" w:hAnsi="Times New Roman" w:eastAsia="宋体"/>
                <w:color w:val="000000"/>
                <w:sz w:val="18"/>
              </w:rPr>
              <w:t>Set2</w:t>
            </w:r>
          </w:p>
        </w:tc>
        <w:tc>
          <w:tcPr>
            <w:tcW w:type="dxa" w:w="1531"/>
            <w:vAlign w:val="center"/>
            <w:tcMar>
              <w:top w:w="90" w:type="dxa"/>
              <w:start w:w="90" w:type="dxa"/>
              <w:bottom w:w="90" w:type="dxa"/>
              <w:end w:w="90" w:type="dxa"/>
            </w:tcMar>
            <w:shd w:fill="F7F9FC"/>
          </w:tcPr>
          <w:p>
            <w:pPr>
              <w:ind w:firstLine="0"/>
              <w:jc w:val="center"/>
            </w:pPr>
            <w:r>
              <w:rPr>
                <w:rFonts w:ascii="Times New Roman" w:hAnsi="Times New Roman" w:eastAsia="宋体"/>
                <w:color w:val="000000"/>
                <w:sz w:val="18"/>
              </w:rPr>
              <w:t>14</w:t>
            </w:r>
          </w:p>
        </w:tc>
        <w:tc>
          <w:tcPr>
            <w:tcW w:type="dxa" w:w="1531"/>
            <w:vAlign w:val="center"/>
            <w:tcMar>
              <w:top w:w="90" w:type="dxa"/>
              <w:start w:w="90" w:type="dxa"/>
              <w:bottom w:w="90" w:type="dxa"/>
              <w:end w:w="90" w:type="dxa"/>
            </w:tcMar>
            <w:shd w:fill="F7F9FC"/>
          </w:tcPr>
          <w:p>
            <w:pPr>
              <w:ind w:firstLine="0"/>
              <w:jc w:val="center"/>
            </w:pPr>
            <w:r>
              <w:rPr>
                <w:rFonts w:ascii="Times New Roman" w:hAnsi="Times New Roman" w:eastAsia="宋体"/>
                <w:color w:val="000000"/>
                <w:sz w:val="18"/>
              </w:rPr>
              <w:t>2</w:t>
            </w:r>
          </w:p>
        </w:tc>
        <w:tc>
          <w:tcPr>
            <w:tcW w:type="dxa" w:w="1531"/>
            <w:vAlign w:val="center"/>
            <w:tcMar>
              <w:top w:w="90" w:type="dxa"/>
              <w:start w:w="90" w:type="dxa"/>
              <w:bottom w:w="90" w:type="dxa"/>
              <w:end w:w="90" w:type="dxa"/>
            </w:tcMar>
            <w:shd w:fill="F7F9FC"/>
          </w:tcPr>
          <w:p>
            <w:pPr>
              <w:ind w:firstLine="0"/>
              <w:jc w:val="center"/>
            </w:pPr>
            <w:r>
              <w:rPr>
                <w:rFonts w:ascii="Times New Roman" w:hAnsi="Times New Roman" w:eastAsia="宋体"/>
                <w:color w:val="000000"/>
                <w:sz w:val="18"/>
              </w:rPr>
              <w:t>7</w:t>
            </w:r>
          </w:p>
        </w:tc>
        <w:tc>
          <w:tcPr>
            <w:tcW w:type="dxa" w:w="1531"/>
            <w:vAlign w:val="center"/>
            <w:tcMar>
              <w:top w:w="90" w:type="dxa"/>
              <w:start w:w="90" w:type="dxa"/>
              <w:bottom w:w="90" w:type="dxa"/>
              <w:end w:w="90" w:type="dxa"/>
            </w:tcMar>
            <w:shd w:fill="F7F9FC"/>
          </w:tcPr>
          <w:p>
            <w:pPr>
              <w:ind w:firstLine="0"/>
              <w:jc w:val="center"/>
            </w:pPr>
            <w:r>
              <w:rPr>
                <w:rFonts w:ascii="Times New Roman" w:hAnsi="Times New Roman" w:eastAsia="宋体"/>
                <w:color w:val="000000"/>
                <w:sz w:val="18"/>
              </w:rPr>
              <w:t>12</w:t>
            </w:r>
          </w:p>
        </w:tc>
      </w:tr>
    </w:tbl>
    <w:p>
      <w:pPr>
        <w:spacing w:after="20"/>
      </w:pPr>
    </w:p>
    <w:p>
      <w:pPr>
        <w:spacing w:line="307" w:lineRule="auto" w:after="80"/>
        <w:ind w:firstLine="0"/>
        <w:jc w:val="both"/>
      </w:pPr>
      <w:r>
        <w:rPr>
          <w:rFonts w:ascii="Times New Roman" w:hAnsi="Times New Roman" w:eastAsia="黑体"/>
          <w:b/>
          <w:color w:val="000000"/>
          <w:sz w:val="21"/>
        </w:rPr>
        <w:t>注 7</w:t>
      </w:r>
      <w:r>
        <w:rPr>
          <w:rFonts w:ascii="Times New Roman" w:hAnsi="Times New Roman" w:eastAsia="宋体"/>
          <w:color w:val="000000"/>
          <w:sz w:val="21"/>
        </w:rPr>
        <w:t xml:space="preserve">  表 2 给出了前述四种方法的算法执行时间 t_c。与性能较好的 C4 相比，C1 的计算时间几乎相同，但精度和抗干扰鲁棒性显著提高。</w:t>
      </w:r>
    </w:p>
    <w:p>
      <w:pPr>
        <w:pStyle w:val="Heading1"/>
        <w:keepNext/>
      </w:pPr>
      <w:r>
        <w:t>5 结论</w:t>
      </w:r>
    </w:p>
    <w:p>
      <w:pPr>
        <w:spacing w:line="307" w:lineRule="auto" w:after="80"/>
        <w:ind w:firstLine="420"/>
        <w:jc w:val="both"/>
      </w:pPr>
      <w:r>
        <w:rPr>
          <w:rFonts w:ascii="Times New Roman" w:hAnsi="Times New Roman" w:eastAsia="宋体"/>
          <w:color w:val="000000"/>
          <w:sz w:val="21"/>
        </w:rPr>
        <w:t>本文研究了系统不确定性与执行器饱和条件下双驱龙门平台的同步控制。首先建立龙门平台旋转动力学耦合模型，并采用 RLS 算法在线估计系统模型参数。利用平滑函数和中值定理处理饱和函数，同时在控制器中引入辅助反馈项以保证系统稳定。进一步引入宽度学习神经网络，对系统不确定性和平滑函数引起的拟合误差进行补偿；与传统 RBF 神经网络相比，BLNN 具有更优的拟合性能和更简单的设计过程。对比实验验证了所提方法的有效性。</w:t>
      </w:r>
    </w:p>
    <w:p>
      <w:pPr>
        <w:spacing w:line="307" w:lineRule="auto" w:after="80"/>
        <w:ind w:firstLine="420"/>
        <w:jc w:val="both"/>
      </w:pPr>
      <w:r>
        <w:rPr>
          <w:rFonts w:ascii="Times New Roman" w:hAnsi="Times New Roman" w:eastAsia="宋体"/>
          <w:color w:val="000000"/>
          <w:sz w:val="21"/>
        </w:rPr>
        <w:t>本文方法仍存在一定局限。第一，虽然所提控制策略能够在一定程度上缓解饱和影响，但尚未明确量化安全饱和范围并将其纳入控制器设计。第二，实际系统中的其他非线性因素，例如死区特性，尚未得到专门分析和补偿。未来将进一步研究并改进控制策略，以解决上述问题。</w:t>
      </w:r>
    </w:p>
    <w:p>
      <w:pPr>
        <w:pStyle w:val="Heading1"/>
        <w:keepNext/>
      </w:pPr>
      <w:r>
        <w:t>致谢</w:t>
      </w:r>
    </w:p>
    <w:p>
      <w:pPr>
        <w:spacing w:line="307" w:lineRule="auto" w:after="80"/>
        <w:ind w:firstLine="420"/>
        <w:jc w:val="both"/>
      </w:pPr>
      <w:r>
        <w:rPr>
          <w:rFonts w:ascii="Times New Roman" w:hAnsi="Times New Roman" w:eastAsia="宋体"/>
          <w:color w:val="000000"/>
          <w:sz w:val="21"/>
        </w:rPr>
        <w:t>作者感谢国家自然科学基金项目 6240020565 的支持。</w:t>
      </w:r>
    </w:p>
    <w:p>
      <w:pPr>
        <w:pStyle w:val="Heading2"/>
        <w:keepNext/>
      </w:pPr>
      <w:r>
        <w:t>作者贡献</w:t>
      </w:r>
    </w:p>
    <w:p>
      <w:pPr>
        <w:spacing w:line="307" w:lineRule="auto" w:after="80"/>
        <w:ind w:firstLine="420"/>
        <w:jc w:val="both"/>
      </w:pPr>
      <w:r>
        <w:rPr>
          <w:rFonts w:ascii="Times New Roman" w:hAnsi="Times New Roman" w:eastAsia="宋体"/>
          <w:color w:val="000000"/>
          <w:sz w:val="21"/>
        </w:rPr>
        <w:t>Y.Z.：概念提出、方法、软件、调查、形式分析、初稿撰写；Y.L.：概念提出、验证、监督、审阅与修改；H.P.：可视化、验证、监督；W.S.：项目管理、验证、监督。</w:t>
      </w:r>
    </w:p>
    <w:p>
      <w:pPr>
        <w:pStyle w:val="Heading2"/>
        <w:keepNext/>
      </w:pPr>
      <w:r>
        <w:t>基金资助</w:t>
      </w:r>
    </w:p>
    <w:p>
      <w:pPr>
        <w:spacing w:line="307" w:lineRule="auto" w:after="80"/>
        <w:ind w:firstLine="420"/>
        <w:jc w:val="both"/>
      </w:pPr>
      <w:r>
        <w:rPr>
          <w:rFonts w:ascii="Times New Roman" w:hAnsi="Times New Roman" w:eastAsia="宋体"/>
          <w:color w:val="000000"/>
          <w:sz w:val="21"/>
        </w:rPr>
        <w:t>本研究得到国家自然科学基金重点项目 62433009、国家自然科学基金青年科学基金项目 62403165、国家自然科学基金创新研究群体项目（A 类）62521005、国家自然科学基金面上项目 62373120 和 62573153 的资助。</w:t>
      </w:r>
    </w:p>
    <w:p>
      <w:pPr>
        <w:pStyle w:val="Heading2"/>
        <w:keepNext/>
      </w:pPr>
      <w:r>
        <w:t>数据可用性</w:t>
      </w:r>
    </w:p>
    <w:p>
      <w:pPr>
        <w:spacing w:line="307" w:lineRule="auto" w:after="80"/>
        <w:ind w:firstLine="420"/>
        <w:jc w:val="both"/>
      </w:pPr>
      <w:r>
        <w:rPr>
          <w:rFonts w:ascii="Times New Roman" w:hAnsi="Times New Roman" w:eastAsia="宋体"/>
          <w:color w:val="000000"/>
          <w:sz w:val="21"/>
        </w:rPr>
        <w:t>本研究未生成或分析数据集。</w:t>
      </w:r>
    </w:p>
    <w:p>
      <w:pPr>
        <w:pStyle w:val="Heading2"/>
        <w:keepNext/>
      </w:pPr>
      <w:r>
        <w:t>利益冲突</w:t>
      </w:r>
    </w:p>
    <w:p>
      <w:pPr>
        <w:spacing w:line="307" w:lineRule="auto" w:after="80"/>
        <w:ind w:firstLine="420"/>
        <w:jc w:val="both"/>
      </w:pPr>
      <w:r>
        <w:rPr>
          <w:rFonts w:ascii="Times New Roman" w:hAnsi="Times New Roman" w:eastAsia="宋体"/>
          <w:color w:val="000000"/>
          <w:sz w:val="21"/>
        </w:rPr>
        <w:t>作者声明不存在利益冲突。</w:t>
      </w:r>
    </w:p>
    <w:p>
      <w:pPr>
        <w:pStyle w:val="Heading1"/>
        <w:keepNext/>
      </w:pPr>
      <w:r>
        <w:t>参考文献</w:t>
      </w:r>
    </w:p>
    <w:p>
      <w:pPr>
        <w:spacing w:line="240" w:lineRule="auto" w:after="40"/>
        <w:ind w:hanging="312" w:left="312"/>
      </w:pPr>
      <w:r>
        <w:rPr>
          <w:rFonts w:ascii="Times New Roman" w:hAnsi="Times New Roman" w:eastAsia="宋体"/>
          <w:color w:val="000000"/>
          <w:sz w:val="17"/>
        </w:rPr>
        <w:t>1. Gao, H., Li, Z., Yu, X., Qiu, J.: Hierarchical multiobjective heuristic for pcb assembly optimization in a beam-head surface mounter. IEEE Trans. Cybern. 52(7), 6911-6924 (2021).</w:t>
      </w:r>
    </w:p>
    <w:p>
      <w:pPr>
        <w:spacing w:line="240" w:lineRule="auto" w:after="40"/>
        <w:ind w:hanging="312" w:left="312"/>
      </w:pPr>
      <w:r>
        <w:rPr>
          <w:rFonts w:ascii="Times New Roman" w:hAnsi="Times New Roman" w:eastAsia="宋体"/>
          <w:color w:val="000000"/>
          <w:sz w:val="17"/>
        </w:rPr>
        <w:t>2. Kumar, R., Khatait, J.P.: Design of xy air bearing stage for ultra-precision. In: Machines, Mechanism and Robotics: Proceedings of iNaCoMM 2019, pp. 1087-1103. Springer (2022).</w:t>
      </w:r>
    </w:p>
    <w:p>
      <w:pPr>
        <w:spacing w:line="240" w:lineRule="auto" w:after="40"/>
        <w:ind w:hanging="312" w:left="312"/>
      </w:pPr>
      <w:r>
        <w:rPr>
          <w:rFonts w:ascii="Times New Roman" w:hAnsi="Times New Roman" w:eastAsia="宋体"/>
          <w:color w:val="000000"/>
          <w:sz w:val="17"/>
        </w:rPr>
        <w:t>3. Yadav, A.K., Gaur, P.: Modified imc technique for nonlinear uncertain milling cnc machine tool system. Arab. J. Sci. Eng. 45(3), 2065-2080 (2020).</w:t>
      </w:r>
    </w:p>
    <w:p>
      <w:pPr>
        <w:spacing w:line="240" w:lineRule="auto" w:after="40"/>
        <w:ind w:hanging="312" w:left="312"/>
      </w:pPr>
      <w:r>
        <w:rPr>
          <w:rFonts w:ascii="Times New Roman" w:hAnsi="Times New Roman" w:eastAsia="宋体"/>
          <w:color w:val="000000"/>
          <w:sz w:val="17"/>
        </w:rPr>
        <w:t>4. Wolf, J., Werkle, K.T., Mohring, H.C.: Study on dynamic behaviour in fff 3d-printing with crossed gantry kinematic. Procedia CIRP 121, 162-167 (2024).</w:t>
      </w:r>
    </w:p>
    <w:p>
      <w:pPr>
        <w:spacing w:line="240" w:lineRule="auto" w:after="40"/>
        <w:ind w:hanging="312" w:left="312"/>
      </w:pPr>
      <w:r>
        <w:rPr>
          <w:rFonts w:ascii="Times New Roman" w:hAnsi="Times New Roman" w:eastAsia="宋体"/>
          <w:color w:val="000000"/>
          <w:sz w:val="17"/>
        </w:rPr>
        <w:t>5. Sun, W., Liu, J., Gao, H.: A composite high-speed and high-precision positioning approach for dual-drive gantry stage. IEEE Trans. Autom. Sci. Eng. (2024).</w:t>
      </w:r>
    </w:p>
    <w:p>
      <w:pPr>
        <w:spacing w:line="240" w:lineRule="auto" w:after="40"/>
        <w:ind w:hanging="312" w:left="312"/>
      </w:pPr>
      <w:r>
        <w:rPr>
          <w:rFonts w:ascii="Times New Roman" w:hAnsi="Times New Roman" w:eastAsia="宋体"/>
          <w:color w:val="000000"/>
          <w:sz w:val="17"/>
        </w:rPr>
        <w:t>6. Lorenz, R.D., Schmidt, P.B.: Synchronized motion control for process automation. In: Conference Record of the IEEE Industry Applications Society Annual Meeting, pp. 1693-1698. IEEE (1989).</w:t>
      </w:r>
    </w:p>
    <w:p>
      <w:pPr>
        <w:spacing w:line="240" w:lineRule="auto" w:after="40"/>
        <w:ind w:hanging="312" w:left="312"/>
      </w:pPr>
      <w:r>
        <w:rPr>
          <w:rFonts w:ascii="Times New Roman" w:hAnsi="Times New Roman" w:eastAsia="宋体"/>
          <w:color w:val="000000"/>
          <w:sz w:val="17"/>
        </w:rPr>
        <w:t>7. Shi, P., Sun, W., Yang, X., Rudas, I.J., Gao, H.: Master-slave synchronous control of dual-drive gantry stage with cogging force compensation. IEEE Trans. Syst. Man Cybern. Syst. 53(1), 216-225 (2022).</w:t>
      </w:r>
    </w:p>
    <w:p>
      <w:pPr>
        <w:spacing w:line="240" w:lineRule="auto" w:after="40"/>
        <w:ind w:hanging="312" w:left="312"/>
      </w:pPr>
      <w:r>
        <w:rPr>
          <w:rFonts w:ascii="Times New Roman" w:hAnsi="Times New Roman" w:eastAsia="宋体"/>
          <w:color w:val="000000"/>
          <w:sz w:val="17"/>
        </w:rPr>
        <w:t>8. Ishizaki, K., Sencer, B., Shamoto, E.: Cross coupling controller for accurate motion synchronization of dual servo systems. Int. J. Autom. Technol. 7(5), 514-522 (2013).</w:t>
      </w:r>
    </w:p>
    <w:p>
      <w:pPr>
        <w:spacing w:line="240" w:lineRule="auto" w:after="40"/>
        <w:ind w:hanging="312" w:left="312"/>
      </w:pPr>
      <w:r>
        <w:rPr>
          <w:rFonts w:ascii="Times New Roman" w:hAnsi="Times New Roman" w:eastAsia="宋体"/>
          <w:color w:val="000000"/>
          <w:sz w:val="17"/>
        </w:rPr>
        <w:t>9. Ismail, K., Kaleg, S., Muharam, A., Hapid, A., Budiman, A.C., Perdana, M.A.P., Kurnia, M.R., Huda, N., Purwanto, A.J.: Synchronization technique improvement of multi pmsms using cross-coupling technique. In: 2024 IEEE International Conference on Smart Mechatronics, pp. 136-140. IEEE (2024).</w:t>
      </w:r>
    </w:p>
    <w:p>
      <w:pPr>
        <w:spacing w:line="240" w:lineRule="auto" w:after="40"/>
        <w:ind w:hanging="312" w:left="312"/>
      </w:pPr>
      <w:r>
        <w:rPr>
          <w:rFonts w:ascii="Times New Roman" w:hAnsi="Times New Roman" w:eastAsia="宋体"/>
          <w:color w:val="000000"/>
          <w:sz w:val="17"/>
        </w:rPr>
        <w:t>10. Kronthaler, P., Woittennek, F.: Model based control of a high precision dual gantry platform with elastic cross coupling. In: IEEE 14th International Conference on Automation Science and Engineering, pp. 491-498. IEEE (2018).</w:t>
      </w:r>
    </w:p>
    <w:p>
      <w:pPr>
        <w:spacing w:line="240" w:lineRule="auto" w:after="40"/>
        <w:ind w:hanging="312" w:left="312"/>
      </w:pPr>
      <w:r>
        <w:rPr>
          <w:rFonts w:ascii="Times New Roman" w:hAnsi="Times New Roman" w:eastAsia="宋体"/>
          <w:color w:val="000000"/>
          <w:sz w:val="17"/>
        </w:rPr>
        <w:t>11. Li, C., Li, C., Chen, Z., Yao, B.: Advanced synchronization control of a dual-linear-motor-driven gantry with rotational dynamics. IEEE Trans. Industr. Electron. 65(9), 7526-7535 (2018).</w:t>
      </w:r>
    </w:p>
    <w:p>
      <w:pPr>
        <w:spacing w:line="240" w:lineRule="auto" w:after="40"/>
        <w:ind w:hanging="312" w:left="312"/>
      </w:pPr>
      <w:r>
        <w:rPr>
          <w:rFonts w:ascii="Times New Roman" w:hAnsi="Times New Roman" w:eastAsia="宋体"/>
          <w:color w:val="000000"/>
          <w:sz w:val="17"/>
        </w:rPr>
        <w:t>12. Li, C., Sun, Y., Pu, S.: Accurate physical modeling and synchronization control of dual-linear-motor-driven gantry with dynamic load. AIP Adv. 11(2) (2021).</w:t>
      </w:r>
    </w:p>
    <w:p>
      <w:pPr>
        <w:spacing w:line="240" w:lineRule="auto" w:after="40"/>
        <w:ind w:hanging="312" w:left="312"/>
      </w:pPr>
      <w:r>
        <w:rPr>
          <w:rFonts w:ascii="Times New Roman" w:hAnsi="Times New Roman" w:eastAsia="宋体"/>
          <w:color w:val="000000"/>
          <w:sz w:val="17"/>
        </w:rPr>
        <w:t>13. Shi, P., Sun, W., Yang, X.: RBF neural network-based adaptive robust synchronization control of dual drive gantry stage with rotational coupling dynamics. IEEE Trans. Autom. Sci. Eng. 20(2), 1059-1068 (2022).</w:t>
      </w:r>
    </w:p>
    <w:p>
      <w:pPr>
        <w:spacing w:line="240" w:lineRule="auto" w:after="40"/>
        <w:ind w:hanging="312" w:left="312"/>
      </w:pPr>
      <w:r>
        <w:rPr>
          <w:rFonts w:ascii="Times New Roman" w:hAnsi="Times New Roman" w:eastAsia="宋体"/>
          <w:color w:val="000000"/>
          <w:sz w:val="17"/>
        </w:rPr>
        <w:t>14. Wang, Y., Liu, Y., Sun, W.: High-performance robust synchronous control of dual-drive gantry system via composite adaptive B-spline wavelet neural network. IEEE Trans. Autom. Sci. Eng. (2025).</w:t>
      </w:r>
    </w:p>
    <w:p>
      <w:pPr>
        <w:spacing w:line="240" w:lineRule="auto" w:after="40"/>
        <w:ind w:hanging="312" w:left="312"/>
      </w:pPr>
      <w:r>
        <w:rPr>
          <w:rFonts w:ascii="Times New Roman" w:hAnsi="Times New Roman" w:eastAsia="宋体"/>
          <w:color w:val="000000"/>
          <w:sz w:val="17"/>
        </w:rPr>
        <w:t>15. Yao, B., Jiang, C.: Advanced motion control: From classical PID to nonlinear adaptive robust control. In: 11th IEEE International Workshop on Advanced Motion Control, pp. 815-829. IEEE (2010).</w:t>
      </w:r>
    </w:p>
    <w:p>
      <w:pPr>
        <w:spacing w:line="240" w:lineRule="auto" w:after="40"/>
        <w:ind w:hanging="312" w:left="312"/>
      </w:pPr>
      <w:r>
        <w:rPr>
          <w:rFonts w:ascii="Times New Roman" w:hAnsi="Times New Roman" w:eastAsia="宋体"/>
          <w:color w:val="000000"/>
          <w:sz w:val="17"/>
        </w:rPr>
        <w:t>16. Shao, K., Zheng, J., Tang, R., Li, X., Man, Z., Liang, B.: Barrier function based adaptive sliding mode control for uncertain systems with input saturation. IEEE/ASME Trans. Mechatron. 27(6), 4258-4268 (2022).</w:t>
      </w:r>
    </w:p>
    <w:p>
      <w:pPr>
        <w:spacing w:line="240" w:lineRule="auto" w:after="40"/>
        <w:ind w:hanging="312" w:left="312"/>
      </w:pPr>
      <w:r>
        <w:rPr>
          <w:rFonts w:ascii="Times New Roman" w:hAnsi="Times New Roman" w:eastAsia="宋体"/>
          <w:color w:val="000000"/>
          <w:sz w:val="17"/>
        </w:rPr>
        <w:t>17. Mobayen, S., Bayat, F., ud Din, S., Vu, M.T.: Barrier function-based adaptive nonsingular terminal sliding mode control technique for a class of disturbed nonlinear systems. ISA Trans. 134, 481-496 (2023).</w:t>
      </w:r>
    </w:p>
    <w:p>
      <w:pPr>
        <w:spacing w:line="240" w:lineRule="auto" w:after="40"/>
        <w:ind w:hanging="312" w:left="312"/>
      </w:pPr>
      <w:r>
        <w:rPr>
          <w:rFonts w:ascii="Times New Roman" w:hAnsi="Times New Roman" w:eastAsia="宋体"/>
          <w:color w:val="000000"/>
          <w:sz w:val="17"/>
        </w:rPr>
        <w:t>18. Shao, K., Zheng, J., Wang, H., Wang, X., Liang, B.: Leakage-type adaptive state and disturbance observers for uncertain nonlinear systems. Nonlinear Dyn. 105, 2299-2311 (2021).</w:t>
      </w:r>
    </w:p>
    <w:p>
      <w:pPr>
        <w:spacing w:line="240" w:lineRule="auto" w:after="40"/>
        <w:ind w:hanging="312" w:left="312"/>
      </w:pPr>
      <w:r>
        <w:rPr>
          <w:rFonts w:ascii="Times New Roman" w:hAnsi="Times New Roman" w:eastAsia="宋体"/>
          <w:color w:val="000000"/>
          <w:sz w:val="17"/>
        </w:rPr>
        <w:t>19. Rajesh, P., Shajin, F.H., Vijaya Anand, N.: An efficient estimation model for induction motor using BMO-RBFNN technique. Process Integration and Optimization for Sustainability 5(4), 777-792 (2021).</w:t>
      </w:r>
    </w:p>
    <w:p>
      <w:pPr>
        <w:spacing w:line="240" w:lineRule="auto" w:after="40"/>
        <w:ind w:hanging="312" w:left="312"/>
      </w:pPr>
      <w:r>
        <w:rPr>
          <w:rFonts w:ascii="Times New Roman" w:hAnsi="Times New Roman" w:eastAsia="宋体"/>
          <w:color w:val="000000"/>
          <w:sz w:val="17"/>
        </w:rPr>
        <w:t>20. Liu, Y., Sun, W., Buccella, C., Cecati, C.: Robust control of dual-linear-motor-driven gantry stage for coordinated contouring tasks based on feed velocity. IEEE Trans. Industr. Electron. 70(6), 6229-6238 (2022).</w:t>
      </w:r>
    </w:p>
    <w:p>
      <w:pPr>
        <w:spacing w:line="240" w:lineRule="auto" w:after="40"/>
        <w:ind w:hanging="312" w:left="312"/>
      </w:pPr>
      <w:r>
        <w:rPr>
          <w:rFonts w:ascii="Times New Roman" w:hAnsi="Times New Roman" w:eastAsia="宋体"/>
          <w:color w:val="000000"/>
          <w:sz w:val="17"/>
        </w:rPr>
        <w:t>21. Phan, V.D., Truong, H.V.A., Le, V.C., Ho, S.P., Ahn, K.K.: Adaptive neural observer-based output feedback anti-actuator fault control of a nonlinear electro-hydraulic system with full state constraints. Sci. Rep. 15(1), 3044 (2025).</w:t>
      </w:r>
    </w:p>
    <w:p>
      <w:pPr>
        <w:spacing w:line="240" w:lineRule="auto" w:after="40"/>
        <w:ind w:hanging="312" w:left="312"/>
      </w:pPr>
      <w:r>
        <w:rPr>
          <w:rFonts w:ascii="Times New Roman" w:hAnsi="Times New Roman" w:eastAsia="宋体"/>
          <w:color w:val="000000"/>
          <w:sz w:val="17"/>
        </w:rPr>
        <w:t>22. Zhao, Z., He, W., Zou, T., Zhang, T., Chen, C.P.: Adaptive broad learning neural network for fault-tolerant control of 2-DOF helicopter systems. IEEE Trans. Syst. Man Cybern. Syst. (2023).</w:t>
      </w:r>
    </w:p>
    <w:p>
      <w:pPr>
        <w:spacing w:line="240" w:lineRule="auto" w:after="40"/>
        <w:ind w:hanging="312" w:left="312"/>
      </w:pPr>
      <w:r>
        <w:rPr>
          <w:rFonts w:ascii="Times New Roman" w:hAnsi="Times New Roman" w:eastAsia="宋体"/>
          <w:color w:val="000000"/>
          <w:sz w:val="17"/>
        </w:rPr>
        <w:t>23. Phan, V.D., Trinh, H., Ahn, K.K.: Parameter identification of a real electro-hydraulic actuator system using the least mean square method. 2023 Spring Conference on Drive and Control, pp. 74-79 (2023).</w:t>
      </w:r>
    </w:p>
    <w:p>
      <w:pPr>
        <w:spacing w:line="240" w:lineRule="auto" w:after="40"/>
        <w:ind w:hanging="312" w:left="312"/>
      </w:pPr>
      <w:r>
        <w:rPr>
          <w:rFonts w:ascii="Times New Roman" w:hAnsi="Times New Roman" w:eastAsia="宋体"/>
          <w:color w:val="000000"/>
          <w:sz w:val="17"/>
        </w:rPr>
        <w:t>24. Yao, B.: Integrated direct/indirect adaptive robust control of SISO nonlinear systems in semi-strict feedback form. In: Proceedings of the 2003 American Control Conference, vol. 4, pp. 3020-3025. IEEE (2003).</w:t>
      </w:r>
    </w:p>
    <w:p>
      <w:pPr>
        <w:spacing w:line="240" w:lineRule="auto" w:after="40"/>
        <w:ind w:hanging="312" w:left="312"/>
      </w:pPr>
      <w:r>
        <w:rPr>
          <w:rFonts w:ascii="Times New Roman" w:hAnsi="Times New Roman" w:eastAsia="宋体"/>
          <w:color w:val="000000"/>
          <w:sz w:val="17"/>
        </w:rPr>
        <w:t>25. Liu, Z., Gao, H., Yu, X., Lin, W., Qiu, J., Rodriguez-Andina, J.J., Qu, D.: B-spline wavelet neural-network-based adaptive control for linear-motor-driven systems via a novel gradient descent algorithm. IEEE Trans. Industr. Electron. 71(2), 1896-1905 (2024).</w:t>
      </w:r>
    </w:p>
    <w:p>
      <w:pPr>
        <w:spacing w:line="240" w:lineRule="auto" w:after="40"/>
        <w:ind w:hanging="312" w:left="312"/>
      </w:pPr>
      <w:r>
        <w:rPr>
          <w:rFonts w:ascii="Times New Roman" w:hAnsi="Times New Roman" w:eastAsia="宋体"/>
          <w:color w:val="000000"/>
          <w:sz w:val="17"/>
        </w:rPr>
        <w:t>26. Liu, Z., Gao, H., Yu, X., Lin, W., Qiu, J., Rodriguez-Andina, J.J., Qu, D.: B-spline wavelet neural-network-based adaptive control for linear-motor-driven systems via a novel gradient descent algorithm. IEEE Trans. Industr. Electron. 71(2), 1896-1905 (2023).</w:t>
      </w:r>
    </w:p>
    <w:p>
      <w:pPr>
        <w:spacing w:line="240" w:lineRule="auto" w:after="40"/>
        <w:ind w:hanging="312" w:left="312"/>
      </w:pPr>
      <w:r>
        <w:rPr>
          <w:rFonts w:ascii="Times New Roman" w:hAnsi="Times New Roman" w:eastAsia="宋体"/>
          <w:color w:val="000000"/>
          <w:sz w:val="17"/>
        </w:rPr>
        <w:t>27. Shi, P., Yu, X., Lin, X., Qin, J., Sun, W.: Adaptive fault-tolerant tracking control of direct-drive servo systems with actuator faults and saturation. IEEE Trans. Transportation Electrification (2025).</w:t>
      </w:r>
    </w:p>
    <w:p>
      <w:pPr>
        <w:spacing w:line="240" w:lineRule="auto" w:after="40"/>
        <w:ind w:hanging="312" w:left="312"/>
      </w:pPr>
      <w:r>
        <w:rPr>
          <w:rFonts w:ascii="Times New Roman" w:hAnsi="Times New Roman" w:eastAsia="宋体"/>
          <w:color w:val="000000"/>
          <w:sz w:val="17"/>
        </w:rPr>
        <w:t>28. Chen, M., Tao, G., Jiang, B.: Dynamic surface control using neural networks for a class of uncertain nonlinear systems with input saturation. IEEE Trans. Neural Netw. Learn. Syst. 26(9), 2086-2097 (2014).</w:t>
      </w:r>
    </w:p>
    <w:p>
      <w:pPr>
        <w:spacing w:line="240" w:lineRule="auto" w:after="40"/>
        <w:ind w:hanging="312" w:left="312"/>
      </w:pPr>
      <w:r>
        <w:rPr>
          <w:rFonts w:ascii="Times New Roman" w:hAnsi="Times New Roman" w:eastAsia="宋体"/>
          <w:color w:val="000000"/>
          <w:sz w:val="17"/>
        </w:rPr>
        <w:t>29. Hu, Y., Yan, H., Zhang, H., Wang, M., Zeng, L.: Robust adaptive fixed-time sliding-mode control for uncertain robotic systems with input saturation. IEEE Trans. Cybern. 53(4), 2636-2646 (2022).</w:t>
      </w:r>
    </w:p>
    <w:p>
      <w:pPr>
        <w:spacing w:line="240" w:lineRule="auto" w:after="40"/>
        <w:ind w:hanging="312" w:left="312"/>
      </w:pPr>
      <w:r>
        <w:rPr>
          <w:rFonts w:ascii="Times New Roman" w:hAnsi="Times New Roman" w:eastAsia="宋体"/>
          <w:color w:val="000000"/>
          <w:sz w:val="17"/>
        </w:rPr>
        <w:t>30. Wang, L., Shi, Q., Liu, J., Zhang, D.: Backstepping control of flexible joint manipulator based on hyperbolic tangent function with control input and rate constraints. Asian J. Control 22(3), 1268-1279 (2020).</w:t>
      </w:r>
    </w:p>
    <w:p>
      <w:pPr>
        <w:spacing w:line="240" w:lineRule="auto" w:after="40"/>
        <w:ind w:hanging="312" w:left="312"/>
      </w:pPr>
      <w:r>
        <w:rPr>
          <w:rFonts w:ascii="Times New Roman" w:hAnsi="Times New Roman" w:eastAsia="宋体"/>
          <w:color w:val="000000"/>
          <w:sz w:val="17"/>
        </w:rPr>
        <w:t>31. Ding, S., Peng, J., Zhang, H., Wang, Y.: Neural network-based adaptive hybrid impedance control for electrically driven flexible-joint robotic manipulators with input saturation. Neurocomputing 458, 99-111 (2021).</w:t>
      </w:r>
    </w:p>
    <w:p>
      <w:pPr>
        <w:spacing w:line="240" w:lineRule="auto" w:after="40"/>
        <w:ind w:hanging="312" w:left="312"/>
      </w:pPr>
      <w:r>
        <w:rPr>
          <w:rFonts w:ascii="Times New Roman" w:hAnsi="Times New Roman" w:eastAsia="宋体"/>
          <w:color w:val="000000"/>
          <w:sz w:val="17"/>
        </w:rPr>
        <w:t>32. Liang, W., Chen, Z., Yao, B.: Geometric adaptive robust hierarchical control for quadrotors with aerodynamic damping and complete inertia compensation. IEEE Trans. Industr. Electron. 69(12), 13213-13224 (2021).</w:t>
      </w:r>
    </w:p>
    <w:p>
      <w:pPr>
        <w:spacing w:line="307" w:lineRule="auto" w:after="80"/>
        <w:ind w:firstLine="0"/>
        <w:jc w:val="both"/>
      </w:pPr>
      <w:r>
        <w:rPr>
          <w:rFonts w:ascii="Times New Roman" w:hAnsi="Times New Roman" w:eastAsia="宋体"/>
          <w:color w:val="000000"/>
          <w:sz w:val="21"/>
        </w:rPr>
        <w:t>出版者声明：Springer Nature 对已出版地图中的管辖权主张及机构隶属关系保持中立。本文的专有权利由 Springer Nature 或其许可方依据与作者或其他权利持有人的出版协议持有；作者对已接收稿件版本的自存档，仅受该出版协议条款及适用法律约束。</w:t>
      </w:r>
    </w:p>
    <w:sectPr w:rsidR="00FC693F" w:rsidRPr="0006063C" w:rsidSect="00034616">
      <w:footerReference w:type="default" r:id="rId21"/>
      <w:pgSz w:w="11906" w:h="16838"/>
      <w:pgMar w:top="1247" w:right="1332" w:bottom="1134" w:left="133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Times New Roman" w:hAnsi="Times New Roman" w:eastAsia="宋体"/>
        <w:color w:val="000000"/>
        <w:sz w:val="18"/>
      </w:rPr>
      <w:t xml:space="preserve">第 </w:t>
    </w:r>
    <w:fldSimple w:instr="PAGE"/>
    <w:r>
      <w:rPr>
        <w:rFonts w:ascii="Times New Roman" w:hAnsi="Times New Roman" w:eastAsia="宋体"/>
        <w:color w:val="000000"/>
        <w:sz w:val="18"/>
      </w:rPr>
      <w:t xml:space="preserve"> 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7" w:lineRule="auto" w:after="80"/>
      <w:ind w:firstLine="420"/>
    </w:pPr>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eastAsia="黑体"/>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eastAsia="黑体"/>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eastAsia="黑体"/>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200"/>
      <w:contextualSpacing/>
    </w:pPr>
    <w:rPr>
      <w:rFonts w:asciiTheme="majorHAnsi" w:eastAsiaTheme="majorEastAsia" w:hAnsiTheme="majorHAnsi" w:cstheme="majorBidi" w:ascii="Arial" w:hAnsi="Arial" w:eastAsia="黑体"/>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考虑执行器饱和的基于宽度学习神经网络的双驱龙门平台自适应同步控制 中文译稿</dc:title>
  <dc:subject>双驱龙门平台自适应同步控制论文中文翻译</dc:subject>
  <dc:creator>中文译稿</dc:creator>
  <cp:keywords>双驱龙门平台, BLNN, 执行器饱和, 自适应鲁棒控制, RLS</cp:keywords>
  <dc:description>generated by python-docx</dc:description>
  <cp:lastModifiedBy/>
  <cp:revision>1</cp:revision>
  <dcterms:created xsi:type="dcterms:W3CDTF">2013-12-23T23:15:00Z</dcterms:created>
  <dcterms:modified xsi:type="dcterms:W3CDTF">2013-12-23T23:15:00Z</dcterms:modified>
  <cp:category/>
</cp:coreProperties>
</file>