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微软雅黑"/>
          <w:b/>
          <w:color w:val="17365D"/>
          <w:sz w:val="48"/>
        </w:rPr>
        <w:t>实验二载荷突变数据处理与论文说明</w:t>
      </w:r>
    </w:p>
    <w:p>
      <w:pPr>
        <w:spacing w:before="360"/>
        <w:jc w:val="center"/>
      </w:pPr>
      <w:r>
        <w:rPr>
          <w:rFonts w:ascii="Microsoft YaHei" w:hAnsi="Microsoft YaHei" w:eastAsia="微软雅黑"/>
          <w:color w:val="406080"/>
          <w:sz w:val="30"/>
        </w:rPr>
        <w:t>2 kg 直接悬挂载荷突变 · 五次重复试验</w:t>
      </w:r>
    </w:p>
    <w:p>
      <w:pPr>
        <w:spacing w:before="1080"/>
        <w:jc w:val="center"/>
      </w:pPr>
      <w:r>
        <w:rPr>
          <w:rFonts w:ascii="Microsoft YaHei" w:hAnsi="Microsoft YaHei" w:eastAsia="微软雅黑"/>
          <w:b/>
          <w:color w:val="375623"/>
          <w:sz w:val="32"/>
        </w:rPr>
        <w:t>正式封档版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实验日期</w:t>
            </w:r>
          </w:p>
        </w:tc>
        <w:tc>
          <w:tcPr>
            <w:tcW w:type="dxa" w:w="6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0"/>
              </w:rPr>
              <w:t>2026年10月1日</w:t>
            </w:r>
          </w:p>
        </w:tc>
      </w:tr>
      <w:tr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实验对象</w:t>
            </w:r>
          </w:p>
        </w:tc>
        <w:tc>
          <w:tcPr>
            <w:tcW w:type="dxa" w:w="65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0"/>
              </w:rPr>
              <w:t>双驱龙门/起重承载机构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附加载荷</w:t>
            </w:r>
          </w:p>
        </w:tc>
        <w:tc>
          <w:tcPr>
            <w:tcW w:type="dxa" w:w="6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0"/>
              </w:rPr>
              <w:t>2.000 kg，直接悬挂</w:t>
            </w:r>
          </w:p>
        </w:tc>
      </w:tr>
      <w:tr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有效数据</w:t>
            </w:r>
          </w:p>
        </w:tc>
        <w:tc>
          <w:tcPr>
            <w:tcW w:type="dxa" w:w="65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0"/>
              </w:rPr>
              <w:t>5组 / 5组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结论</w:t>
            </w:r>
          </w:p>
        </w:tc>
        <w:tc>
          <w:tcPr>
            <w:tcW w:type="dxa" w:w="65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0"/>
              </w:rPr>
              <w:t>实验二完成，无需补测</w:t>
            </w:r>
          </w:p>
        </w:tc>
      </w:tr>
    </w:tbl>
    <w:p>
      <w:pPr>
        <w:spacing w:before="900"/>
        <w:jc w:val="center"/>
      </w:pPr>
      <w:r>
        <w:rPr>
          <w:color w:val="666666"/>
          <w:sz w:val="20"/>
        </w:rPr>
        <w:t>数据、代码、图表与说明文档一并封存</w:t>
      </w:r>
    </w:p>
    <w:p>
      <w:r>
        <w:br w:type="page"/>
      </w:r>
    </w:p>
    <w:p>
      <w:pPr>
        <w:pStyle w:val="Heading1"/>
      </w:pPr>
      <w:r>
        <w:t>摘要与封档结论</w:t>
      </w:r>
    </w:p>
    <w:p>
      <w:pPr/>
      <w:r>
        <w:t>实验二采用2 kg砝码直接悬挂于电机承载机构，在预设载荷窗口内实施人工突加载荷，并在随后完成50 mm低速往返运动。五个原始VOFA文件均提取到最后一个连续且完整的phase 1–8实验段；全部数据均满足序号连续、载荷标签正确、无故障、无执行器饱和的有效性判据。</w:t>
      </w:r>
    </w:p>
    <w:p>
      <w:pPr/>
      <w:r>
        <w:t>采用反馈电流阈值对齐实际挂载时刻后，2 s响应窗口内平均位置误差峰值为0.0008 ± 0.0004 mm，同步误差峰值为0.0012 ± 0.0009 mm。左右反馈电流绝对峰值分别为455.4 ± 186.6 raw和606.2 ± 177.9 raw。结果表明，2 kg突加载荷主要表现为驱动电流响应，位移变化低于现有记录分辨率。</w:t>
      </w:r>
    </w:p>
    <w:p>
      <w:pPr/>
      <w:r>
        <w:t>载荷后的完整50 mm往返轨迹中，左、右跟踪RMSE分别为0.6280 ± 0.0084 mm和0.6276 ± 0.0047 mm，同步RMS为0.2179 ± 0.0370 mm。50 mm保持位置均值为50.0168 ± 0.0195 mm。</w:t>
      </w:r>
    </w:p>
    <w:p>
      <w:pPr>
        <w:spacing w:before="160" w:after="160"/>
        <w:shd w:fill="E2F0D9"/>
      </w:pPr>
      <w:r>
        <w:rPr>
          <w:b/>
          <w:color w:val="375623"/>
        </w:rPr>
        <w:t>正式结论：5/5组试验有效，实验二“2 kg载荷突变实验”已经完成，可进入实验三。实验一封档未作任何改动。</w:t>
      </w:r>
    </w:p>
    <w:p>
      <w:pPr>
        <w:pStyle w:val="Heading1"/>
      </w:pPr>
      <w:r>
        <w:t>1 实验目的与方案</w:t>
      </w:r>
    </w:p>
    <w:p>
      <w:pPr/>
      <w:r>
        <w:t>实验目的包括：验证双驱系统在外载荷瞬时加入时的位置保持能力与同步性；记录载荷扰动造成的反馈电流变化；评价2 kg载荷条件下50 mm低速往返跟踪性能；并与实验一空载基线按相同轨迹区间进行对比。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36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7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时间范围</w:t>
            </w:r>
          </w:p>
        </w:tc>
        <w:tc>
          <w:tcPr>
            <w:tcW w:type="dxa" w:w="6009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动作与数据含义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1</w:t>
            </w:r>
          </w:p>
        </w:tc>
        <w:tc>
          <w:tcPr>
            <w:tcW w:type="dxa" w:w="147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0–5 s</w:t>
            </w:r>
          </w:p>
        </w:tc>
        <w:tc>
          <w:tcPr>
            <w:tcW w:type="dxa" w:w="600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零位静置，形成载荷前基线</w:t>
            </w:r>
          </w:p>
        </w:tc>
      </w:tr>
      <w:tr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2</w:t>
            </w:r>
          </w:p>
        </w:tc>
        <w:tc>
          <w:tcPr>
            <w:tcW w:type="dxa" w:w="147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5–13 s</w:t>
            </w:r>
          </w:p>
        </w:tc>
        <w:tc>
          <w:tcPr>
            <w:tcW w:type="dxa" w:w="600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载荷突变窗口，人工直接悬挂2 kg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3</w:t>
            </w:r>
          </w:p>
        </w:tc>
        <w:tc>
          <w:tcPr>
            <w:tcW w:type="dxa" w:w="147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13–15 s</w:t>
            </w:r>
          </w:p>
        </w:tc>
        <w:tc>
          <w:tcPr>
            <w:tcW w:type="dxa" w:w="600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载荷后静置</w:t>
            </w:r>
          </w:p>
        </w:tc>
      </w:tr>
      <w:tr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4</w:t>
            </w:r>
          </w:p>
        </w:tc>
        <w:tc>
          <w:tcPr>
            <w:tcW w:type="dxa" w:w="147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15–18 s</w:t>
            </w:r>
          </w:p>
        </w:tc>
        <w:tc>
          <w:tcPr>
            <w:tcW w:type="dxa" w:w="600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带载前进至50 mm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5</w:t>
            </w:r>
          </w:p>
        </w:tc>
        <w:tc>
          <w:tcPr>
            <w:tcW w:type="dxa" w:w="147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18–20 s</w:t>
            </w:r>
          </w:p>
        </w:tc>
        <w:tc>
          <w:tcPr>
            <w:tcW w:type="dxa" w:w="600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50 mm带载保持</w:t>
            </w:r>
          </w:p>
        </w:tc>
      </w:tr>
      <w:tr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6</w:t>
            </w:r>
          </w:p>
        </w:tc>
        <w:tc>
          <w:tcPr>
            <w:tcW w:type="dxa" w:w="147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20–23 s</w:t>
            </w:r>
          </w:p>
        </w:tc>
        <w:tc>
          <w:tcPr>
            <w:tcW w:type="dxa" w:w="600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带载返回零位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7</w:t>
            </w:r>
          </w:p>
        </w:tc>
        <w:tc>
          <w:tcPr>
            <w:tcW w:type="dxa" w:w="147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23–28 s</w:t>
            </w:r>
          </w:p>
        </w:tc>
        <w:tc>
          <w:tcPr>
            <w:tcW w:type="dxa" w:w="600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终点静置与残余误差记录</w:t>
            </w:r>
          </w:p>
        </w:tc>
      </w:tr>
      <w:tr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phase 8</w:t>
            </w:r>
          </w:p>
        </w:tc>
        <w:tc>
          <w:tcPr>
            <w:tcW w:type="dxa" w:w="147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28 s后</w:t>
            </w:r>
          </w:p>
        </w:tc>
        <w:tc>
          <w:tcPr>
            <w:tcW w:type="dxa" w:w="600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实验完成标志</w:t>
            </w:r>
          </w:p>
        </w:tc>
      </w:tr>
    </w:tbl>
    <w:p>
      <w:pPr>
        <w:pStyle w:val="Heading1"/>
      </w:pPr>
      <w:r>
        <w:t>2 数据与固件追溯</w:t>
      </w:r>
    </w:p>
    <w:p>
      <w:pPr/>
      <w:r>
        <w:t>本次数据由实验二独立固件版本采集，固件内设置附加载荷标签I23=2.000 kg，并输出I22载荷窗口标志。采样记录实际间隔约13 ms，对应76.923 Hz。固件、HEX、编译日志、处理脚本和数据字典均随封档保存。</w:t>
      </w:r>
    </w:p>
    <w:p>
      <w:pPr>
        <w:pStyle w:val="ListBullet"/>
      </w:pPr>
      <w:r>
        <w:t>运行数据：E2_loadstep_M2000g_run01.csv 至 run05.csv；每个原始文件50,000行。</w:t>
      </w:r>
    </w:p>
    <w:p>
      <w:pPr>
        <w:pStyle w:val="ListBullet"/>
      </w:pPr>
      <w:r>
        <w:t>实验代码：eassy_exp2独立快照；烧录文件eassy_exp2_M2000g_loadstep.hex。</w:t>
      </w:r>
    </w:p>
    <w:p>
      <w:pPr>
        <w:pStyle w:val="ListBullet"/>
      </w:pPr>
      <w:r>
        <w:t>控制设置：50 mm参考行程、300 rpm限制、电流指令限幅±2000 raw。</w:t>
      </w:r>
    </w:p>
    <w:p>
      <w:pPr>
        <w:pStyle w:val="ListBullet"/>
      </w:pPr>
      <w:r>
        <w:t>原始数据只读复制，清洗过程不覆盖、不插值、不改写原文件。</w:t>
      </w:r>
    </w:p>
    <w:p>
      <w:pPr>
        <w:pStyle w:val="Heading1"/>
      </w:pPr>
      <w:r>
        <w:t>3 数据处理与事件识别方法</w:t>
      </w:r>
    </w:p>
    <w:p>
      <w:pPr>
        <w:pStyle w:val="Heading2"/>
      </w:pPr>
      <w:r>
        <w:t>3.1 有效实验段提取</w:t>
      </w:r>
    </w:p>
    <w:p>
      <w:pPr/>
      <w:r>
        <w:t>VOFA文件可能保留前次缓冲内容，因此每个文件均按样本序号和控制器时间连续性分段，并选择最后一个同时包含phase 1–8且I23等于2.0 kg的完整段。清洗数据从phase 1首点开始，到phase 8首点后最多3 s结束；若用户提前停止记录，则保留实际已有数据，不进行补点。所有统计量使用phase 1–7，避免完成状态的非实验数据影响结果。</w:t>
      </w:r>
    </w:p>
    <w:p>
      <w:pPr>
        <w:pStyle w:val="Heading2"/>
      </w:pPr>
      <w:r>
        <w:t>3.2 人工挂载时刻检测</w:t>
      </w:r>
    </w:p>
    <w:p>
      <w:pPr/>
      <w:r>
        <w:t>预设phase 2仅表示允许挂载的时间窗口，并不等同于砝码真正接入的时刻。为对齐五次人工操作，先计算phase 1左右反馈电流中位数，再在phase 2内寻找任一反馈电流偏离相应基线达到200 raw的首个样本，将其定义为实际载荷事件。该阈值法直接、可重复，且能避免把后续随机电流尖峰误判为挂载起点。</w:t>
      </w:r>
    </w:p>
    <w:p>
      <w:pPr/>
      <w:r>
        <w:t>事件时刻与phase 2起点之间的0.104–1.729 s差值属于人工挂载操作时间，不能解释为控制器响应延迟。由于电流通道尚未标定为安培，报告中保留raw单位，不进行无依据的电流单位换算。</w:t>
      </w:r>
    </w:p>
    <w:p>
      <w:pPr>
        <w:pStyle w:val="Heading2"/>
      </w:pPr>
      <w:r>
        <w:t>3.3 指标定义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1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计算区间</w:t>
            </w:r>
          </w:p>
        </w:tc>
        <w:tc>
          <w:tcPr>
            <w:tcW w:type="dxa" w:w="4989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突变位置误差峰值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事件后0–2 s</w:t>
            </w:r>
          </w:p>
        </w:tc>
        <w:tc>
          <w:tcPr>
            <w:tcW w:type="dxa" w:w="498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|两侧平均位置−参考位置|的最大值</w:t>
            </w:r>
          </w:p>
        </w:tc>
      </w:tr>
      <w:tr>
        <w:tc>
          <w:tcPr>
            <w:tcW w:type="dxa" w:w="204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突变同步峰值/RMS</w:t>
            </w:r>
          </w:p>
        </w:tc>
        <w:tc>
          <w:tcPr>
            <w:tcW w:type="dxa" w:w="181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事件后0–2 s</w:t>
            </w:r>
          </w:p>
        </w:tc>
        <w:tc>
          <w:tcPr>
            <w:tcW w:type="dxa" w:w="498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同步误差绝对峰值与均方根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反馈电流峰值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phase 2</w:t>
            </w:r>
          </w:p>
        </w:tc>
        <w:tc>
          <w:tcPr>
            <w:tcW w:type="dxa" w:w="498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左右反馈电流绝对值最大值</w:t>
            </w:r>
          </w:p>
        </w:tc>
      </w:tr>
      <w:tr>
        <w:tc>
          <w:tcPr>
            <w:tcW w:type="dxa" w:w="204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轨迹跟踪RMSE</w:t>
            </w:r>
          </w:p>
        </w:tc>
        <w:tc>
          <w:tcPr>
            <w:tcW w:type="dxa" w:w="181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phase 4–6</w:t>
            </w:r>
          </w:p>
        </w:tc>
        <w:tc>
          <w:tcPr>
            <w:tcW w:type="dxa" w:w="498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2 kg条件下前进、保持、返回完整轨迹的RMSE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运动段RMSE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phase 4、6</w:t>
            </w:r>
          </w:p>
        </w:tc>
        <w:tc>
          <w:tcPr>
            <w:tcW w:type="dxa" w:w="4989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仅前进和返回区间，用于运动段对比</w:t>
            </w:r>
          </w:p>
        </w:tc>
      </w:tr>
      <w:tr>
        <w:tc>
          <w:tcPr>
            <w:tcW w:type="dxa" w:w="204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最终残余位置</w:t>
            </w:r>
          </w:p>
        </w:tc>
        <w:tc>
          <w:tcPr>
            <w:tcW w:type="dxa" w:w="181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phase 7末20点</w:t>
            </w:r>
          </w:p>
        </w:tc>
        <w:tc>
          <w:tcPr>
            <w:tcW w:type="dxa" w:w="4989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终点静置阶段末段均值</w:t>
            </w:r>
          </w:p>
        </w:tc>
      </w:tr>
    </w:tbl>
    <w:p>
      <w:pPr>
        <w:pStyle w:val="Heading1"/>
      </w:pPr>
      <w:r>
        <w:t>4 数据有效性与重复性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运行</w:t>
            </w:r>
          </w:p>
        </w:tc>
        <w:tc>
          <w:tcPr>
            <w:tcW w:type="dxa" w:w="1247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清洗时长/s</w:t>
            </w:r>
          </w:p>
        </w:tc>
        <w:tc>
          <w:tcPr>
            <w:tcW w:type="dxa" w:w="136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记录频率/Hz</w:t>
            </w:r>
          </w:p>
        </w:tc>
        <w:tc>
          <w:tcPr>
            <w:tcW w:type="dxa" w:w="113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序号缺口</w:t>
            </w:r>
          </w:p>
        </w:tc>
        <w:tc>
          <w:tcPr>
            <w:tcW w:type="dxa" w:w="1020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故障行</w:t>
            </w:r>
          </w:p>
        </w:tc>
        <w:tc>
          <w:tcPr>
            <w:tcW w:type="dxa" w:w="1020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饱和行</w:t>
            </w:r>
          </w:p>
        </w:tc>
        <w:tc>
          <w:tcPr>
            <w:tcW w:type="dxa" w:w="1020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run01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30.992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76.923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</w:t>
            </w:r>
          </w:p>
        </w:tc>
      </w:tr>
      <w:tr>
        <w:tc>
          <w:tcPr>
            <w:tcW w:type="dxa" w:w="113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run02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30.992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76.923</w:t>
            </w:r>
          </w:p>
        </w:tc>
        <w:tc>
          <w:tcPr>
            <w:tcW w:type="dxa" w:w="113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run03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30.329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76.923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</w:t>
            </w:r>
          </w:p>
        </w:tc>
      </w:tr>
      <w:tr>
        <w:tc>
          <w:tcPr>
            <w:tcW w:type="dxa" w:w="113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run04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28.847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76.923</w:t>
            </w:r>
          </w:p>
        </w:tc>
        <w:tc>
          <w:tcPr>
            <w:tcW w:type="dxa" w:w="113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run05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29.146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76.923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</w:t>
            </w:r>
          </w:p>
        </w:tc>
      </w:tr>
    </w:tbl>
    <w:p>
      <w:pPr/>
      <w:r>
        <w:t>run03–run05在phase 8之后保留的数据长度少于3 s，是用户停止记录时刻不同造成的；关键phase 1–8均完整，统计区间均在phase 1–7内，因此不影响实验有效性或五次重复试验的横向比较。</w:t>
      </w:r>
    </w:p>
    <w:p>
      <w:r>
        <w:br w:type="page"/>
      </w:r>
    </w:p>
    <w:p>
      <w:pPr>
        <w:pStyle w:val="Heading1"/>
      </w:pPr>
      <w:r>
        <w:t>5 载荷突变响应结果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</w:trPr>
        <w:tc>
          <w:tcPr>
            <w:tcW w:type="dxa" w:w="1020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运行</w:t>
            </w:r>
          </w:p>
        </w:tc>
        <w:tc>
          <w:tcPr>
            <w:tcW w:type="dxa" w:w="1247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事件时刻/s</w:t>
            </w:r>
          </w:p>
        </w:tc>
        <w:tc>
          <w:tcPr>
            <w:tcW w:type="dxa" w:w="1247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人工延迟/s</w:t>
            </w:r>
          </w:p>
        </w:tc>
        <w:tc>
          <w:tcPr>
            <w:tcW w:type="dxa" w:w="136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位置误差峰值/mm</w:t>
            </w:r>
          </w:p>
        </w:tc>
        <w:tc>
          <w:tcPr>
            <w:tcW w:type="dxa" w:w="113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同步峰值/mm</w:t>
            </w:r>
          </w:p>
        </w:tc>
        <w:tc>
          <w:tcPr>
            <w:tcW w:type="dxa" w:w="1247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左电流峰值/raw</w:t>
            </w:r>
          </w:p>
        </w:tc>
        <w:tc>
          <w:tcPr>
            <w:tcW w:type="dxa" w:w="1247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右电流峰值/raw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01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5.707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0.702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0.0000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0.0000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290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746</w:t>
            </w:r>
          </w:p>
        </w:tc>
      </w:tr>
      <w:tr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02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5.902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0.897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0.0010</w:t>
            </w:r>
          </w:p>
        </w:tc>
        <w:tc>
          <w:tcPr>
            <w:tcW w:type="dxa" w:w="113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0.0012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238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756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03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6.721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1.729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0.0012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661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497</w:t>
            </w:r>
          </w:p>
        </w:tc>
      </w:tr>
      <w:tr>
        <w:tc>
          <w:tcPr>
            <w:tcW w:type="dxa" w:w="1020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04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5.096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0.104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0.0010</w:t>
            </w:r>
          </w:p>
        </w:tc>
        <w:tc>
          <w:tcPr>
            <w:tcW w:type="dxa" w:w="113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0.0024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486</w:t>
            </w:r>
          </w:p>
        </w:tc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684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5"/>
              </w:rPr>
              <w:t>05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5.252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0.260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0.0012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602</w:t>
            </w:r>
          </w:p>
        </w:tc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5"/>
              </w:rPr>
              <w:t>348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37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Load_step_position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微软雅黑"/>
          <w:b/>
          <w:sz w:val="18"/>
        </w:rPr>
        <w:t>图1  五次试验按检测到的挂载事件对齐后的平均位置误差</w:t>
      </w:r>
    </w:p>
    <w:p>
      <w:pPr/>
      <w:r>
        <w:t>五条位置误差曲线均位于±0.05 mm带内，记录分辨率下仅出现0–0.001 mm的离散变化。因此，本实验不应以“明显位移突变”作为载荷接入的证据，而应联合使用事件对齐后的反馈电流变化、I22窗口标志和I23质量标签。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48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Load_step_current_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8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微软雅黑"/>
          <w:b/>
          <w:sz w:val="18"/>
        </w:rPr>
        <w:t>图2  五次试验按载荷事件对齐后的左右反馈电流响应</w:t>
      </w:r>
    </w:p>
    <w:p>
      <w:pPr/>
      <w:r>
        <w:t>phase 2内左、右反馈电流绝对峰值的组均值分别为455.4 raw和606.2 raw；单次最大值分别为661 raw和756 raw，明显低于±2000 raw限幅。响应尖峰在五次试验间存在差异，符合人工挂载速度、绳索瞬态及机构摩擦差异的预期。</w:t>
      </w:r>
    </w:p>
    <w:p>
      <w:r>
        <w:br w:type="page"/>
      </w:r>
    </w:p>
    <w:p>
      <w:pPr>
        <w:pStyle w:val="Heading1"/>
      </w:pPr>
      <w:r>
        <w:t>6 2 kg载荷下轨迹跟踪与同步性能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247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运行</w:t>
            </w:r>
          </w:p>
        </w:tc>
        <w:tc>
          <w:tcPr>
            <w:tcW w:type="dxa" w:w="153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左轨迹RMSE/mm</w:t>
            </w:r>
          </w:p>
        </w:tc>
        <w:tc>
          <w:tcPr>
            <w:tcW w:type="dxa" w:w="153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右轨迹RMSE/mm</w:t>
            </w:r>
          </w:p>
        </w:tc>
        <w:tc>
          <w:tcPr>
            <w:tcW w:type="dxa" w:w="130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同步RMS/mm</w:t>
            </w:r>
          </w:p>
        </w:tc>
        <w:tc>
          <w:tcPr>
            <w:tcW w:type="dxa" w:w="1304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同步峰值/mm</w:t>
            </w:r>
          </w:p>
        </w:tc>
        <w:tc>
          <w:tcPr>
            <w:tcW w:type="dxa" w:w="170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50 mm保持均值/mm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6"/>
              </w:rPr>
              <w:t>01</w:t>
            </w:r>
          </w:p>
        </w:tc>
        <w:tc>
          <w:tcPr>
            <w:tcW w:type="dxa" w:w="153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0.6162</w:t>
            </w:r>
          </w:p>
        </w:tc>
        <w:tc>
          <w:tcPr>
            <w:tcW w:type="dxa" w:w="153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0.6351</w:t>
            </w:r>
          </w:p>
        </w:tc>
        <w:tc>
          <w:tcPr>
            <w:tcW w:type="dxa" w:w="13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0.1732</w:t>
            </w:r>
          </w:p>
        </w:tc>
        <w:tc>
          <w:tcPr>
            <w:tcW w:type="dxa" w:w="13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0.6092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49.9841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6"/>
              </w:rPr>
              <w:t>02</w:t>
            </w:r>
          </w:p>
        </w:tc>
        <w:tc>
          <w:tcPr>
            <w:tcW w:type="dxa" w:w="153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0.6220</w:t>
            </w:r>
          </w:p>
        </w:tc>
        <w:tc>
          <w:tcPr>
            <w:tcW w:type="dxa" w:w="153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0.6266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0.1820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0.4323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50.0320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6"/>
              </w:rPr>
              <w:t>03</w:t>
            </w:r>
          </w:p>
        </w:tc>
        <w:tc>
          <w:tcPr>
            <w:tcW w:type="dxa" w:w="153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0.6331</w:t>
            </w:r>
          </w:p>
        </w:tc>
        <w:tc>
          <w:tcPr>
            <w:tcW w:type="dxa" w:w="153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0.6222</w:t>
            </w:r>
          </w:p>
        </w:tc>
        <w:tc>
          <w:tcPr>
            <w:tcW w:type="dxa" w:w="13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0.2487</w:t>
            </w:r>
          </w:p>
        </w:tc>
        <w:tc>
          <w:tcPr>
            <w:tcW w:type="dxa" w:w="13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0.7569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50.0314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6"/>
              </w:rPr>
              <w:t>04</w:t>
            </w:r>
          </w:p>
        </w:tc>
        <w:tc>
          <w:tcPr>
            <w:tcW w:type="dxa" w:w="153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0.6343</w:t>
            </w:r>
          </w:p>
        </w:tc>
        <w:tc>
          <w:tcPr>
            <w:tcW w:type="dxa" w:w="153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0.6280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0.2429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0.8150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50.0175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6"/>
              </w:rPr>
              <w:t>05</w:t>
            </w:r>
          </w:p>
        </w:tc>
        <w:tc>
          <w:tcPr>
            <w:tcW w:type="dxa" w:w="153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0.6342</w:t>
            </w:r>
          </w:p>
        </w:tc>
        <w:tc>
          <w:tcPr>
            <w:tcW w:type="dxa" w:w="153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0.6259</w:t>
            </w:r>
          </w:p>
        </w:tc>
        <w:tc>
          <w:tcPr>
            <w:tcW w:type="dxa" w:w="13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0.2425</w:t>
            </w:r>
          </w:p>
        </w:tc>
        <w:tc>
          <w:tcPr>
            <w:tcW w:type="dxa" w:w="130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0.8187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50.0193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37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Loaded_position_trac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微软雅黑"/>
          <w:b/>
          <w:sz w:val="18"/>
        </w:rPr>
        <w:t>图3  2 kg载荷下五次试验的平均位置跟踪结果（阴影为±1标准差）</w:t>
      </w:r>
    </w:p>
    <w:p>
      <w:pPr/>
      <w:r>
        <w:t>五次试验均完成50 mm前进、保持和返回动作，参考轨迹与左右实测轨迹基本重合。保持阶段的平均位置为50.0168±0.0195 mm，表明系统在2 kg载荷下仍能维持目标位置。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37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Loaded_synchronization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微软雅黑"/>
          <w:b/>
          <w:sz w:val="18"/>
        </w:rPr>
        <w:t>图4  2 kg载荷下五次试验的同步误差</w:t>
      </w:r>
    </w:p>
    <w:p>
      <w:pPr/>
      <w:r>
        <w:t>同步误差主要出现在启动、换向和回零后的低速调节阶段。完整轨迹同步RMS为0.2179±0.0370 mm，五次试验的单次同步峰值为0.4323–0.8187 mm；全过程无饱和和故障，说明控制系统在本载荷等级下保持稳定。</w:t>
      </w:r>
    </w:p>
    <w:p>
      <w:pPr>
        <w:pStyle w:val="Heading1"/>
      </w:pPr>
      <w:r>
        <w:t>7 与实验一空载基线的同口径比较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948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同口径指标</w:t>
            </w:r>
          </w:p>
        </w:tc>
        <w:tc>
          <w:tcPr>
            <w:tcW w:type="dxa" w:w="2268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实验一空载</w:t>
            </w:r>
          </w:p>
        </w:tc>
        <w:tc>
          <w:tcPr>
            <w:tcW w:type="dxa" w:w="2268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实验二2 kg</w:t>
            </w:r>
          </w:p>
        </w:tc>
        <w:tc>
          <w:tcPr>
            <w:tcW w:type="dxa" w:w="136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均值变化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左完整轨迹跟踪RMSE/mm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0.6310 ± 0.0006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0.6280 ± 0.0084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-0.5%</w:t>
            </w:r>
          </w:p>
        </w:tc>
      </w:tr>
      <w:tr>
        <w:tc>
          <w:tcPr>
            <w:tcW w:type="dxa" w:w="294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右完整轨迹跟踪RMSE/mm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0.6091 ± 0.0024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0.6276 ± 0.0047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+3.0%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完整轨迹同步RMS/mm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0.1838 ± 0.0039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0.2179 ± 0.0370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+18.5%</w:t>
            </w:r>
          </w:p>
        </w:tc>
      </w:tr>
      <w:tr>
        <w:tc>
          <w:tcPr>
            <w:tcW w:type="dxa" w:w="294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左运动段跟踪RMSE/mm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0.7097 ± 0.0010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0.7132 ± 0.0011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+0.5%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右运动段跟踪RMSE/mm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0.7012 ± 0.0034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0.7146 ± 0.0022</w:t>
            </w:r>
          </w:p>
        </w:tc>
        <w:tc>
          <w:tcPr>
            <w:tcW w:type="dxa" w:w="13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+1.9%</w:t>
            </w:r>
          </w:p>
        </w:tc>
      </w:tr>
      <w:tr>
        <w:tc>
          <w:tcPr>
            <w:tcW w:type="dxa" w:w="294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运动段同步RMS/mm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0.1314 ± 0.0133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0.1586 ± 0.0293</w:t>
            </w:r>
          </w:p>
        </w:tc>
        <w:tc>
          <w:tcPr>
            <w:tcW w:type="dxa" w:w="136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+20.7%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37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No_load_vs_2kg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微软雅黑"/>
          <w:b/>
          <w:sz w:val="18"/>
        </w:rPr>
        <w:t>图5  实验一空载与实验二2 kg载荷的完整轨迹误差指标比较</w:t>
      </w:r>
    </w:p>
    <w:p>
      <w:pPr/>
      <w:r>
        <w:t>相对于空载，2 kg条件下左侧完整轨迹跟踪RMSE变化−0.5%，右侧增加3.0%，同步RMS增加18.5%；仅运动段的同步RMS增加20.7%。这表明载荷对单侧跟踪精度影响较小，但对双侧同步协调提出了更高要求。由于每种工况只有5次重复且人工挂载瞬态不完全一致，此处只报告描述性统计，不宣称统计显著性。</w:t>
      </w:r>
    </w:p>
    <w:p>
      <w:pPr>
        <w:pStyle w:val="Heading1"/>
      </w:pPr>
      <w:r>
        <w:t>8 结果讨论与论文写作边界</w:t>
      </w:r>
    </w:p>
    <w:p>
      <w:pPr>
        <w:pStyle w:val="ListBullet"/>
      </w:pPr>
      <w:r>
        <w:t>位置响应极小不是“实验失败”。载荷被机构和闭环控制立即承担，位移信号量化到0.001 mm时，扰动主要在反馈电流上可见。</w:t>
      </w:r>
    </w:p>
    <w:p>
      <w:pPr>
        <w:pStyle w:val="ListBullet"/>
      </w:pPr>
      <w:r>
        <w:t>I22是预设载荷窗口，200 raw阈值检测的是实际人工挂载时刻；两者必须区分。</w:t>
      </w:r>
    </w:p>
    <w:p>
      <w:pPr>
        <w:pStyle w:val="ListBullet"/>
      </w:pPr>
      <w:r>
        <w:t>反馈电流单位为raw，尚未建立raw-to-A标定系数；论文中不得直接写成安培。</w:t>
      </w:r>
    </w:p>
    <w:p>
      <w:pPr>
        <w:pStyle w:val="ListBullet"/>
      </w:pPr>
      <w:r>
        <w:t>电机侧负载、传动效率、绳索几何和摩擦会影响理论力矩换算；若论文需要力矩，应单独给出标定实验。</w:t>
      </w:r>
    </w:p>
    <w:p>
      <w:pPr>
        <w:pStyle w:val="ListBullet"/>
      </w:pPr>
      <w:r>
        <w:t>2 kg与空载比较使用相同的前进—保持—返回区间；避免将实验一完整记录段与实验二运动段混用。</w:t>
      </w:r>
    </w:p>
    <w:p>
      <w:pPr>
        <w:pStyle w:val="ListBullet"/>
      </w:pPr>
      <w:r>
        <w:t>日志记录频率为76.923 Hz，不等于内部1 ms控制周期；瞬时峰值可能受记录频率限制。</w:t>
      </w:r>
    </w:p>
    <w:p>
      <w:pPr>
        <w:pStyle w:val="Heading1"/>
      </w:pPr>
      <w:r>
        <w:t>9 可直接用于论文的实验方法文字</w:t>
      </w:r>
    </w:p>
    <w:p>
      <w:pPr/>
      <w:r>
        <w:t>为验证双驱系统在突加载荷作用下的同步控制性能，在承载机构处直接悬挂2 kg砝码，并设置五次独立重复试验。每次试验首先在零位静置5 s以获得载荷前基线，随后进入8 s载荷施加窗口；待载荷稳定后，系统执行50 mm低速前进、保持和返回动作，最后在零位继续记录5 s。控制器通过VOFA以约76.923 Hz记录参考位置、左右位移、同步误差、速度、电流指令、反馈电流、饱和状态、温度、电池电压、CAN数据年龄、故障标志以及载荷窗口和质量标签。</w:t>
      </w:r>
    </w:p>
    <w:p>
      <w:pPr/>
      <w:r>
        <w:t>考虑到砝码由人工接入，预设载荷窗口起点并不代表实际载荷施加时刻。本文采用反馈电流阈值法识别事件：以载荷前阶段的反馈电流中位数为基线，在载荷窗口内寻找任一侧反馈电流偏离基线达到200 raw的首个采样点，并将其定义为载荷事件。载荷突变响应在事件后2 s窗口内评价，轨迹跟踪性能则在前进、50 mm保持和返回阶段计算。</w:t>
      </w:r>
    </w:p>
    <w:p>
      <w:pPr>
        <w:pStyle w:val="Heading1"/>
      </w:pPr>
      <w:r>
        <w:t>10 可直接用于论文的结果文字</w:t>
      </w:r>
    </w:p>
    <w:p>
      <w:pPr/>
      <w:r>
        <w:t>五次2 kg载荷突变试验均获得完整有效数据，未出现执行器饱和、故障标志或样本序号中断。事件后2 s内的平均位置误差峰值为0.0008 ± 0.0004 mm，同步误差峰值为0.0012 ± 0.0009 mm；左右反馈电流绝对峰值分别为455.4 ± 186.6 raw和606.2 ± 177.9 raw。上述结果表明，突加载荷后的位移偏差处于记录分辨率附近，而驱动电流通道出现清晰的瞬态响应。</w:t>
      </w:r>
    </w:p>
    <w:p>
      <w:pPr/>
      <w:r>
        <w:t>在2 kg载荷下的50 mm完整往返轨迹中，左、右位置跟踪RMSE分别为0.6280 ± 0.0084 mm和0.6276 ± 0.0047 mm，同步误差RMS为0.2179 ± 0.0370 mm。与空载基线相比，左右跟踪RMSE分别变化−0.5%和+3.0%，同步RMS增加18.5%，说明附加载荷对单侧跟踪精度影响有限，但会增大双侧同步协调误差。</w:t>
      </w:r>
    </w:p>
    <w:p>
      <w:pPr>
        <w:pStyle w:val="Heading1"/>
      </w:pPr>
      <w:r>
        <w:t>11 封档内容与复现方式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515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02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00_说明文档</w:t>
            </w:r>
          </w:p>
        </w:tc>
        <w:tc>
          <w:tcPr>
            <w:tcW w:type="dxa" w:w="3515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本说明文档</w:t>
            </w:r>
          </w:p>
        </w:tc>
        <w:tc>
          <w:tcPr>
            <w:tcW w:type="dxa" w:w="34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论文写作与实验结论</w:t>
            </w:r>
          </w:p>
        </w:tc>
      </w:tr>
      <w:tr>
        <w:tc>
          <w:tcPr>
            <w:tcW w:type="dxa" w:w="192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01_原始数据</w:t>
            </w:r>
          </w:p>
        </w:tc>
        <w:tc>
          <w:tcPr>
            <w:tcW w:type="dxa" w:w="3515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5个未修改VOFA CSV</w:t>
            </w:r>
          </w:p>
        </w:tc>
        <w:tc>
          <w:tcPr>
            <w:tcW w:type="dxa" w:w="34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原始证据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02_处理后数据</w:t>
            </w:r>
          </w:p>
        </w:tc>
        <w:tc>
          <w:tcPr>
            <w:tcW w:type="dxa" w:w="3515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5个标准化clean CSV</w:t>
            </w:r>
          </w:p>
        </w:tc>
        <w:tc>
          <w:tcPr>
            <w:tcW w:type="dxa" w:w="34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复现统计和绘图</w:t>
            </w:r>
          </w:p>
        </w:tc>
      </w:tr>
      <w:tr>
        <w:tc>
          <w:tcPr>
            <w:tcW w:type="dxa" w:w="192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03_统计汇总</w:t>
            </w:r>
          </w:p>
        </w:tc>
        <w:tc>
          <w:tcPr>
            <w:tcW w:type="dxa" w:w="3515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XLSX、CSV、JSON</w:t>
            </w:r>
          </w:p>
        </w:tc>
        <w:tc>
          <w:tcPr>
            <w:tcW w:type="dxa" w:w="34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指标核对与二次分析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04_论文图</w:t>
            </w:r>
          </w:p>
        </w:tc>
        <w:tc>
          <w:tcPr>
            <w:tcW w:type="dxa" w:w="3515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5幅300 dpi PNG</w:t>
            </w:r>
          </w:p>
        </w:tc>
        <w:tc>
          <w:tcPr>
            <w:tcW w:type="dxa" w:w="34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论文插图</w:t>
            </w:r>
          </w:p>
        </w:tc>
      </w:tr>
      <w:tr>
        <w:tc>
          <w:tcPr>
            <w:tcW w:type="dxa" w:w="1928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05_实验代码</w:t>
            </w:r>
          </w:p>
        </w:tc>
        <w:tc>
          <w:tcPr>
            <w:tcW w:type="dxa" w:w="3515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固件、HEX、日志、处理脚本</w:t>
            </w:r>
          </w:p>
        </w:tc>
        <w:tc>
          <w:tcPr>
            <w:tcW w:type="dxa" w:w="34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烧录与数据处理复现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SHA256SUMS.txt</w:t>
            </w:r>
          </w:p>
        </w:tc>
        <w:tc>
          <w:tcPr>
            <w:tcW w:type="dxa" w:w="3515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文件哈希清单</w:t>
            </w:r>
          </w:p>
        </w:tc>
        <w:tc>
          <w:tcPr>
            <w:tcW w:type="dxa" w:w="34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完整性校验</w:t>
            </w:r>
          </w:p>
        </w:tc>
      </w:tr>
    </w:tbl>
    <w:p>
      <w:pPr/>
      <w:r>
        <w:t>复现流程为：运行process_exp2.py生成清洗数据、统计文件和论文图；运行build_summary.mjs生成统计工作簿；运行build_report.py生成本说明文档。所有核心输出均可从原始CSV和固件快照重新生成。</w:t>
      </w:r>
    </w:p>
    <w:p>
      <w:pPr>
        <w:pStyle w:val="Heading1"/>
      </w:pPr>
      <w:r>
        <w:t>附录A VOFA通道字典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5102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701"/>
            <w:shd w:fill="17365D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单位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I0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控制器运行时间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s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发送样本序号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count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I2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实验阶段1–8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I3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参考位置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I4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左侧位移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I5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右侧位移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I6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两侧平均位移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I7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同步误差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mm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I8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左侧线速度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m/s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I9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右侧线速度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m/s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I10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左侧电流指令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raw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I11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右侧电流指令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raw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I12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左侧反馈电流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raw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I13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右侧反馈电流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raw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I14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左侧饱和标志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flag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I15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右侧饱和标志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flag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I16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左侧温度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°C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I17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右侧温度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°C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I18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电池电压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V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I19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左侧CAN数据年龄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I20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右侧CAN数据年龄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ms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I21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故障标志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flag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I22</w:t>
            </w:r>
          </w:p>
        </w:tc>
        <w:tc>
          <w:tcPr>
            <w:tcW w:type="dxa" w:w="510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载荷突变窗口标志</w:t>
            </w:r>
          </w:p>
        </w:tc>
        <w:tc>
          <w:tcPr>
            <w:tcW w:type="dxa" w:w="170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flag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I23</w:t>
            </w:r>
          </w:p>
        </w:tc>
        <w:tc>
          <w:tcPr>
            <w:tcW w:type="dxa" w:w="5102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附加载荷质量标签</w:t>
            </w:r>
          </w:p>
        </w:tc>
        <w:tc>
          <w:tcPr>
            <w:tcW w:type="dxa" w:w="1701"/>
            <w:vAlign w:val="center"/>
            <w:shd w:fill="F4F7FA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kg</w:t>
            </w:r>
          </w:p>
        </w:tc>
      </w:tr>
    </w:tbl>
    <w:p>
      <w:pPr/>
      <w:r>
        <w:t>清洗数据额外增加time_rel_s和time_from_load_event_s两列，分别表示相对phase 1首点的时间和相对检测载荷事件的时间。</w:t>
      </w:r>
    </w:p>
    <w:p>
      <w:pPr>
        <w:pStyle w:val="Heading1"/>
      </w:pPr>
      <w:r>
        <w:t>附录B 最终判定</w:t>
      </w:r>
    </w:p>
    <w:p>
      <w:pPr>
        <w:spacing w:before="160" w:after="160"/>
        <w:shd w:fill="E2F0D9"/>
      </w:pPr>
      <w:r>
        <w:rPr>
          <w:b/>
          <w:color w:val="375623"/>
          <w:sz w:val="22"/>
        </w:rPr>
        <w:t>实验二正式封档结论：五组2 kg直接悬挂载荷突变数据全部有效，论文图表和统计结果已生成，实验二完成，无需重新采集。</w:t>
      </w:r>
    </w:p>
    <w:sectPr w:rsidR="00FC693F" w:rsidRPr="0006063C" w:rsidSect="00034616">
      <w:footerReference w:type="default" r:id="rId9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