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Лаба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без корректировки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790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 корректировкой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ЛАЧХ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31288" cy="2834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288" cy="28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Передаточная функция корректирующего звена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228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График без корректировки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00441" cy="15867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441" cy="158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График с корректировкой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434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u(t) - серый, r(t) - красный, e(t) - зелёный, y(t) - чёрный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время переходного процесса - 0.85 (так как ступенька в 1 секунду). Должна быть 1 секунда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32788" cy="206262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788" cy="206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относительная ошибка - 2%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2657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перерегулирование - 15% (должно быть 20)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219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3811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перерегулирование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Kk *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Kk *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Tk1 *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Tk1 *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Tk2 *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Tk2 *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