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A5276"/>
          <w:sz w:val="64"/>
          <w:szCs w:val="64"/>
        </w:rPr>
        <w:t xml:space="preserve">GeoPay</w:t>
      </w:r>
    </w:p>
    <w:p>
      <w:pPr>
        <w:spacing w:after="80" w:before="0"/>
        <w:jc w:val="center"/>
      </w:pPr>
      <w:r>
        <w:rPr>
          <w:rFonts w:ascii="Arial" w:cs="Arial" w:eastAsia="Arial" w:hAnsi="Arial"/>
          <w:color w:val="5D6D7E"/>
          <w:sz w:val="28"/>
          <w:szCs w:val="28"/>
        </w:rPr>
        <w:t xml:space="preserve">Decentralized Spatial Fee &amp; Escrow Protocol</w:t>
      </w:r>
    </w:p>
    <w:p>
      <w:pPr>
        <w:spacing w:after="80" w:before="0"/>
        <w:jc w:val="center"/>
      </w:pPr>
      <w:r>
        <w:rPr>
          <w:rFonts w:ascii="Arial" w:cs="Arial" w:eastAsia="Arial" w:hAnsi="Arial"/>
          <w:i/>
          <w:iCs/>
          <w:color w:val="5D6D7E"/>
          <w:sz w:val="22"/>
          <w:szCs w:val="22"/>
        </w:rPr>
        <w:t xml:space="preserve">Built on Sui Blockchain — Sui Overflow 2026</w:t>
      </w:r>
    </w:p>
    <w:p>
      <w:pPr>
        <w:spacing w:after="80" w:before="0"/>
        <w:jc w:val="center"/>
      </w:pPr>
      <w:r>
        <w:rPr>
          <w:rFonts w:ascii="Arial" w:cs="Arial" w:eastAsia="Arial" w:hAnsi="Arial"/>
          <w:color w:val="5D6D7E"/>
          <w:sz w:val="22"/>
          <w:szCs w:val="22"/>
        </w:rPr>
        <w:t xml:space="preserve">Track: DeFi &amp; Payments  |  Location: Nigeria 🇳🇬</w:t>
      </w:r>
    </w:p>
    <w:p>
      <w:pPr>
        <w:spacing w:after="600" w:before="0"/>
        <w:jc w:val="center"/>
      </w:pPr>
      <w:r>
        <w:rPr>
          <w:rFonts w:ascii="Arial" w:cs="Arial" w:eastAsia="Arial" w:hAnsi="Arial"/>
          <w:b/>
          <w:bCs/>
          <w:sz w:val="22"/>
          <w:szCs w:val="22"/>
        </w:rPr>
        <w:t xml:space="preserve">Ahmed Omokunmi Muhammed — Solo Builder</w:t>
      </w:r>
    </w:p>
    <w:p>
      <w:pPr>
        <w:pBdr>
          <w:bottom w:val="single" w:color="AED6F1" w:sz="4" w:space="1"/>
        </w:pBdr>
        <w:spacing w:after="160" w:before="160"/>
      </w:pPr>
    </w:p>
    <w:p>
      <w:pPr>
        <w:pStyle w:val="Heading1"/>
        <w:spacing w:after="160" w:before="360"/>
      </w:pPr>
      <w:r>
        <w:rPr>
          <w:rFonts w:ascii="Arial" w:cs="Arial" w:eastAsia="Arial" w:hAnsi="Arial"/>
          <w:b/>
          <w:bCs/>
          <w:color w:val="1A5276"/>
          <w:sz w:val="32"/>
          <w:szCs w:val="32"/>
        </w:rPr>
        <w:t xml:space="preserve">1. Overview</w:t>
      </w:r>
    </w:p>
    <w:p>
      <w:pPr>
        <w:spacing w:after="100" w:before="80"/>
      </w:pPr>
      <w:r>
        <w:rPr>
          <w:rFonts w:ascii="Arial" w:cs="Arial" w:eastAsia="Arial" w:hAnsi="Arial"/>
          <w:sz w:val="22"/>
          <w:szCs w:val="22"/>
        </w:rPr>
        <w:t xml:space="preserve">GeoPay is a decentralized escrow and fee settlement protocol designed for the professional land surveying industry. It digitizes and enforces the Kwara State (Nigeria) Minimum Scale of Fees on the Sui blockchain, enabling trustless payment between clients, surveyors, and the regulatory body (SURCON/NIS).</w:t>
      </w:r>
    </w:p>
    <w:p>
      <w:pPr>
        <w:spacing w:after="80" w:before="120"/>
      </w:pPr>
    </w:p>
    <w:p>
      <w:pPr>
        <w:spacing w:after="100" w:before="80"/>
      </w:pPr>
      <w:r>
        <w:rPr>
          <w:rFonts w:ascii="Arial" w:cs="Arial" w:eastAsia="Arial" w:hAnsi="Arial"/>
          <w:b/>
          <w:bCs/>
          <w:sz w:val="22"/>
          <w:szCs w:val="22"/>
        </w:rPr>
        <w:t xml:space="preserve">Core protocol flow:</w:t>
      </w:r>
    </w:p>
    <w:p>
      <w:pPr>
        <w:pStyle w:val="ListParagraph"/>
        <w:numPr>
          <w:ilvl w:val="0"/>
          <w:numId w:val="2"/>
        </w:numPr>
        <w:spacing w:after="60" w:before="60"/>
      </w:pPr>
      <w:r>
        <w:rPr>
          <w:rFonts w:ascii="Arial" w:cs="Arial" w:eastAsia="Arial" w:hAnsi="Arial"/>
          <w:sz w:val="22"/>
          <w:szCs w:val="22"/>
        </w:rPr>
        <w:t xml:space="preserve">Client submits land area and type → smart contract calculates the mandatory regulatory fee</w:t>
      </w:r>
    </w:p>
    <w:p>
      <w:pPr>
        <w:pStyle w:val="ListParagraph"/>
        <w:numPr>
          <w:ilvl w:val="0"/>
          <w:numId w:val="2"/>
        </w:numPr>
        <w:spacing w:after="60" w:before="60"/>
      </w:pPr>
      <w:r>
        <w:rPr>
          <w:rFonts w:ascii="Arial" w:cs="Arial" w:eastAsia="Arial" w:hAnsi="Arial"/>
          <w:sz w:val="22"/>
          <w:szCs w:val="22"/>
        </w:rPr>
        <w:t xml:space="preserve">Client pays into escrow (locked on-chain)</w:t>
      </w:r>
    </w:p>
    <w:p>
      <w:pPr>
        <w:pStyle w:val="ListParagraph"/>
        <w:numPr>
          <w:ilvl w:val="0"/>
          <w:numId w:val="2"/>
        </w:numPr>
        <w:spacing w:after="60" w:before="60"/>
      </w:pPr>
      <w:r>
        <w:rPr>
          <w:rFonts w:ascii="Arial" w:cs="Arial" w:eastAsia="Arial" w:hAnsi="Arial"/>
          <w:sz w:val="22"/>
          <w:szCs w:val="22"/>
        </w:rPr>
        <w:t xml:space="preserve">Surveyor completes the job and uploads the Digital Red Copy</w:t>
      </w:r>
    </w:p>
    <w:p>
      <w:pPr>
        <w:pStyle w:val="ListParagraph"/>
        <w:numPr>
          <w:ilvl w:val="0"/>
          <w:numId w:val="2"/>
        </w:numPr>
        <w:spacing w:after="60" w:before="60"/>
      </w:pPr>
      <w:r>
        <w:rPr>
          <w:rFonts w:ascii="Arial" w:cs="Arial" w:eastAsia="Arial" w:hAnsi="Arial"/>
          <w:sz w:val="22"/>
          <w:szCs w:val="22"/>
        </w:rPr>
        <w:t xml:space="preserve">Client confirms delivery → contract auto-splits: 30% to Surveyor, 70% to Regulatory Body</w:t>
      </w:r>
    </w:p>
    <w:p>
      <w:pPr>
        <w:pStyle w:val="ListParagraph"/>
        <w:numPr>
          <w:ilvl w:val="0"/>
          <w:numId w:val="2"/>
        </w:numPr>
        <w:spacing w:after="60" w:before="60"/>
      </w:pPr>
      <w:r>
        <w:rPr>
          <w:rFonts w:ascii="Arial" w:cs="Arial" w:eastAsia="Arial" w:hAnsi="Arial"/>
          <w:sz w:val="22"/>
          <w:szCs w:val="22"/>
        </w:rPr>
        <w:t xml:space="preserve">If surveyor misses the 7-day deadline → client claims a full refund</w:t>
      </w:r>
    </w:p>
    <w:p>
      <w:pPr>
        <w:pBdr>
          <w:bottom w:val="single" w:color="AED6F1" w:sz="4" w:space="1"/>
        </w:pBdr>
        <w:spacing w:after="160" w:before="160"/>
      </w:pPr>
    </w:p>
    <w:p>
      <w:pPr>
        <w:pStyle w:val="Heading1"/>
        <w:spacing w:after="160" w:before="360"/>
      </w:pPr>
      <w:r>
        <w:rPr>
          <w:rFonts w:ascii="Arial" w:cs="Arial" w:eastAsia="Arial" w:hAnsi="Arial"/>
          <w:b/>
          <w:bCs/>
          <w:color w:val="1A5276"/>
          <w:sz w:val="32"/>
          <w:szCs w:val="32"/>
        </w:rPr>
        <w:t xml:space="preserve">2. The Testnet Fee Design Decision</w:t>
      </w:r>
    </w:p>
    <w:p>
      <w:pPr>
        <w:pStyle w:val="Heading2"/>
        <w:spacing w:after="120" w:before="280"/>
      </w:pPr>
      <w:r>
        <w:rPr>
          <w:rFonts w:ascii="Arial" w:cs="Arial" w:eastAsia="Arial" w:hAnsi="Arial"/>
          <w:b/>
          <w:bCs/>
          <w:color w:val="1F618D"/>
          <w:sz w:val="26"/>
          <w:szCs w:val="26"/>
        </w:rPr>
        <w:t xml:space="preserve">2.1 The Core Problem</w:t>
      </w:r>
    </w:p>
    <w:p>
      <w:pPr>
        <w:spacing w:after="100" w:before="80"/>
      </w:pPr>
      <w:r>
        <w:rPr>
          <w:rFonts w:ascii="Arial" w:cs="Arial" w:eastAsia="Arial" w:hAnsi="Arial"/>
          <w:sz w:val="22"/>
          <w:szCs w:val="22"/>
        </w:rPr>
        <w:t xml:space="preserve">The official Kwara State fee schedule is denominated in Nigerian Naira (₦). For example, the minimum fee for a plot of land (0–690 m²) is ₦150,000. On the Sui blockchain, all payments are made in SUI tokens — a volatile, dollar-priced asset.</w:t>
      </w:r>
    </w:p>
    <w:p>
      <w:pPr>
        <w:spacing w:after="80" w:before="80"/>
      </w:pPr>
    </w:p>
    <w:p>
      <w:pPr>
        <w:spacing w:after="100" w:before="80"/>
      </w:pPr>
      <w:r>
        <w:rPr>
          <w:rFonts w:ascii="Arial" w:cs="Arial" w:eastAsia="Arial" w:hAnsi="Arial"/>
          <w:sz w:val="22"/>
          <w:szCs w:val="22"/>
        </w:rPr>
        <w:t xml:space="preserve">This creates a direct conflict: how do you encode a Naira-denominated regulatory fee into a smart contract that only understands MIST (Sui's smallest unit, 1 SUI = 1,000,000,000 MIST)?</w:t>
      </w:r>
    </w:p>
    <w:p>
      <w:pPr>
        <w:spacing w:after="80" w:before="120"/>
      </w:pPr>
    </w:p>
    <w:p>
      <w:pPr>
        <w:pStyle w:val="Heading2"/>
        <w:spacing w:after="120" w:before="280"/>
      </w:pPr>
      <w:r>
        <w:rPr>
          <w:rFonts w:ascii="Arial" w:cs="Arial" w:eastAsia="Arial" w:hAnsi="Arial"/>
          <w:b/>
          <w:bCs/>
          <w:color w:val="1F618D"/>
          <w:sz w:val="26"/>
          <w:szCs w:val="26"/>
        </w:rPr>
        <w:t xml:space="preserve">2.2 What Was Done on Testnet</w:t>
      </w:r>
    </w:p>
    <w:p>
      <w:pPr>
        <w:spacing w:after="100" w:before="80"/>
      </w:pPr>
      <w:r>
        <w:rPr>
          <w:rFonts w:ascii="Arial" w:cs="Arial" w:eastAsia="Arial" w:hAnsi="Arial"/>
          <w:sz w:val="22"/>
          <w:szCs w:val="22"/>
        </w:rPr>
        <w:t xml:space="preserve">On testnet, it is practically impossible to obtain the true Naira-equivalent SUI amounts needed for realistic interaction. At current market rates: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80"/>
        <w:gridCol w:w="2380"/>
      </w:tblGrid>
      <w:tr>
        <w:trPr>
          <w:tblHeader/>
        </w:trPr>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Fee Tier</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Naira Value (₦)</w:t>
            </w:r>
          </w:p>
        </w:tc>
        <w:tc>
          <w:tcPr>
            <w:tcW w:type="dxa" w:w="23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SUI Equivalent</w:t>
            </w:r>
          </w:p>
        </w:tc>
        <w:tc>
          <w:tcPr>
            <w:tcW w:type="dxa" w:w="23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MIST (Mainnet)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 — 0 to 690 m²</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150,000</w:t>
            </w:r>
          </w:p>
        </w:tc>
        <w:tc>
          <w:tcPr>
            <w:tcW w:type="dxa" w:w="2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~26.78 SUI</w:t>
            </w:r>
          </w:p>
        </w:tc>
        <w:tc>
          <w:tcPr>
            <w:tcW w:type="dxa" w:w="2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26,780,000,000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 — 690 to 1,160 m²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190,000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~33.93 SUI</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33,930,000,000</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P13 — 1Ha to 2Ha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580,000</w:t>
            </w:r>
          </w:p>
        </w:tc>
        <w:tc>
          <w:tcPr>
            <w:tcW w:type="dxa" w:w="2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~103.57 SUI</w:t>
            </w:r>
          </w:p>
        </w:tc>
        <w:tc>
          <w:tcPr>
            <w:tcW w:type="dxa" w:w="23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103,570,000,000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P20 — 40Ha to 50Ha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1,145,000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~204.46 SUI</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204,460,000,000</w:t>
            </w:r>
          </w:p>
        </w:tc>
      </w:tr>
    </w:tbl>
    <w:p>
      <w:pPr>
        <w:spacing w:after="80" w:before="120"/>
      </w:pPr>
    </w:p>
    <w:p>
      <w:pPr>
        <w:pBdr>
          <w:left w:val="single" w:color="F39C12" w:sz="12" w:space="120"/>
        </w:pBdr>
        <w:spacing w:after="100" w:before="100"/>
        <w:ind w:left="360"/>
      </w:pPr>
      <w:r>
        <w:rPr>
          <w:rFonts w:ascii="Arial" w:cs="Arial" w:eastAsia="Arial" w:hAnsi="Arial"/>
          <w:i/>
          <w:iCs/>
          <w:color w:val="555555"/>
          <w:sz w:val="20"/>
          <w:szCs w:val="20"/>
        </w:rPr>
        <w:t xml:space="preserve">Conversion rate used: ₦1,600 per USD | SUI price: $3.50 per SUI — rates as of May 2026</w:t>
      </w:r>
    </w:p>
    <w:p>
      <w:pPr>
        <w:spacing w:after="80" w:before="100"/>
      </w:pPr>
    </w:p>
    <w:p>
      <w:pPr>
        <w:spacing w:after="100" w:before="80"/>
      </w:pPr>
      <w:r>
        <w:rPr>
          <w:rFonts w:ascii="Arial" w:cs="Arial" w:eastAsia="Arial" w:hAnsi="Arial"/>
          <w:sz w:val="22"/>
          <w:szCs w:val="22"/>
        </w:rPr>
        <w:t xml:space="preserve">Acquiring 26 SUI just to test the minimum fee tier on testnet is unrealistic. Testnet faucets typically dispense 1–5 SUI per request, and real user testing requires dozens of transactions.</w:t>
      </w:r>
    </w:p>
    <w:p>
      <w:pPr>
        <w:spacing w:after="80" w:before="80"/>
      </w:pPr>
    </w:p>
    <w:p>
      <w:pPr>
        <w:spacing w:after="100" w:before="80"/>
      </w:pPr>
      <w:r>
        <w:rPr>
          <w:rFonts w:ascii="Arial" w:cs="Arial" w:eastAsia="Arial" w:hAnsi="Arial"/>
          <w:sz w:val="22"/>
          <w:szCs w:val="22"/>
        </w:rPr>
        <w:t xml:space="preserve">Therefore, the testnet MIST constants were deliberately scaled down to 1/1000th of their mainnet values, making them accessible with faucet SUI while preserving the correct fee tier ratios and relationships: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Testnet MIST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Testnet SUI</w:t>
            </w:r>
          </w:p>
        </w:tc>
        <w:tc>
          <w:tcPr>
            <w:tcW w:type="dxa" w:w="28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150,000,000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0.15 SUI</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Min. private land fee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 SUI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Small private plot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580,000,000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0.58 SUI</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1–2 Hectare private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225,000,000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0.225 SUI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Min. commercial fee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C13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870,000,000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0.87 SUI</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1–2 Hectare commercial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P_PER_HA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0.015 SUI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Per-hectare surcharge</w:t>
            </w:r>
          </w:p>
        </w:tc>
      </w:tr>
    </w:tbl>
    <w:p>
      <w:pPr>
        <w:spacing w:after="80" w:before="120"/>
      </w:pPr>
    </w:p>
    <w:p>
      <w:pPr>
        <w:spacing w:after="100" w:before="80"/>
      </w:pPr>
      <w:r>
        <w:rPr>
          <w:rFonts w:ascii="Arial" w:cs="Arial" w:eastAsia="Arial" w:hAnsi="Arial"/>
          <w:sz w:val="22"/>
          <w:szCs w:val="22"/>
        </w:rPr>
        <w:t xml:space="preserve">This approach ensured that all 20 fee tiers and both land types (Private and Commercial) could be fully tested with standard testnet SUI, while the fee tier logic, escrow lifecycle, and 70/30 split mechanism were validated accurately.</w:t>
      </w:r>
    </w:p>
    <w:p>
      <w:pPr>
        <w:pBdr>
          <w:bottom w:val="single" w:color="AED6F1" w:sz="4" w:space="1"/>
        </w:pBdr>
        <w:spacing w:after="160" w:before="160"/>
      </w:pPr>
    </w:p>
    <w:p>
      <w:pPr>
        <w:pStyle w:val="Heading1"/>
        <w:spacing w:after="160" w:before="360"/>
      </w:pPr>
      <w:r>
        <w:rPr>
          <w:rFonts w:ascii="Arial" w:cs="Arial" w:eastAsia="Arial" w:hAnsi="Arial"/>
          <w:b/>
          <w:bCs/>
          <w:color w:val="1A5276"/>
          <w:sz w:val="32"/>
          <w:szCs w:val="32"/>
        </w:rPr>
        <w:t xml:space="preserve">3. Mainnet Fee Strategy</w:t>
      </w:r>
    </w:p>
    <w:p>
      <w:pPr>
        <w:pStyle w:val="Heading2"/>
        <w:spacing w:after="120" w:before="280"/>
      </w:pPr>
      <w:r>
        <w:rPr>
          <w:rFonts w:ascii="Arial" w:cs="Arial" w:eastAsia="Arial" w:hAnsi="Arial"/>
          <w:b/>
          <w:bCs/>
          <w:color w:val="1F618D"/>
          <w:sz w:val="26"/>
          <w:szCs w:val="26"/>
        </w:rPr>
        <w:t xml:space="preserve">3.1 Chosen Approach: Frontend Conversion</w:t>
      </w:r>
    </w:p>
    <w:p>
      <w:pPr>
        <w:spacing w:after="100" w:before="80"/>
      </w:pPr>
      <w:r>
        <w:rPr>
          <w:rFonts w:ascii="Arial" w:cs="Arial" w:eastAsia="Arial" w:hAnsi="Arial"/>
          <w:sz w:val="22"/>
          <w:szCs w:val="22"/>
        </w:rPr>
        <w:t xml:space="preserve">For mainnet deployment, GeoPay will use the Frontend Conversion approach — the simplest and most practical method for a hackathon-stage protocol. Here is how it works:</w:t>
      </w:r>
    </w:p>
    <w:p>
      <w:pPr>
        <w:spacing w:after="80" w:before="80"/>
      </w:pPr>
    </w:p>
    <w:p>
      <w:pPr>
        <w:pStyle w:val="ListParagraph"/>
        <w:numPr>
          <w:ilvl w:val="0"/>
          <w:numId w:val="2"/>
        </w:numPr>
        <w:spacing w:after="60" w:before="60"/>
      </w:pPr>
      <w:r>
        <w:rPr>
          <w:rFonts w:ascii="Arial" w:cs="Arial" w:eastAsia="Arial" w:hAnsi="Arial"/>
          <w:sz w:val="22"/>
          <w:szCs w:val="22"/>
        </w:rPr>
        <w:t xml:space="preserve">The frontend fetches the live NGN/SUI exchange rate from a public price API (e.g. CoinGecko or Binance) at the time the user initiates a transaction</w:t>
      </w:r>
    </w:p>
    <w:p>
      <w:pPr>
        <w:pStyle w:val="ListParagraph"/>
        <w:numPr>
          <w:ilvl w:val="0"/>
          <w:numId w:val="2"/>
        </w:numPr>
        <w:spacing w:after="60" w:before="60"/>
      </w:pPr>
      <w:r>
        <w:rPr>
          <w:rFonts w:ascii="Arial" w:cs="Arial" w:eastAsia="Arial" w:hAnsi="Arial"/>
          <w:sz w:val="22"/>
          <w:szCs w:val="22"/>
        </w:rPr>
        <w:t xml:space="preserve">The official Naira fee for the selected land area and type is converted to the SUI equivalent in real time</w:t>
      </w:r>
    </w:p>
    <w:p>
      <w:pPr>
        <w:pStyle w:val="ListParagraph"/>
        <w:numPr>
          <w:ilvl w:val="0"/>
          <w:numId w:val="2"/>
        </w:numPr>
        <w:spacing w:after="60" w:before="60"/>
      </w:pPr>
      <w:r>
        <w:rPr>
          <w:rFonts w:ascii="Arial" w:cs="Arial" w:eastAsia="Arial" w:hAnsi="Arial"/>
          <w:sz w:val="22"/>
          <w:szCs w:val="22"/>
        </w:rPr>
        <w:t xml:space="preserve">The converted SUI amount (in MIST) is passed to the smart contract's create_escrow_v2 function</w:t>
      </w:r>
    </w:p>
    <w:p>
      <w:pPr>
        <w:pStyle w:val="ListParagraph"/>
        <w:numPr>
          <w:ilvl w:val="0"/>
          <w:numId w:val="2"/>
        </w:numPr>
        <w:spacing w:after="60" w:before="60"/>
      </w:pPr>
      <w:r>
        <w:rPr>
          <w:rFonts w:ascii="Arial" w:cs="Arial" w:eastAsia="Arial" w:hAnsi="Arial"/>
          <w:sz w:val="22"/>
          <w:szCs w:val="22"/>
        </w:rPr>
        <w:t xml:space="preserve">The contract validates that the payment meets the minimum required fee and locks it in escrow</w:t>
      </w:r>
    </w:p>
    <w:p>
      <w:pPr>
        <w:spacing w:after="80" w:before="120"/>
      </w:pPr>
    </w:p>
    <w:p>
      <w:pPr>
        <w:pStyle w:val="Heading2"/>
        <w:spacing w:after="120" w:before="280"/>
      </w:pPr>
      <w:r>
        <w:rPr>
          <w:rFonts w:ascii="Arial" w:cs="Arial" w:eastAsia="Arial" w:hAnsi="Arial"/>
          <w:b/>
          <w:bCs/>
          <w:color w:val="1F618D"/>
          <w:sz w:val="26"/>
          <w:szCs w:val="26"/>
        </w:rPr>
        <w:t xml:space="preserve">3.2 Comparison of Mainnet Approaches</w:t>
      </w:r>
    </w:p>
    <w:p>
      <w:pPr>
        <w:spacing w:after="120" w:before="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800"/>
        <w:gridCol w:w="15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c>
          <w:tcPr>
            <w:tcW w:type="dxa" w:w="1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Frontend Conversion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UI fetches live rate, converts ₦ to SUI before tx</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Simple, fast to ship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Price slippage risk</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 Oracle (On-chain)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Move contract reads live SUI/USD from Pyth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Trustless, no slippage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Complex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Phase 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USDC Stablecoin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Fees paid in USDC via Wormhole bridge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Stable value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UX friction for users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 Phase 3</w:t>
            </w:r>
          </w:p>
        </w:tc>
      </w:tr>
    </w:tbl>
    <w:p>
      <w:pPr>
        <w:spacing w:after="80" w:before="120"/>
      </w:pPr>
    </w:p>
    <w:p>
      <w:pPr>
        <w:pStyle w:val="Heading2"/>
        <w:spacing w:after="120" w:before="280"/>
      </w:pPr>
      <w:r>
        <w:rPr>
          <w:rFonts w:ascii="Arial" w:cs="Arial" w:eastAsia="Arial" w:hAnsi="Arial"/>
          <w:b/>
          <w:bCs/>
          <w:color w:val="1F618D"/>
          <w:sz w:val="26"/>
          <w:szCs w:val="26"/>
        </w:rPr>
        <w:t xml:space="preserve">3.3 Mainnet MIST Constants</w:t>
      </w:r>
    </w:p>
    <w:p>
      <w:pPr>
        <w:spacing w:after="100" w:before="80"/>
      </w:pPr>
      <w:r>
        <w:rPr>
          <w:rFonts w:ascii="Arial" w:cs="Arial" w:eastAsia="Arial" w:hAnsi="Arial"/>
          <w:sz w:val="22"/>
          <w:szCs w:val="22"/>
        </w:rPr>
        <w:t xml:space="preserve">When deploying to mainnet, the MIST constants will be updated to reflect true Naira-equivalent values. The frontend will dynamically compute the exact MIST amount at transaction time using the live rate, but the contract will also maintain hardcoded minimum floor values to prevent underpricing:</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Naira Value</w:t>
            </w:r>
          </w:p>
        </w:tc>
        <w:tc>
          <w:tcPr>
            <w:tcW w:type="dxa" w:w="4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Mainnet MIST (at ₦1,600/$, $3.50 SUI)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 — Min. Private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₦150,000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~26,780,000,000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~33,930,000,000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P13 — 1–2 Ha Private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₦580,000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~103,570,000,000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C1 — Min. Commercial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₦225,000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~40,180,000,000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C13 — 1–2 Ha Commercial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₦870,000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~155,360,000,000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P_PER_HA surcharge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₦15,000/Ha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~2,678,000,000</w:t>
            </w:r>
          </w:p>
        </w:tc>
      </w:tr>
    </w:tbl>
    <w:p>
      <w:pPr>
        <w:spacing w:after="80" w:before="120"/>
      </w:pPr>
    </w:p>
    <w:p>
      <w:pPr>
        <w:pBdr>
          <w:left w:val="single" w:color="F39C12" w:sz="12" w:space="120"/>
        </w:pBdr>
        <w:spacing w:after="100" w:before="100"/>
        <w:ind w:left="360"/>
      </w:pPr>
      <w:r>
        <w:rPr>
          <w:rFonts w:ascii="Arial" w:cs="Arial" w:eastAsia="Arial" w:hAnsi="Arial"/>
          <w:i/>
          <w:iCs/>
          <w:color w:val="555555"/>
          <w:sz w:val="20"/>
          <w:szCs w:val="20"/>
        </w:rPr>
        <w:t xml:space="preserve">These values will be recalculated at mainnet deployment time using the prevailing exchange rates. The formula is: MIST = (Naira Fee ÷ NGN_per_USD ÷ SUI_USD_price) × 1,000,000,000</w:t>
      </w:r>
    </w:p>
    <w:p>
      <w:pPr>
        <w:pBdr>
          <w:bottom w:val="single" w:color="AED6F1" w:sz="4" w:space="1"/>
        </w:pBdr>
        <w:spacing w:after="160" w:before="160"/>
      </w:pPr>
    </w:p>
    <w:p>
      <w:pPr>
        <w:pStyle w:val="Heading1"/>
        <w:spacing w:after="160" w:before="360"/>
      </w:pPr>
      <w:r>
        <w:rPr>
          <w:rFonts w:ascii="Arial" w:cs="Arial" w:eastAsia="Arial" w:hAnsi="Arial"/>
          <w:b/>
          <w:bCs/>
          <w:color w:val="1A5276"/>
          <w:sz w:val="32"/>
          <w:szCs w:val="32"/>
        </w:rPr>
        <w:t xml:space="preserve">4. Smart Contract Architecture</w:t>
      </w:r>
    </w:p>
    <w:p>
      <w:pPr>
        <w:pStyle w:val="Heading2"/>
        <w:spacing w:after="120" w:before="280"/>
      </w:pPr>
      <w:r>
        <w:rPr>
          <w:rFonts w:ascii="Arial" w:cs="Arial" w:eastAsia="Arial" w:hAnsi="Arial"/>
          <w:b/>
          <w:bCs/>
          <w:color w:val="1F618D"/>
          <w:sz w:val="26"/>
          <w:szCs w:val="26"/>
        </w:rPr>
        <w:t xml:space="preserve">4.1 Escrow Lifecycle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6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PENDING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Escrow created, payment locked, awaiting Red Copy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SUBMITTED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Surveyor uploaded Digital Red Copy, awaiting client confirmation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Client confirmed, 70/30 split executed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CANCELLED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Client cancelled before submission, full refund issued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EXPIRED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7-day deadline passed without submission, full refund issued</w:t>
            </w:r>
          </w:p>
        </w:tc>
      </w:tr>
    </w:tbl>
    <w:p>
      <w:pPr>
        <w:spacing w:after="80" w:before="120"/>
      </w:pPr>
    </w:p>
    <w:p>
      <w:pPr>
        <w:pStyle w:val="Heading2"/>
        <w:spacing w:after="120" w:before="280"/>
      </w:pPr>
      <w:r>
        <w:rPr>
          <w:rFonts w:ascii="Arial" w:cs="Arial" w:eastAsia="Arial" w:hAnsi="Arial"/>
          <w:b/>
          <w:bCs/>
          <w:color w:val="1F618D"/>
          <w:sz w:val="26"/>
          <w:szCs w:val="26"/>
        </w:rPr>
        <w:t xml:space="preserve">4.2 V1 vs V2 Design</w:t>
      </w:r>
    </w:p>
    <w:p>
      <w:pPr>
        <w:spacing w:after="100" w:before="80"/>
      </w:pPr>
      <w:r>
        <w:rPr>
          <w:rFonts w:ascii="Arial" w:cs="Arial" w:eastAsia="Arial" w:hAnsi="Arial"/>
          <w:sz w:val="22"/>
          <w:szCs w:val="22"/>
        </w:rPr>
        <w:t xml:space="preserve">The contract uses a non-breaking upgrade pattern via Sui dynamic fields. V1 functions (create_escrow, submit_red_copy) preserve historical on-chain object compatibility. V2 functions (create_escrow_v2, submit_red_copy_v2) attach deadline and document metadata as dynamic fields without mutating the core object layout — ensuring that existing shared objects remain valid after any future upgrades.</w:t>
      </w:r>
    </w:p>
    <w:p>
      <w:pPr>
        <w:spacing w:after="80" w:before="120"/>
      </w:pPr>
    </w:p>
    <w:p>
      <w:pPr>
        <w:pStyle w:val="Heading2"/>
        <w:spacing w:after="120" w:before="280"/>
      </w:pPr>
      <w:r>
        <w:rPr>
          <w:rFonts w:ascii="Arial" w:cs="Arial" w:eastAsia="Arial" w:hAnsi="Arial"/>
          <w:b/>
          <w:bCs/>
          <w:color w:val="1F618D"/>
          <w:sz w:val="26"/>
          <w:szCs w:val="26"/>
        </w:rPr>
        <w:t xml:space="preserve">4.3 Revenue Split</w:t>
      </w:r>
    </w:p>
    <w:p>
      <w:pPr>
        <w:spacing w:after="100" w:before="80"/>
      </w:pPr>
      <w:r>
        <w:rPr>
          <w:rFonts w:ascii="Arial" w:cs="Arial" w:eastAsia="Arial" w:hAnsi="Arial"/>
          <w:sz w:val="22"/>
          <w:szCs w:val="22"/>
        </w:rPr>
        <w:t xml:space="preserve">Upon client confirmation, the contract executes an automatic split of the escrowed amount: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Recipient</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c>
          <w:tcPr>
            <w:tcW w:type="dxa" w:w="5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Surveyor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Professional service fee for completing the survey 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Regulatory Body (SURCON/NIS)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Mandatory professional tax per SURCON guidelines</w:t>
            </w:r>
          </w:p>
        </w:tc>
      </w:tr>
    </w:tbl>
    <w:p>
      <w:pPr>
        <w:pBdr>
          <w:bottom w:val="single" w:color="AED6F1" w:sz="4" w:space="1"/>
        </w:pBdr>
        <w:spacing w:after="160" w:before="160"/>
      </w:pPr>
    </w:p>
    <w:p>
      <w:pPr>
        <w:pStyle w:val="Heading1"/>
        <w:spacing w:after="160" w:before="360"/>
      </w:pPr>
      <w:r>
        <w:rPr>
          <w:rFonts w:ascii="Arial" w:cs="Arial" w:eastAsia="Arial" w:hAnsi="Arial"/>
          <w:b/>
          <w:bCs/>
          <w:color w:val="1A5276"/>
          <w:sz w:val="32"/>
          <w:szCs w:val="32"/>
        </w:rPr>
        <w:t xml:space="preserve">5. Deployment Notes</w:t>
      </w:r>
    </w:p>
    <w:p>
      <w:pPr>
        <w:pStyle w:val="Heading2"/>
        <w:spacing w:after="120" w:before="280"/>
      </w:pPr>
      <w:r>
        <w:rPr>
          <w:rFonts w:ascii="Arial" w:cs="Arial" w:eastAsia="Arial" w:hAnsi="Arial"/>
          <w:b/>
          <w:bCs/>
          <w:color w:val="1F618D"/>
          <w:sz w:val="26"/>
          <w:szCs w:val="26"/>
        </w:rPr>
        <w:t xml:space="preserve">5.1 Package ID Management</w:t>
      </w:r>
    </w:p>
    <w:p>
      <w:pPr>
        <w:spacing w:after="100" w:before="80"/>
      </w:pPr>
      <w:r>
        <w:rPr>
          <w:rFonts w:ascii="Arial" w:cs="Arial" w:eastAsia="Arial" w:hAnsi="Arial"/>
          <w:sz w:val="22"/>
          <w:szCs w:val="22"/>
        </w:rPr>
        <w:t xml:space="preserve">Each Sui deployment generates a new Package ID. For GeoPay, the workflow is:</w:t>
      </w:r>
    </w:p>
    <w:p>
      <w:pPr>
        <w:pStyle w:val="ListParagraph"/>
        <w:numPr>
          <w:ilvl w:val="0"/>
          <w:numId w:val="2"/>
        </w:numPr>
        <w:spacing w:after="60" w:before="60"/>
      </w:pPr>
      <w:r>
        <w:rPr>
          <w:rFonts w:ascii="Arial" w:cs="Arial" w:eastAsia="Arial" w:hAnsi="Arial"/>
          <w:sz w:val="22"/>
          <w:szCs w:val="22"/>
        </w:rPr>
        <w:t xml:space="preserve">Testnet: Deploy → record Package ID → store in .env.local as VITE_PACKAGE_ID</w:t>
      </w:r>
    </w:p>
    <w:p>
      <w:pPr>
        <w:pStyle w:val="ListParagraph"/>
        <w:numPr>
          <w:ilvl w:val="0"/>
          <w:numId w:val="2"/>
        </w:numPr>
        <w:spacing w:after="60" w:before="60"/>
      </w:pPr>
      <w:r>
        <w:rPr>
          <w:rFonts w:ascii="Arial" w:cs="Arial" w:eastAsia="Arial" w:hAnsi="Arial"/>
          <w:sz w:val="22"/>
          <w:szCs w:val="22"/>
        </w:rPr>
        <w:t xml:space="preserve">Mainnet: Redeploy with updated MIST constants → record new Package ID → update frontend env</w:t>
      </w:r>
    </w:p>
    <w:p>
      <w:pPr>
        <w:pStyle w:val="ListParagraph"/>
        <w:numPr>
          <w:ilvl w:val="0"/>
          <w:numId w:val="2"/>
        </w:numPr>
        <w:spacing w:after="60" w:before="60"/>
      </w:pPr>
      <w:r>
        <w:rPr>
          <w:rFonts w:ascii="Arial" w:cs="Arial" w:eastAsia="Arial" w:hAnsi="Arial"/>
          <w:sz w:val="22"/>
          <w:szCs w:val="22"/>
        </w:rPr>
        <w:t xml:space="preserve">The frontend reads the Package ID from environment variables — no code changes needed between environments</w:t>
      </w:r>
    </w:p>
    <w:p>
      <w:pPr>
        <w:spacing w:after="80" w:before="80"/>
      </w:pPr>
    </w:p>
    <w:p>
      <w:pPr>
        <w:pStyle w:val="Heading2"/>
        <w:spacing w:after="120" w:before="280"/>
      </w:pPr>
      <w:r>
        <w:rPr>
          <w:rFonts w:ascii="Arial" w:cs="Arial" w:eastAsia="Arial" w:hAnsi="Arial"/>
          <w:b/>
          <w:bCs/>
          <w:color w:val="1F618D"/>
          <w:sz w:val="26"/>
          <w:szCs w:val="26"/>
        </w:rPr>
        <w:t xml:space="preserve">5.2 Network Configuration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Testnet Value</w:t>
            </w:r>
          </w:p>
        </w:tc>
        <w:tc>
          <w:tcPr>
            <w:tcW w:type="dxa" w:w="36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Mainnet Value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Network</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testnet</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mainnet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RPC 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https://fullnode.testnet.sui.io:443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https://fullnode.mainnet.sui.io:443</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Fee Unit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Scaled MIST (1/1000th)</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True Naira-equivalent MIST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Fee Source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Hardcoded constants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Frontend live conversion + contract floor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Wallet</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Sui Testnet Wallet</w:t>
            </w:r>
          </w:p>
        </w:tc>
        <w:tc>
          <w:tcPr>
            <w:tcW w:type="dxa" w:w="3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Sui Mainnet Wallet</w:t>
            </w:r>
          </w:p>
        </w:tc>
      </w:tr>
    </w:tbl>
    <w:p>
      <w:pPr>
        <w:pBdr>
          <w:bottom w:val="single" w:color="AED6F1" w:sz="4" w:space="1"/>
        </w:pBdr>
        <w:spacing w:after="160" w:before="160"/>
      </w:pPr>
    </w:p>
    <w:p>
      <w:pPr>
        <w:spacing w:after="80" w:before="400"/>
        <w:jc w:val="center"/>
      </w:pPr>
      <w:r>
        <w:rPr>
          <w:rFonts w:ascii="Arial" w:cs="Arial" w:eastAsia="Arial" w:hAnsi="Arial"/>
          <w:color w:val="888888"/>
          <w:sz w:val="18"/>
          <w:szCs w:val="18"/>
        </w:rPr>
        <w:t xml:space="preserve">GeoPay — Sui Overflow 2026</w:t>
      </w:r>
    </w:p>
    <w:p>
      <w:pPr>
        <w:spacing w:after="0" w:before="0"/>
        <w:jc w:val="center"/>
      </w:pPr>
      <w:r>
        <w:rPr>
          <w:rFonts w:ascii="Arial" w:cs="Arial" w:eastAsia="Arial" w:hAnsi="Arial"/>
          <w:color w:val="888888"/>
          <w:sz w:val="18"/>
          <w:szCs w:val="18"/>
        </w:rPr>
        <w:t xml:space="preserve">GitHub: github.com/commandofss/GeoPay-Sui  |  Live: geopay-dapp.vercel.app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2026-05-19T18:28:12.935Z</dcterms:created>
  <dcterms:modified xsi:type="dcterms:W3CDTF">2026-05-19T18:28:12.935Z</dcterms:modified>
</cp:coreProperties>
</file>

<file path=docProps/custom.xml><?xml version="1.0" encoding="utf-8"?>
<Properties xmlns="http://schemas.openxmlformats.org/officeDocument/2006/custom-properties" xmlns:vt="http://schemas.openxmlformats.org/officeDocument/2006/docPropsVTypes"/>
</file>