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720840" cy="9506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et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6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40" w:after="40"/>
      </w:pPr>
      <w:r>
        <w:rPr>
          <w:rFonts w:ascii="Arial" w:hAnsi="Arial"/>
          <w:b/>
          <w:i w:val="0"/>
          <w:color w:val="FA7412"/>
          <w:sz w:val="16"/>
        </w:rPr>
        <w:t>00</w:t>
      </w:r>
    </w:p>
    <w:p>
      <w:pPr>
        <w:pStyle w:val="Heading1"/>
        <w:spacing w:before="160" w:after="120"/>
      </w:pPr>
      <w:r>
        <w:rPr>
          <w:rFonts w:ascii="Arial" w:hAnsi="Arial"/>
          <w:b/>
          <w:color w:val="080808"/>
          <w:sz w:val="48"/>
        </w:rP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024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7056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Definicao</w:t>
            </w:r>
          </w:p>
        </w:tc>
      </w:tr>
      <w:tr>
        <w:tc>
          <w:tcPr>
            <w:tcW w:type="dxa" w:w="3024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Projeto</w:t>
            </w:r>
          </w:p>
        </w:tc>
        <w:tc>
          <w:tcPr>
            <w:tcW w:type="dxa" w:w="705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Website institucional Commet.pro</w:t>
            </w:r>
          </w:p>
        </w:tc>
      </w:tr>
      <w:tr>
        <w:tc>
          <w:tcPr>
            <w:tcW w:type="dxa" w:w="3024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Tipo</w:t>
            </w:r>
          </w:p>
        </w:tc>
        <w:tc>
          <w:tcPr>
            <w:tcW w:type="dxa" w:w="705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Documento tecnico de alteracao, conteudo e design system</w:t>
            </w:r>
          </w:p>
        </w:tc>
      </w:tr>
      <w:tr>
        <w:tc>
          <w:tcPr>
            <w:tcW w:type="dxa" w:w="3024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Referencia de estrutura</w:t>
            </w:r>
          </w:p>
        </w:tc>
        <w:tc>
          <w:tcPr>
            <w:tcW w:type="dxa" w:w="705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Infracorp.global - hero, horizontes, bloco core, metodo, parceiros, time e CTA final</w:t>
            </w:r>
          </w:p>
        </w:tc>
      </w:tr>
      <w:tr>
        <w:tc>
          <w:tcPr>
            <w:tcW w:type="dxa" w:w="3024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Direcao da marca</w:t>
            </w:r>
          </w:p>
        </w:tc>
        <w:tc>
          <w:tcPr>
            <w:tcW w:type="dxa" w:w="705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Technology Growth Studio / AI-powered B2B solutions</w:t>
            </w:r>
          </w:p>
        </w:tc>
      </w:tr>
      <w:tr>
        <w:tc>
          <w:tcPr>
            <w:tcW w:type="dxa" w:w="3024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Hex principal estimado</w:t>
            </w:r>
          </w:p>
        </w:tc>
        <w:tc>
          <w:tcPr>
            <w:tcW w:type="dxa" w:w="705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Commet Orange #FA7412, extraido visualmente da logo enviada</w:t>
            </w:r>
          </w:p>
        </w:tc>
      </w:tr>
      <w:tr>
        <w:tc>
          <w:tcPr>
            <w:tcW w:type="dxa" w:w="3024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Observacao legal</w:t>
            </w:r>
          </w:p>
        </w:tc>
        <w:tc>
          <w:tcPr>
            <w:tcW w:type="dxa" w:w="705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Reproduzir a arquitetura e a sensacao visual, nao os assets proprietarios, textos ou identidade visual da referencia.</w:t>
            </w:r>
          </w:p>
        </w:tc>
      </w:tr>
    </w:tbl>
    <w:p>
      <w:pPr>
        <w:spacing w:after="40"/>
      </w:pP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Objetivo: especificar a adaptacao do site de referencia para uma versao Commet, mantendo a experiencia premium, cinematica e orientada a scroll, mas com linguagem, categorias, objetos 3D, conteudo e sistema visual proprios.</w:t>
      </w:r>
    </w:p>
    <w:p>
      <w:pPr>
        <w:spacing w:before="240" w:after="40"/>
      </w:pPr>
      <w:r>
        <w:rPr>
          <w:rFonts w:ascii="Arial" w:hAnsi="Arial"/>
          <w:b/>
          <w:i w:val="0"/>
          <w:color w:val="FA7412"/>
          <w:sz w:val="16"/>
        </w:rPr>
        <w:t>01</w:t>
      </w:r>
    </w:p>
    <w:p>
      <w:pPr>
        <w:pStyle w:val="Heading1"/>
        <w:spacing w:before="160" w:after="120"/>
      </w:pPr>
      <w:r>
        <w:rPr>
          <w:rFonts w:ascii="Arial" w:hAnsi="Arial"/>
          <w:b/>
          <w:color w:val="080808"/>
          <w:sz w:val="48"/>
        </w:rPr>
        <w:t>Resumo executivo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9"/>
        </w:rPr>
        <w:t>A Commet deve ser apresentada como um estudio de tecnologia, IA e crescimento inteligente para empresas B2B. A marca nasce da intersecao entre commit, codigo e entrega continua, e comet, velocidade, trajetoria e impacto. A experiencia do site deve comunicar exatamente isso: uma empresa compacta, tecnica, criativa e fora da caixa, capaz de construir desde presenca digital e performance ate software sob medida, automacoes, plataformas, apps e pequenos SaaS.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9"/>
        </w:rPr>
        <w:t>A estrutura recomendada segue a logica do site de referencia: um hero forte, uma area de categorias com objetos 3D em movimento, um bloco central de sistema/metodologia, um metodo em quatro etapas, uma area de stakeholders, apresentacao do squad e um CTA final. O conteudo abaixo ja esta escrito para uso direto na interface e acompanhado de orientacoes tecnicas de layout, animacao e componentes.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Promessa central: Engineering Intelligent Growth.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Posicionamento: AI-powered technology studio for B2B growth.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Personalidade: precisa, ousada, futurista, tecnica e direta.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Visual: dark cinematic, laranja orbital, branco tecnico, sombras profundas e objetos 3D com glow.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Diferencial: nao ser apenas agencia, software house ou consultoria; ser um squad de construcao digital.</w:t>
      </w:r>
    </w:p>
    <w:p>
      <w:pPr>
        <w:spacing w:before="240" w:after="40"/>
      </w:pPr>
      <w:r>
        <w:rPr>
          <w:rFonts w:ascii="Arial" w:hAnsi="Arial"/>
          <w:b/>
          <w:i w:val="0"/>
          <w:color w:val="FA7412"/>
          <w:sz w:val="16"/>
        </w:rPr>
        <w:t>02</w:t>
      </w:r>
    </w:p>
    <w:p>
      <w:pPr>
        <w:pStyle w:val="Heading1"/>
        <w:spacing w:before="160" w:after="120"/>
      </w:pPr>
      <w:r>
        <w:rPr>
          <w:rFonts w:ascii="Arial" w:hAnsi="Arial"/>
          <w:b/>
          <w:color w:val="080808"/>
          <w:sz w:val="48"/>
        </w:rPr>
        <w:t>Diagnostico da referencia Infracorp.global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9"/>
        </w:rPr>
        <w:t>A pagina de referencia organiza a narrativa com uma estrutura institucional simples e poderosa: hero com frase de posicionamento, secoes de horizontes/setores, um sistema proprietario, metodo em quatro fases, stakeholders, time e CTA final. Para a Commet, a alteracao deve preservar essa sequencia de leitura, mas trocar o universo de infraestrutura fisica por tecnologia, IA, performance e produto digital.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Referencia</w:t>
            </w:r>
          </w:p>
        </w:tc>
        <w:tc>
          <w:tcPr>
            <w:tcW w:type="dxa" w:w="5472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Alteracao Commet</w:t>
            </w:r>
          </w:p>
        </w:tc>
      </w:tr>
      <w:tr>
        <w:tc>
          <w:tcPr>
            <w:tcW w:type="dxa" w:w="460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Hero: Strategic by Nature / Systemic at Core</w:t>
            </w:r>
          </w:p>
        </w:tc>
        <w:tc>
          <w:tcPr>
            <w:tcW w:type="dxa" w:w="547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Hero: Engineering Intelligent Growth / Digital by Nature, Intelligent at Core</w:t>
            </w:r>
          </w:p>
        </w:tc>
      </w:tr>
      <w:tr>
        <w:tc>
          <w:tcPr>
            <w:tcW w:type="dxa" w:w="460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Horizons: Transportation, Energy, Space, Hypercenters</w:t>
            </w:r>
          </w:p>
        </w:tc>
        <w:tc>
          <w:tcPr>
            <w:tcW w:type="dxa" w:w="547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Horizons: Software &amp; Platforms, Growth &amp; Performance, AI &amp; Automation, Web &amp; Digital Presence</w:t>
            </w:r>
          </w:p>
        </w:tc>
      </w:tr>
      <w:tr>
        <w:tc>
          <w:tcPr>
            <w:tcW w:type="dxa" w:w="460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InfraCore: sistema operacional de IA para infraestrutura</w:t>
            </w:r>
          </w:p>
        </w:tc>
        <w:tc>
          <w:tcPr>
            <w:tcW w:type="dxa" w:w="547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Commet Core: sistema de entrega que une estrategia, IA, design, codigo e performance</w:t>
            </w:r>
          </w:p>
        </w:tc>
      </w:tr>
      <w:tr>
        <w:tc>
          <w:tcPr>
            <w:tcW w:type="dxa" w:w="460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From Vision to Visible: Define, Develop, Derisk, Deliver</w:t>
            </w:r>
          </w:p>
        </w:tc>
        <w:tc>
          <w:tcPr>
            <w:tcW w:type="dxa" w:w="547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From Spark to Impact: Discover, Design, Build, Launch</w:t>
            </w:r>
          </w:p>
        </w:tc>
      </w:tr>
      <w:tr>
        <w:tc>
          <w:tcPr>
            <w:tcW w:type="dxa" w:w="460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Partners as Heroes: governos, investidores, comunidades</w:t>
            </w:r>
          </w:p>
        </w:tc>
        <w:tc>
          <w:tcPr>
            <w:tcW w:type="dxa" w:w="547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Clients as Heroes: founders, marketing teams, operations, established companies</w:t>
            </w:r>
          </w:p>
        </w:tc>
      </w:tr>
      <w:tr>
        <w:tc>
          <w:tcPr>
            <w:tcW w:type="dxa" w:w="460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Meet the Team: diretoria institucional</w:t>
            </w:r>
          </w:p>
        </w:tc>
        <w:tc>
          <w:tcPr>
            <w:tcW w:type="dxa" w:w="547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Meet the Squad: duo fundador, rede de especialistas e futuro squad</w:t>
            </w:r>
          </w:p>
        </w:tc>
      </w:tr>
      <w:tr>
        <w:tc>
          <w:tcPr>
            <w:tcW w:type="dxa" w:w="460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Better Together: CTA institucional</w:t>
            </w:r>
          </w:p>
        </w:tc>
        <w:tc>
          <w:tcPr>
            <w:tcW w:type="dxa" w:w="547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Ready to create impact?: CTA comercial para projeto, sprint ou discovery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i w:val="0"/>
          <w:color w:val="FA7412"/>
          <w:sz w:val="16"/>
        </w:rPr>
        <w:t>03</w:t>
      </w:r>
    </w:p>
    <w:p>
      <w:pPr>
        <w:pStyle w:val="Heading1"/>
        <w:spacing w:before="160" w:after="120"/>
      </w:pPr>
      <w:r>
        <w:rPr>
          <w:rFonts w:ascii="Arial" w:hAnsi="Arial"/>
          <w:b/>
          <w:color w:val="080808"/>
          <w:sz w:val="48"/>
        </w:rPr>
        <w:t>Plataforma de marca Commet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Posicionamento</w:t>
      </w:r>
    </w:p>
    <w:p>
      <w:pPr>
        <w:spacing w:before="0" w:after="100" w:line="259" w:lineRule="auto"/>
      </w:pPr>
      <w:r>
        <w:rPr>
          <w:rFonts w:ascii="Arial" w:hAnsi="Arial"/>
          <w:b/>
          <w:i w:val="0"/>
          <w:color w:val="111111"/>
          <w:sz w:val="20"/>
        </w:rPr>
        <w:t>Commet e um estudio de tecnologia, IA e performance para empresas B2B que precisam construir, lancar e evoluir solucoes digitais com velocidade, qualidade e impacto.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Narrativa do nome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9"/>
        </w:rPr>
        <w:t>Commet carrega duas leituras intencionais. A primeira remete a commit: codigo, versionamento, desenvolvimento e entrega continua. A segunda remete a comet/cometa: velocidade, brilho, trajetoria e impacto. A marca deve transformar a ideia de "chegar fazendo barulho" em uma comunicacao premium: quando a Commet aparece, ela muda o cenario, cria movimento e nao passa despercebida.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Manifesto curto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9"/>
        </w:rPr>
        <w:t>Commet nasce da uniao entre codigo, criatividade e velocidade. Pensamos como produto, executamos como squad e usamos inteligencia artificial para acelerar tudo: sites, campanhas, automacoes, plataformas, apps e sistemas. Nao construimos apenas entregaveis. Construimos movimento digital para empresas que querem sair do comum.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Tom de voz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Direto e inteligente, sem parecer arrogante.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Tecnico, mas compreensivel para decisores B2B.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Futurista, mas pragmatica e orientada a entrega.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Ousado, com frases de impacto, mas sem exagerar na promessa.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Sempre conectando estrategia, IA, codigo e crescimento.</w:t>
      </w:r>
    </w:p>
    <w:p>
      <w:pPr>
        <w:spacing w:before="240" w:after="40"/>
      </w:pPr>
      <w:r>
        <w:rPr>
          <w:rFonts w:ascii="Arial" w:hAnsi="Arial"/>
          <w:b/>
          <w:i w:val="0"/>
          <w:color w:val="FA7412"/>
          <w:sz w:val="16"/>
        </w:rPr>
        <w:t>04</w:t>
      </w:r>
    </w:p>
    <w:p>
      <w:pPr>
        <w:pStyle w:val="Heading1"/>
        <w:spacing w:before="160" w:after="120"/>
      </w:pPr>
      <w:r>
        <w:rPr>
          <w:rFonts w:ascii="Arial" w:hAnsi="Arial"/>
          <w:b/>
          <w:color w:val="080808"/>
          <w:sz w:val="48"/>
        </w:rPr>
        <w:t>Design system visual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131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et_palet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31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Tokens de cor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C0C0E"/>
            <w:tcBorders>
              <w:top w:sz="4" w:val="single" w:color="444444"/>
              <w:left w:sz="4" w:val="single" w:color="444444"/>
              <w:bottom w:sz="4" w:val="single" w:color="444444"/>
              <w:right w:sz="4" w:val="single" w:color="444444"/>
            </w:tcBorders>
          </w:tcPr>
          <w:p>
            <w:r>
              <w:rPr>
                <w:rFonts w:ascii="Courier New" w:hAnsi="Courier New"/>
                <w:color w:val="F8F8F5"/>
                <w:sz w:val="15"/>
              </w:rPr>
              <w:t>:root {</w:t>
              <w:br/>
            </w:r>
            <w:r>
              <w:rPr>
                <w:rFonts w:ascii="Courier New" w:hAnsi="Courier New"/>
                <w:color w:val="F8F8F5"/>
                <w:sz w:val="15"/>
              </w:rPr>
              <w:t xml:space="preserve">  --commet-orange: #FA7412;</w:t>
              <w:br/>
            </w:r>
            <w:r>
              <w:rPr>
                <w:rFonts w:ascii="Courier New" w:hAnsi="Courier New"/>
                <w:color w:val="F8F8F5"/>
                <w:sz w:val="15"/>
              </w:rPr>
              <w:t xml:space="preserve">  --commet-orange-deep: #E56615;</w:t>
              <w:br/>
            </w:r>
            <w:r>
              <w:rPr>
                <w:rFonts w:ascii="Courier New" w:hAnsi="Courier New"/>
                <w:color w:val="F8F8F5"/>
                <w:sz w:val="15"/>
              </w:rPr>
              <w:t xml:space="preserve">  --commet-black: #030304;</w:t>
              <w:br/>
            </w:r>
            <w:r>
              <w:rPr>
                <w:rFonts w:ascii="Courier New" w:hAnsi="Courier New"/>
                <w:color w:val="F8F8F5"/>
                <w:sz w:val="15"/>
              </w:rPr>
              <w:t xml:space="preserve">  --commet-graphite: #0C0C0E;</w:t>
              <w:br/>
            </w:r>
            <w:r>
              <w:rPr>
                <w:rFonts w:ascii="Courier New" w:hAnsi="Courier New"/>
                <w:color w:val="F8F8F5"/>
                <w:sz w:val="15"/>
              </w:rPr>
              <w:t xml:space="preserve">  --commet-white: #F8F8F5;</w:t>
              <w:br/>
            </w:r>
            <w:r>
              <w:rPr>
                <w:rFonts w:ascii="Courier New" w:hAnsi="Courier New"/>
                <w:color w:val="F8F8F5"/>
                <w:sz w:val="15"/>
              </w:rPr>
              <w:t xml:space="preserve">  --commet-silver: #BEC2CA;</w:t>
              <w:br/>
            </w:r>
            <w:r>
              <w:rPr>
                <w:rFonts w:ascii="Courier New" w:hAnsi="Courier New"/>
                <w:color w:val="F8F8F5"/>
                <w:sz w:val="15"/>
              </w:rPr>
              <w:t xml:space="preserve">  --commet-steel: #6C727C;</w:t>
              <w:br/>
            </w:r>
            <w:r>
              <w:rPr>
                <w:rFonts w:ascii="Courier New" w:hAnsi="Courier New"/>
                <w:color w:val="F8F8F5"/>
                <w:sz w:val="15"/>
              </w:rPr>
              <w:t xml:space="preserve">  --commet-glow: rgba(250, 116, 18, 0.42);</w:t>
              <w:br/>
            </w:r>
            <w:r>
              <w:rPr>
                <w:rFonts w:ascii="Courier New" w:hAnsi="Courier New"/>
                <w:color w:val="F8F8F5"/>
                <w:sz w:val="15"/>
              </w:rPr>
              <w:t>}</w:t>
              <w:br/>
            </w:r>
          </w:p>
        </w:tc>
      </w:tr>
    </w:tbl>
    <w:p>
      <w:pPr>
        <w:spacing w:after="40"/>
      </w:pP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Uso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Elemento</w:t>
            </w:r>
          </w:p>
        </w:tc>
        <w:tc>
          <w:tcPr>
            <w:tcW w:type="dxa" w:w="7200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Especificacao</w:t>
            </w:r>
          </w:p>
        </w:tc>
      </w:tr>
      <w:tr>
        <w:tc>
          <w:tcPr>
            <w:tcW w:type="dxa" w:w="288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Background</w:t>
            </w:r>
          </w:p>
        </w:tc>
        <w:tc>
          <w:tcPr>
            <w:tcW w:type="dxa" w:w="720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Preto profundo com gradientes radiais laranja de baixa opacidade. Usar ruido leve para textura premium.</w:t>
            </w:r>
          </w:p>
        </w:tc>
      </w:tr>
      <w:tr>
        <w:tc>
          <w:tcPr>
            <w:tcW w:type="dxa" w:w="288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Texto principal</w:t>
            </w:r>
          </w:p>
        </w:tc>
        <w:tc>
          <w:tcPr>
            <w:tcW w:type="dxa" w:w="720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Branco/off-white. Hierarquia grande, espaçada e com forte contraste.</w:t>
            </w:r>
          </w:p>
        </w:tc>
      </w:tr>
      <w:tr>
        <w:tc>
          <w:tcPr>
            <w:tcW w:type="dxa" w:w="288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Acentos</w:t>
            </w:r>
          </w:p>
        </w:tc>
        <w:tc>
          <w:tcPr>
            <w:tcW w:type="dxa" w:w="720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Laranja #FA7412 em CTAs, numeracao de secoes, linhas orbitais, hover e particulas.</w:t>
            </w:r>
          </w:p>
        </w:tc>
      </w:tr>
      <w:tr>
        <w:tc>
          <w:tcPr>
            <w:tcW w:type="dxa" w:w="288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Cards</w:t>
            </w:r>
          </w:p>
        </w:tc>
        <w:tc>
          <w:tcPr>
            <w:tcW w:type="dxa" w:w="720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Graphite #0C0C0E com borda cinza escura, blur e glow laranja sutil no hover.</w:t>
            </w:r>
          </w:p>
        </w:tc>
      </w:tr>
      <w:tr>
        <w:tc>
          <w:tcPr>
            <w:tcW w:type="dxa" w:w="288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Imagens/3D</w:t>
            </w:r>
          </w:p>
        </w:tc>
        <w:tc>
          <w:tcPr>
            <w:tcW w:type="dxa" w:w="720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Objetos dark metal, vidro, luz laranja e trails cineticos. Evitar banco de imagens generico.</w:t>
            </w:r>
          </w:p>
        </w:tc>
      </w:tr>
      <w:tr>
        <w:tc>
          <w:tcPr>
            <w:tcW w:type="dxa" w:w="288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Logo</w:t>
            </w:r>
          </w:p>
        </w:tc>
        <w:tc>
          <w:tcPr>
            <w:tcW w:type="dxa" w:w="720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Usar versao negativa branca sobre fundo preto. Em fundos claros, usar versao monocromatica preta.</w:t>
            </w:r>
          </w:p>
        </w:tc>
      </w:tr>
    </w:tbl>
    <w:p>
      <w:pPr>
        <w:spacing w:after="40"/>
      </w:pP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Tipografia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Uso</w:t>
            </w:r>
          </w:p>
        </w:tc>
        <w:tc>
          <w:tcPr>
            <w:tcW w:type="dxa" w:w="3312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Fonte sugerida</w:t>
            </w:r>
          </w:p>
        </w:tc>
        <w:tc>
          <w:tcPr>
            <w:tcW w:type="dxa" w:w="4464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Aplicacao</w:t>
            </w:r>
          </w:p>
        </w:tc>
      </w:tr>
      <w:tr>
        <w:tc>
          <w:tcPr>
            <w:tcW w:type="dxa" w:w="2304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Display / Hero</w:t>
            </w:r>
          </w:p>
        </w:tc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Space Grotesk, Sora ou Neue Machina</w:t>
            </w:r>
          </w:p>
        </w:tc>
        <w:tc>
          <w:tcPr>
            <w:tcW w:type="dxa" w:w="446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Titulos grandes, linguagem futurista e tecnologia.</w:t>
            </w:r>
          </w:p>
        </w:tc>
      </w:tr>
      <w:tr>
        <w:tc>
          <w:tcPr>
            <w:tcW w:type="dxa" w:w="2304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Texto / UI</w:t>
            </w:r>
          </w:p>
        </w:tc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Inter, Manrope ou Helvetica Now</w:t>
            </w:r>
          </w:p>
        </w:tc>
        <w:tc>
          <w:tcPr>
            <w:tcW w:type="dxa" w:w="446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Leitura, nav, botoes, cards e textos longos.</w:t>
            </w:r>
          </w:p>
        </w:tc>
      </w:tr>
      <w:tr>
        <w:tc>
          <w:tcPr>
            <w:tcW w:type="dxa" w:w="2304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Mono / Codigo</w:t>
            </w:r>
          </w:p>
        </w:tc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JetBrains Mono ou IBM Plex Mono</w:t>
            </w:r>
          </w:p>
        </w:tc>
        <w:tc>
          <w:tcPr>
            <w:tcW w:type="dxa" w:w="446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Labels tecnicos, pequenos trechos de codigo e microcopy.</w:t>
            </w:r>
          </w:p>
        </w:tc>
      </w:tr>
    </w:tbl>
    <w:p>
      <w:pPr>
        <w:spacing w:after="40"/>
      </w:pP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Grid e layout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Desktop: grid de 12 colunas, max-width entre 1180 e 1320 px.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Espacamento vertical: secoes com 120 a 180 px no desktop; 72 a 96 px no mobile.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Hero: altura minima de 100vh, objeto 3D ocupando 40 a 55% da viewport.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Cards de categorias: telas full height, com scroll-snap opcional e objeto 3D fixo/lateral.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Mobile: reduzir objetos 3D para imagens otimizadas ou video curto com fallback estatico.</w:t>
      </w:r>
    </w:p>
    <w:p>
      <w:pPr>
        <w:spacing w:before="240" w:after="40"/>
      </w:pPr>
      <w:r>
        <w:rPr>
          <w:rFonts w:ascii="Arial" w:hAnsi="Arial"/>
          <w:b/>
          <w:i w:val="0"/>
          <w:color w:val="FA7412"/>
          <w:sz w:val="16"/>
        </w:rPr>
        <w:t>05</w:t>
      </w:r>
    </w:p>
    <w:p>
      <w:pPr>
        <w:pStyle w:val="Heading1"/>
        <w:spacing w:before="160" w:after="120"/>
      </w:pPr>
      <w:r>
        <w:rPr>
          <w:rFonts w:ascii="Arial" w:hAnsi="Arial"/>
          <w:b/>
          <w:color w:val="080808"/>
          <w:sz w:val="48"/>
        </w:rPr>
        <w:t>Arquitetura da pagina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0017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et_site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0017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Ordem</w:t>
            </w:r>
          </w:p>
        </w:tc>
        <w:tc>
          <w:tcPr>
            <w:tcW w:type="dxa" w:w="2160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Secao</w:t>
            </w:r>
          </w:p>
        </w:tc>
        <w:tc>
          <w:tcPr>
            <w:tcW w:type="dxa" w:w="5040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Objetivo</w:t>
            </w:r>
          </w:p>
        </w:tc>
        <w:tc>
          <w:tcPr>
            <w:tcW w:type="dxa" w:w="2448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CTA / Acao</w:t>
            </w:r>
          </w:p>
        </w:tc>
      </w:tr>
      <w:tr>
        <w:tc>
          <w:tcPr>
            <w:tcW w:type="dxa" w:w="100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01</w:t>
            </w:r>
          </w:p>
        </w:tc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Hero</w:t>
            </w:r>
          </w:p>
        </w:tc>
        <w:tc>
          <w:tcPr>
            <w:tcW w:type="dxa" w:w="504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Explicar rapidamente a promessa e criar impacto visual.</w:t>
            </w:r>
          </w:p>
        </w:tc>
        <w:tc>
          <w:tcPr>
            <w:tcW w:type="dxa" w:w="24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Start a project / Explore solutions</w:t>
            </w:r>
          </w:p>
        </w:tc>
      </w:tr>
      <w:tr>
        <w:tc>
          <w:tcPr>
            <w:tcW w:type="dxa" w:w="100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02</w:t>
            </w:r>
          </w:p>
        </w:tc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Horizons</w:t>
            </w:r>
          </w:p>
        </w:tc>
        <w:tc>
          <w:tcPr>
            <w:tcW w:type="dxa" w:w="504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Mostrar as categorias de solucao da Commet com objetos 3D.</w:t>
            </w:r>
          </w:p>
        </w:tc>
        <w:tc>
          <w:tcPr>
            <w:tcW w:type="dxa" w:w="24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Discover More</w:t>
            </w:r>
          </w:p>
        </w:tc>
      </w:tr>
      <w:tr>
        <w:tc>
          <w:tcPr>
            <w:tcW w:type="dxa" w:w="100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03</w:t>
            </w:r>
          </w:p>
        </w:tc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Commet Core</w:t>
            </w:r>
          </w:p>
        </w:tc>
        <w:tc>
          <w:tcPr>
            <w:tcW w:type="dxa" w:w="504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Apresentar o sistema interno que conecta IA, estrategia e execucao.</w:t>
            </w:r>
          </w:p>
        </w:tc>
        <w:tc>
          <w:tcPr>
            <w:tcW w:type="dxa" w:w="24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See how we work</w:t>
            </w:r>
          </w:p>
        </w:tc>
      </w:tr>
      <w:tr>
        <w:tc>
          <w:tcPr>
            <w:tcW w:type="dxa" w:w="100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04</w:t>
            </w:r>
          </w:p>
        </w:tc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Method</w:t>
            </w:r>
          </w:p>
        </w:tc>
        <w:tc>
          <w:tcPr>
            <w:tcW w:type="dxa" w:w="504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Mostrar processo em quatro fases.</w:t>
            </w:r>
          </w:p>
        </w:tc>
        <w:tc>
          <w:tcPr>
            <w:tcW w:type="dxa" w:w="24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Start with discovery</w:t>
            </w:r>
          </w:p>
        </w:tc>
      </w:tr>
      <w:tr>
        <w:tc>
          <w:tcPr>
            <w:tcW w:type="dxa" w:w="100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05</w:t>
            </w:r>
          </w:p>
        </w:tc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Heroes</w:t>
            </w:r>
          </w:p>
        </w:tc>
        <w:tc>
          <w:tcPr>
            <w:tcW w:type="dxa" w:w="504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Mostrar para quem a Commet cria valor.</w:t>
            </w:r>
          </w:p>
        </w:tc>
        <w:tc>
          <w:tcPr>
            <w:tcW w:type="dxa" w:w="24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Talk to Commet</w:t>
            </w:r>
          </w:p>
        </w:tc>
      </w:tr>
      <w:tr>
        <w:tc>
          <w:tcPr>
            <w:tcW w:type="dxa" w:w="100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06</w:t>
            </w:r>
          </w:p>
        </w:tc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Squad</w:t>
            </w:r>
          </w:p>
        </w:tc>
        <w:tc>
          <w:tcPr>
            <w:tcW w:type="dxa" w:w="504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Reforcar duo/squad e modelo de trabalho.</w:t>
            </w:r>
          </w:p>
        </w:tc>
        <w:tc>
          <w:tcPr>
            <w:tcW w:type="dxa" w:w="24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Meet the squad</w:t>
            </w:r>
          </w:p>
        </w:tc>
      </w:tr>
      <w:tr>
        <w:tc>
          <w:tcPr>
            <w:tcW w:type="dxa" w:w="100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07</w:t>
            </w:r>
          </w:p>
        </w:tc>
        <w:tc>
          <w:tcPr>
            <w:tcW w:type="dxa" w:w="216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CTA final</w:t>
            </w:r>
          </w:p>
        </w:tc>
        <w:tc>
          <w:tcPr>
            <w:tcW w:type="dxa" w:w="504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Converter visitante em conversa/projeto.</w:t>
            </w:r>
          </w:p>
        </w:tc>
        <w:tc>
          <w:tcPr>
            <w:tcW w:type="dxa" w:w="244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Create impact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i w:val="0"/>
          <w:color w:val="FA7412"/>
          <w:sz w:val="16"/>
        </w:rPr>
        <w:t>06</w:t>
      </w:r>
    </w:p>
    <w:p>
      <w:pPr>
        <w:pStyle w:val="Heading1"/>
        <w:spacing w:before="160" w:after="120"/>
      </w:pPr>
      <w:r>
        <w:rPr>
          <w:rFonts w:ascii="Arial" w:hAnsi="Arial"/>
          <w:b/>
          <w:color w:val="080808"/>
          <w:sz w:val="48"/>
        </w:rPr>
        <w:t>Conteudo e especificacao por secao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Hero / Above the Fold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Objetivo: Transmitir em 5 segundos que a Commet une tecnologia, IA e crescimento. Fundo preto, logo no topo, objeto 3D de cometa/codigo em movimento orbital.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488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Conteudo / Direcao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Eyebrow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AI-powered technology studio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Headline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Engineering Intelligent Growth.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Subheadline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Commet builds digital solutions for B2B companies that need to move faster: websites, campaigns, automations, platforms, apps and AI-powered systems.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CTA primario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Start a project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CTA secundario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Explore solutions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Motion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Cometa 3D atravessa lentamente a tela; particulas viram pequenos caracteres de codigo; scroll revela a proxima secao.</w:t>
            </w:r>
          </w:p>
        </w:tc>
      </w:tr>
    </w:tbl>
    <w:p>
      <w:pPr>
        <w:spacing w:after="40"/>
      </w:pP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Horizons / Categorias Commet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Objetivo: Substituir os setores da Infracorp por quatro categorias de solucao da Commet, cada uma com figura 3D propria.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488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Conteudo / Direcao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Section title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Explore our digital horizons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Intro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From performance to product, Commet designs and builds the systems that make companies move.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CTA repetido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Discover More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Motion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Cards em scroll horizontal/vertical com objeto 3D em sticky position, trail laranja e textos que entram em fade-up.</w:t>
            </w:r>
          </w:p>
        </w:tc>
      </w:tr>
    </w:tbl>
    <w:p>
      <w:pPr>
        <w:spacing w:after="40"/>
      </w:pP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The Commet Core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Objetivo: Explicar que a empresa possui um modelo operacional proprio, sem parecer grande demais ou burocratica.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488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Conteudo / Direcao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Headline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The Commet Core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Subheadline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A compact operating system for intelligent growth: strategy, AI, design, code, content and performance moving as one.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Body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Commet Core connects discovery, creative direction, product thinking, software engineering and data optimization into one execution layer. It is how a small team delivers with the speed of a squad and the precision of a product company.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Motion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Diagrama em camadas: Strategy, AI, Design, Code, Growth, Data. Camadas orbitam o centro com glow laranja.</w:t>
            </w:r>
          </w:p>
        </w:tc>
      </w:tr>
    </w:tbl>
    <w:p>
      <w:pPr>
        <w:spacing w:after="40"/>
      </w:pP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Method / From Spark to Impact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Objetivo: Mostrar processo simples e confiavel. Deve transmitir disciplina sem engessar a imagem da marca.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488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Conteudo / Direcao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Headline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From Spark to Impact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Subheadline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A four-step discipline to transform ideas into digital systems that perform.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Steps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Discover / Design / Build / Launch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Motion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Timeline vertical; cada etapa ativa uma luz orbital no objeto central.</w:t>
            </w:r>
          </w:p>
        </w:tc>
      </w:tr>
    </w:tbl>
    <w:p>
      <w:pPr>
        <w:spacing w:after="40"/>
      </w:pP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We make clients the heroes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Objetivo: Trocar stakeholders institucionais por perfis de clientes B2B.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488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Conteudo / Direcao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Headline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We make your business the signal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Subheadline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The work is ours. The momentum is yours.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Audiences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Founders, Marketing Teams, Operations, Established Companies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Motion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Cards com hover magnetico, linhas conectando problemas a solucoes.</w:t>
            </w:r>
          </w:p>
        </w:tc>
      </w:tr>
    </w:tbl>
    <w:p>
      <w:pPr>
        <w:spacing w:after="40"/>
      </w:pP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Meet the Squad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Objetivo: Apresentar o duo atual e a evolucao para squad sem parecer pequeno demais.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488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Conteudo / Direcao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Headline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Built as a duo. Designed to scale as a squad.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Body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Commet starts lean on purpose: fewer layers, faster decisions and direct involvement in every project. Around the core duo, specialists can be activated by project: design, copy, media, front-end, back-end, AI and automation.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Motion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Cards de membros em preto/branco com hover laranja e tags de especialidade.</w:t>
            </w:r>
          </w:p>
        </w:tc>
      </w:tr>
    </w:tbl>
    <w:p>
      <w:pPr>
        <w:spacing w:after="40"/>
      </w:pP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CTA Final / Better Together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Objetivo: Fechar com convite direto e premium para contato.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488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Conteudo / Direcao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Headline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Ready to create impact?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Subheadline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Every company has a next version. Commet helps build yours.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CTA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Talk to Commet</w:t>
            </w:r>
          </w:p>
        </w:tc>
      </w:tr>
      <w:tr>
        <w:tc>
          <w:tcPr>
            <w:tcW w:type="dxa" w:w="2592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Motion</w:t>
            </w:r>
          </w:p>
        </w:tc>
        <w:tc>
          <w:tcPr>
            <w:tcW w:type="dxa" w:w="748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Cometa retorna ao centro, rastro vira linha de contato/CTA.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i w:val="0"/>
          <w:color w:val="FA7412"/>
          <w:sz w:val="16"/>
        </w:rPr>
        <w:t>07</w:t>
      </w:r>
    </w:p>
    <w:p>
      <w:pPr>
        <w:pStyle w:val="Heading1"/>
        <w:spacing w:before="160" w:after="120"/>
      </w:pPr>
      <w:r>
        <w:rPr>
          <w:rFonts w:ascii="Arial" w:hAnsi="Arial"/>
          <w:b/>
          <w:color w:val="080808"/>
          <w:sz w:val="48"/>
        </w:rPr>
        <w:t>Copy final das categorias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Categoria</w:t>
            </w:r>
          </w:p>
        </w:tc>
        <w:tc>
          <w:tcPr>
            <w:tcW w:type="dxa" w:w="4896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Texto para site</w:t>
            </w:r>
          </w:p>
        </w:tc>
        <w:tc>
          <w:tcPr>
            <w:tcW w:type="dxa" w:w="3024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Objeto visual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Software &amp; Platforms</w:t>
            </w:r>
          </w:p>
        </w:tc>
        <w:tc>
          <w:tcPr>
            <w:tcW w:type="dxa" w:w="489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We design and build custom software, internal tools, dashboards, MVPs, micro-SaaS and platforms for companies that need more than off-the-shelf tools.</w:t>
            </w:r>
          </w:p>
        </w:tc>
        <w:tc>
          <w:tcPr>
            <w:tcW w:type="dxa" w:w="302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Visual 3D: cubo modular com linhas de codigo, endpoints, bancos de dados e mini dashboards orbitando.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Growth &amp; Performance</w:t>
            </w:r>
          </w:p>
        </w:tc>
        <w:tc>
          <w:tcPr>
            <w:tcW w:type="dxa" w:w="489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We create the digital assets that make companies visible, relevant and measurable: campaigns, creatives, landing pages, SEO, social media and conversion flows.</w:t>
            </w:r>
          </w:p>
        </w:tc>
        <w:tc>
          <w:tcPr>
            <w:tcW w:type="dxa" w:w="302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Visual 3D: nuvem de cards criativos, graficos e pixels em movimento, como uma constelacao de performance.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AI &amp; Automation</w:t>
            </w:r>
          </w:p>
        </w:tc>
        <w:tc>
          <w:tcPr>
            <w:tcW w:type="dxa" w:w="489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We apply artificial intelligence to automate workflows, generate content, support sales, analyze data and create agents that reduce manual work.</w:t>
            </w:r>
          </w:p>
        </w:tc>
        <w:tc>
          <w:tcPr>
            <w:tcW w:type="dxa" w:w="302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Visual 3D: nucleo neural com agentes orbitando; cada orb representa uma automacao ou fluxo.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Web &amp; Digital Presence</w:t>
            </w:r>
          </w:p>
        </w:tc>
        <w:tc>
          <w:tcPr>
            <w:tcW w:type="dxa" w:w="4896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We build websites, landing pages and digital experiences that communicate value, load fast and convert better across devices.</w:t>
            </w:r>
          </w:p>
        </w:tc>
        <w:tc>
          <w:tcPr>
            <w:tcW w:type="dxa" w:w="3024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Visual 3D: browser em perspectiva, camadas de UI, grid SEO e cursor/linha orbital.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i w:val="0"/>
          <w:color w:val="FA7412"/>
          <w:sz w:val="16"/>
        </w:rPr>
        <w:t>08</w:t>
      </w:r>
    </w:p>
    <w:p>
      <w:pPr>
        <w:pStyle w:val="Heading1"/>
        <w:spacing w:before="160" w:after="120"/>
      </w:pPr>
      <w:r>
        <w:rPr>
          <w:rFonts w:ascii="Arial" w:hAnsi="Arial"/>
          <w:b/>
          <w:color w:val="080808"/>
          <w:sz w:val="48"/>
        </w:rPr>
        <w:t>Objetos 3D, efeitos e interacoes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4175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et_3d_obje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Direcao para substituir aviao/missil da referencia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9"/>
        </w:rPr>
        <w:t>A referencia usa objetos cineticos ligados a transporte/espaco. Na Commet, os objetos devem pertencer ao universo digital, mas manter a sensacao de velocidade e impacto: cometa, rastro, particulas, codigo, interfaces, graficos e orbitas. A figura principal deve ser um cometa abstrato que, em certos momentos, se transforma visualmente em cursor, seta, commit marker ou simbolo de deploy.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Cena</w:t>
            </w:r>
          </w:p>
        </w:tc>
        <w:tc>
          <w:tcPr>
            <w:tcW w:type="dxa" w:w="5328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Descricao tecnica</w:t>
            </w:r>
          </w:p>
        </w:tc>
        <w:tc>
          <w:tcPr>
            <w:tcW w:type="dxa" w:w="2592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Observacoes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Hero Comet</w:t>
            </w:r>
          </w:p>
        </w:tc>
        <w:tc>
          <w:tcPr>
            <w:tcW w:type="dxa" w:w="532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Objeto 3D principal: corpo escuro/metalico com nucleo laranja e rastro de particulas. Pode seguir levemente o mouse no desktop.</w:t>
            </w:r>
          </w:p>
        </w:tc>
        <w:tc>
          <w:tcPr>
            <w:tcW w:type="dxa" w:w="259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Fallback mobile: PNG/WebP animado ou video curto em loop.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Development Object</w:t>
            </w:r>
          </w:p>
        </w:tc>
        <w:tc>
          <w:tcPr>
            <w:tcW w:type="dxa" w:w="532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Cubo/terminal em perspectiva, snippets de codigo como particulas, conexoes API em linhas finas.</w:t>
            </w:r>
          </w:p>
        </w:tc>
        <w:tc>
          <w:tcPr>
            <w:tcW w:type="dxa" w:w="259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Evitar codigo real extenso; usar microtrechos visuais.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Marketing Object</w:t>
            </w:r>
          </w:p>
        </w:tc>
        <w:tc>
          <w:tcPr>
            <w:tcW w:type="dxa" w:w="532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Cards, graficos, cursor e pixels formando uma curva de crescimento.</w:t>
            </w:r>
          </w:p>
        </w:tc>
        <w:tc>
          <w:tcPr>
            <w:tcW w:type="dxa" w:w="259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Conectar com social media, criativos, SEO e performance.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AI Object</w:t>
            </w:r>
          </w:p>
        </w:tc>
        <w:tc>
          <w:tcPr>
            <w:tcW w:type="dxa" w:w="532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Esfera neural com nos e orbitas; pequenas luzes acendem conforme o scroll.</w:t>
            </w:r>
          </w:p>
        </w:tc>
        <w:tc>
          <w:tcPr>
            <w:tcW w:type="dxa" w:w="259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Usar glow laranja com cuidado para nao parecer cripto/generico.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Web Object</w:t>
            </w:r>
          </w:p>
        </w:tc>
        <w:tc>
          <w:tcPr>
            <w:tcW w:type="dxa" w:w="532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Janela de browser em 3D com camadas de layout, grid e metrica de performance.</w:t>
            </w:r>
          </w:p>
        </w:tc>
        <w:tc>
          <w:tcPr>
            <w:tcW w:type="dxa" w:w="259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Boa oportunidade para mostrar sites, landing pages e UX.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CTA Object</w:t>
            </w:r>
          </w:p>
        </w:tc>
        <w:tc>
          <w:tcPr>
            <w:tcW w:type="dxa" w:w="532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Cometa retorna e deixa um trail que vira linha/underline do CTA.</w:t>
            </w:r>
          </w:p>
        </w:tc>
        <w:tc>
          <w:tcPr>
            <w:tcW w:type="dxa" w:w="259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Finalizar com sensacao de ciclo completo.</w:t>
            </w:r>
          </w:p>
        </w:tc>
      </w:tr>
    </w:tbl>
    <w:p>
      <w:pPr>
        <w:spacing w:after="40"/>
      </w:pP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Stack de animacao recomendada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Three.js ou React Three Fiber para objetos WebGL quando houver capacidade tecnica.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GSAP ScrollTrigger para sequencias de scroll e transicoes cinematicas.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Lenis ou equivalente para smooth scroll, com cuidado em mobile.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Lottie ou video WebM/MP4 leve como fallback quando o 3D for pesado.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prefers-reduced-motion: oferecer versao sem animacoes complexas para acessibilidade.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Regras de performance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Evitar carregar todos os objetos 3D no primeiro load; lazy load por secao.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Manter cada GLB preferencialmente abaixo de 1,5 MB comprimido; usar Draco quando fizer sentido.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Usar textura pequena, materiais simples e luzes limitadas para manter FPS estavel.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No mobile, priorizar imagens/videoloops e reduzir particulas.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Animacoes devem reforcar conteudo. Nunca sacrificar leitura pelo efeito.</w:t>
      </w:r>
    </w:p>
    <w:p>
      <w:pPr>
        <w:spacing w:before="240" w:after="40"/>
      </w:pPr>
      <w:r>
        <w:rPr>
          <w:rFonts w:ascii="Arial" w:hAnsi="Arial"/>
          <w:b/>
          <w:i w:val="0"/>
          <w:color w:val="FA7412"/>
          <w:sz w:val="16"/>
        </w:rPr>
        <w:t>09</w:t>
      </w:r>
    </w:p>
    <w:p>
      <w:pPr>
        <w:pStyle w:val="Heading1"/>
        <w:spacing w:before="160" w:after="120"/>
      </w:pPr>
      <w:r>
        <w:rPr>
          <w:rFonts w:ascii="Arial" w:hAnsi="Arial"/>
          <w:b/>
          <w:color w:val="080808"/>
          <w:sz w:val="48"/>
        </w:rPr>
        <w:t>Componentes e especificacao tecnica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Componente</w:t>
            </w:r>
          </w:p>
        </w:tc>
        <w:tc>
          <w:tcPr>
            <w:tcW w:type="dxa" w:w="4608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Responsabilidade</w:t>
            </w:r>
          </w:p>
        </w:tc>
        <w:tc>
          <w:tcPr>
            <w:tcW w:type="dxa" w:w="3312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Estados / comportamento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Header</w:t>
            </w:r>
          </w:p>
        </w:tc>
        <w:tc>
          <w:tcPr>
            <w:tcW w:type="dxa" w:w="460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Logo, navegacao, CTA e menu mobile.</w:t>
            </w:r>
          </w:p>
        </w:tc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Transparente no topo; fundo blur/graphite apos scroll; CTA laranja no hover.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HeroScene</w:t>
            </w:r>
          </w:p>
        </w:tc>
        <w:tc>
          <w:tcPr>
            <w:tcW w:type="dxa" w:w="460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Render do cometa/codigo e textos principais.</w:t>
            </w:r>
          </w:p>
        </w:tc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Mouse parallax, particles, fade-in e scroll cue.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HorizonsSection</w:t>
            </w:r>
          </w:p>
        </w:tc>
        <w:tc>
          <w:tcPr>
            <w:tcW w:type="dxa" w:w="460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Lista de categorias/solucoes.</w:t>
            </w:r>
          </w:p>
        </w:tc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Card ativo controla objeto 3D; Discover More abre modal ou ancora.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CommetCore</w:t>
            </w:r>
          </w:p>
        </w:tc>
        <w:tc>
          <w:tcPr>
            <w:tcW w:type="dxa" w:w="460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Diagrama de camadas do sistema de entrega.</w:t>
            </w:r>
          </w:p>
        </w:tc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Camadas orbitais, tooltips e microcopy por camada.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MethodTimeline</w:t>
            </w:r>
          </w:p>
        </w:tc>
        <w:tc>
          <w:tcPr>
            <w:tcW w:type="dxa" w:w="460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Processo Discover, Design, Build, Launch.</w:t>
            </w:r>
          </w:p>
        </w:tc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Step ativo por scroll; cada etapa acende uma linha.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AudienceCards</w:t>
            </w:r>
          </w:p>
        </w:tc>
        <w:tc>
          <w:tcPr>
            <w:tcW w:type="dxa" w:w="460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Cards para clientes e casos de uso.</w:t>
            </w:r>
          </w:p>
        </w:tc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Hover magnetico, borda laranja e CTA contextual.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SquadSection</w:t>
            </w:r>
          </w:p>
        </w:tc>
        <w:tc>
          <w:tcPr>
            <w:tcW w:type="dxa" w:w="460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Apresentacao do duo e rede de especialistas.</w:t>
            </w:r>
          </w:p>
        </w:tc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Cards com tags; sem prometer uma equipe maior do que a real.</w:t>
            </w:r>
          </w:p>
        </w:tc>
      </w:tr>
      <w:tr>
        <w:tc>
          <w:tcPr>
            <w:tcW w:type="dxa" w:w="216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FinalCTA</w:t>
            </w:r>
          </w:p>
        </w:tc>
        <w:tc>
          <w:tcPr>
            <w:tcW w:type="dxa" w:w="4608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Contato e conversao.</w:t>
            </w:r>
          </w:p>
        </w:tc>
        <w:tc>
          <w:tcPr>
            <w:tcW w:type="dxa" w:w="331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Background com trail do cometa e CTA destacado.</w:t>
            </w:r>
          </w:p>
        </w:tc>
      </w:tr>
    </w:tbl>
    <w:p>
      <w:pPr>
        <w:spacing w:after="40"/>
      </w:pP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Modelo de dados sugerido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C0C0E"/>
            <w:tcBorders>
              <w:top w:sz="4" w:val="single" w:color="444444"/>
              <w:left w:sz="4" w:val="single" w:color="444444"/>
              <w:bottom w:sz="4" w:val="single" w:color="444444"/>
              <w:right w:sz="4" w:val="single" w:color="444444"/>
            </w:tcBorders>
          </w:tcPr>
          <w:p>
            <w:r>
              <w:rPr>
                <w:rFonts w:ascii="Courier New" w:hAnsi="Courier New"/>
                <w:color w:val="F8F8F5"/>
                <w:sz w:val="15"/>
              </w:rPr>
              <w:t>type Horizon = {</w:t>
              <w:br/>
            </w:r>
            <w:r>
              <w:rPr>
                <w:rFonts w:ascii="Courier New" w:hAnsi="Courier New"/>
                <w:color w:val="F8F8F5"/>
                <w:sz w:val="15"/>
              </w:rPr>
              <w:t xml:space="preserve">  slug: 'software' | 'growth' | 'ai' | 'web';</w:t>
              <w:br/>
            </w:r>
            <w:r>
              <w:rPr>
                <w:rFonts w:ascii="Courier New" w:hAnsi="Courier New"/>
                <w:color w:val="F8F8F5"/>
                <w:sz w:val="15"/>
              </w:rPr>
              <w:t xml:space="preserve">  title: string;</w:t>
              <w:br/>
            </w:r>
            <w:r>
              <w:rPr>
                <w:rFonts w:ascii="Courier New" w:hAnsi="Courier New"/>
                <w:color w:val="F8F8F5"/>
                <w:sz w:val="15"/>
              </w:rPr>
              <w:t xml:space="preserve">  kicker: string;</w:t>
              <w:br/>
            </w:r>
            <w:r>
              <w:rPr>
                <w:rFonts w:ascii="Courier New" w:hAnsi="Courier New"/>
                <w:color w:val="F8F8F5"/>
                <w:sz w:val="15"/>
              </w:rPr>
              <w:t xml:space="preserve">  description: string;</w:t>
              <w:br/>
            </w:r>
            <w:r>
              <w:rPr>
                <w:rFonts w:ascii="Courier New" w:hAnsi="Courier New"/>
                <w:color w:val="F8F8F5"/>
                <w:sz w:val="15"/>
              </w:rPr>
              <w:t xml:space="preserve">  services: string[];</w:t>
              <w:br/>
            </w:r>
            <w:r>
              <w:rPr>
                <w:rFonts w:ascii="Courier New" w:hAnsi="Courier New"/>
                <w:color w:val="F8F8F5"/>
                <w:sz w:val="15"/>
              </w:rPr>
              <w:t xml:space="preserve">  visual: 'dev-cube' | 'growth-constellation' | 'ai-core' | 'web-layers';</w:t>
              <w:br/>
            </w:r>
            <w:r>
              <w:rPr>
                <w:rFonts w:ascii="Courier New" w:hAnsi="Courier New"/>
                <w:color w:val="F8F8F5"/>
                <w:sz w:val="15"/>
              </w:rPr>
              <w:t xml:space="preserve">  ctaLabel: string;</w:t>
              <w:br/>
            </w:r>
            <w:r>
              <w:rPr>
                <w:rFonts w:ascii="Courier New" w:hAnsi="Courier New"/>
                <w:color w:val="F8F8F5"/>
                <w:sz w:val="15"/>
              </w:rPr>
              <w:t>};</w:t>
              <w:br/>
            </w:r>
          </w:p>
        </w:tc>
      </w:tr>
    </w:tbl>
    <w:p>
      <w:pPr>
        <w:spacing w:after="40"/>
      </w:pP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SEO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7200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Conteudo sugerido</w:t>
            </w:r>
          </w:p>
        </w:tc>
      </w:tr>
      <w:tr>
        <w:tc>
          <w:tcPr>
            <w:tcW w:type="dxa" w:w="288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Title</w:t>
            </w:r>
          </w:p>
        </w:tc>
        <w:tc>
          <w:tcPr>
            <w:tcW w:type="dxa" w:w="720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Commet.pro - Technology, AI and Performance Studio</w:t>
            </w:r>
          </w:p>
        </w:tc>
      </w:tr>
      <w:tr>
        <w:tc>
          <w:tcPr>
            <w:tcW w:type="dxa" w:w="288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Meta description</w:t>
            </w:r>
          </w:p>
        </w:tc>
        <w:tc>
          <w:tcPr>
            <w:tcW w:type="dxa" w:w="720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Commet is an AI-powered technology studio building websites, software, automations, platforms and growth systems for B2B companies.</w:t>
            </w:r>
          </w:p>
        </w:tc>
      </w:tr>
      <w:tr>
        <w:tc>
          <w:tcPr>
            <w:tcW w:type="dxa" w:w="288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H1</w:t>
            </w:r>
          </w:p>
        </w:tc>
        <w:tc>
          <w:tcPr>
            <w:tcW w:type="dxa" w:w="720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Engineering Intelligent Growth.</w:t>
            </w:r>
          </w:p>
        </w:tc>
      </w:tr>
      <w:tr>
        <w:tc>
          <w:tcPr>
            <w:tcW w:type="dxa" w:w="288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Keywords conceituais</w:t>
            </w:r>
          </w:p>
        </w:tc>
        <w:tc>
          <w:tcPr>
            <w:tcW w:type="dxa" w:w="720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technology studio, AI automation, B2B software, performance marketing, web development, digital products</w:t>
            </w:r>
          </w:p>
        </w:tc>
      </w:tr>
      <w:tr>
        <w:tc>
          <w:tcPr>
            <w:tcW w:type="dxa" w:w="2880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Idioma recomendado</w:t>
            </w:r>
          </w:p>
        </w:tc>
        <w:tc>
          <w:tcPr>
            <w:tcW w:type="dxa" w:w="7200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Site principal em ingles com opcao futura em portugues. A marca ganha mais peso com a tagline em ingles.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i w:val="0"/>
          <w:color w:val="FA7412"/>
          <w:sz w:val="16"/>
        </w:rPr>
        <w:t>10</w:t>
      </w:r>
    </w:p>
    <w:p>
      <w:pPr>
        <w:pStyle w:val="Heading1"/>
        <w:spacing w:before="160" w:after="120"/>
      </w:pPr>
      <w:r>
        <w:rPr>
          <w:rFonts w:ascii="Arial" w:hAnsi="Arial"/>
          <w:b/>
          <w:color w:val="080808"/>
          <w:sz w:val="48"/>
        </w:rPr>
        <w:t>Copy consolidada para homepage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Hero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AI-powered technology studio</w:t>
        <w:br/>
        <w:t>Engineering Intelligent Growth.</w:t>
        <w:br/>
        <w:t>Commet builds digital solutions for B2B companies that need to move faster: websites, campaigns, automations, platforms, apps and AI-powered systems.</w:t>
        <w:br/>
        <w:t>Start a project | Explore solutions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Intro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Built to move businesses forward.</w:t>
        <w:br/>
        <w:t>Companies do not need only digital presence. They need systems, campaigns, experiences and automations working together. Commet acts as an intelligent growth partner: we understand the problem, design the path, build with technology and optimize with data.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Horizons Intro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Explore our digital horizons.</w:t>
        <w:br/>
        <w:t>From performance to product, Commet designs and builds the systems that make companies move.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Commet Core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The Commet Core.</w:t>
        <w:br/>
        <w:t>A compact operating system for intelligent growth: strategy, AI, design, code, content and performance moving as one.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Method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From Spark to Impact.</w:t>
        <w:br/>
        <w:t>A four-step discipline to transform ideas into digital systems that perform: Discover, Design, Build and Launch.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Heroes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We make your business the signal.</w:t>
        <w:br/>
        <w:t>The work is ours. The momentum is yours. We help founders, marketing teams, operations and established companies turn digital ambition into working systems.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Squad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Built as a duo. Designed to scale as a squad.</w:t>
        <w:br/>
        <w:t>Commet starts lean on purpose: fewer layers, faster decisions and direct involvement in every project. Around the core duo, specialists can be activated by project.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Final CTA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Ready to create impact?</w:t>
        <w:br/>
        <w:t>Every company has a next version. Commet helps build yours.</w:t>
        <w:br/>
        <w:t>Talk to Commet</w:t>
      </w:r>
    </w:p>
    <w:p>
      <w:pPr>
        <w:spacing w:before="240" w:after="40"/>
      </w:pPr>
      <w:r>
        <w:rPr>
          <w:rFonts w:ascii="Arial" w:hAnsi="Arial"/>
          <w:b/>
          <w:i w:val="0"/>
          <w:color w:val="FA7412"/>
          <w:sz w:val="16"/>
        </w:rPr>
        <w:t>11</w:t>
      </w:r>
    </w:p>
    <w:p>
      <w:pPr>
        <w:pStyle w:val="Heading1"/>
        <w:spacing w:before="160" w:after="120"/>
      </w:pPr>
      <w:r>
        <w:rPr>
          <w:rFonts w:ascii="Arial" w:hAnsi="Arial"/>
          <w:b/>
          <w:color w:val="080808"/>
          <w:sz w:val="48"/>
        </w:rPr>
        <w:t>Checklist de implementacao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Design e conteudo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Validar logo final em SVG/PNG transparente e versoes negativa, positiva e icone.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Confirmar se a tagline oficial sera "Engineering Intelligent Growth." em todas as telas.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Escolher lingua primaria do site: recomendacao atual, ingles para interface e portugues para materiais comerciais futuros.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Aprovar quatro categorias principais antes de modelar objetos 3D.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Criar biblioteca de microcopy para CTAs, labels e hover states.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Tecnico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Definir stack: Next.js, Astro ou Webflow custom com embed WebGL, dependendo de budget e prazo.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Prototipar primeiro o hero e uma categoria 3D antes de replicar para o site inteiro.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Implementar fallback mobile desde o inicio, nao como correcao final.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Adicionar analytics, eventos de CTA e formulario de contato integrado.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Testar Lighthouse, acessibilidade, responsividade e performance em dispositivos reais.</w:t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Assets necessarios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Logo vetorial final em SVG.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Icone/simbolo isolado do cometa.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Paleta oficial aprovada a partir do #FA7412.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Modelos 3D ou motion assets para cometa, desenvolvimento, marketing, IA e web.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Fotos ou avatares do duo/squad, se a secao de time for mantida.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Formulario/WhatsApp/Email de contato oficial para CTA.</w:t>
      </w:r>
    </w:p>
    <w:p>
      <w:pPr>
        <w:spacing w:before="240" w:after="40"/>
      </w:pPr>
      <w:r>
        <w:rPr>
          <w:rFonts w:ascii="Arial" w:hAnsi="Arial"/>
          <w:b/>
          <w:i w:val="0"/>
          <w:color w:val="FA7412"/>
          <w:sz w:val="16"/>
        </w:rPr>
        <w:t>12</w:t>
      </w:r>
    </w:p>
    <w:p>
      <w:pPr>
        <w:pStyle w:val="Heading1"/>
        <w:spacing w:before="160" w:after="120"/>
      </w:pPr>
      <w:r>
        <w:rPr>
          <w:rFonts w:ascii="Arial" w:hAnsi="Arial"/>
          <w:b/>
          <w:color w:val="080808"/>
          <w:sz w:val="48"/>
        </w:rPr>
        <w:t>Criterios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Area</w:t>
            </w:r>
          </w:p>
        </w:tc>
        <w:tc>
          <w:tcPr>
            <w:tcW w:type="dxa" w:w="7632"/>
            <w:shd w:fill="030304"/>
            <w:vAlign w:val="center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244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Identidade</w:t>
            </w:r>
          </w:p>
        </w:tc>
        <w:tc>
          <w:tcPr>
            <w:tcW w:type="dxa" w:w="763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O site deve ser reconhecivel como Commet, sem dependencia visual dos assets da referencia.</w:t>
            </w:r>
          </w:p>
        </w:tc>
      </w:tr>
      <w:tr>
        <w:tc>
          <w:tcPr>
            <w:tcW w:type="dxa" w:w="244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Narrativa</w:t>
            </w:r>
          </w:p>
        </w:tc>
        <w:tc>
          <w:tcPr>
            <w:tcW w:type="dxa" w:w="763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Em ate 10 segundos, o visitante deve entender que a Commet une tecnologia, IA e crescimento B2B.</w:t>
            </w:r>
          </w:p>
        </w:tc>
      </w:tr>
      <w:tr>
        <w:tc>
          <w:tcPr>
            <w:tcW w:type="dxa" w:w="244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Efeitos</w:t>
            </w:r>
          </w:p>
        </w:tc>
        <w:tc>
          <w:tcPr>
            <w:tcW w:type="dxa" w:w="763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Objetos 3D devem reforcar as categorias e nao parecer decoracao aleatoria.</w:t>
            </w:r>
          </w:p>
        </w:tc>
      </w:tr>
      <w:tr>
        <w:tc>
          <w:tcPr>
            <w:tcW w:type="dxa" w:w="244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Performance</w:t>
            </w:r>
          </w:p>
        </w:tc>
        <w:tc>
          <w:tcPr>
            <w:tcW w:type="dxa" w:w="763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Experiencia fluida em desktop e mobile, com fallback para animacoes pesadas.</w:t>
            </w:r>
          </w:p>
        </w:tc>
      </w:tr>
      <w:tr>
        <w:tc>
          <w:tcPr>
            <w:tcW w:type="dxa" w:w="244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Conversao</w:t>
            </w:r>
          </w:p>
        </w:tc>
        <w:tc>
          <w:tcPr>
            <w:tcW w:type="dxa" w:w="763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CTAs claros para iniciar projeto, falar com o time ou explorar solucoes.</w:t>
            </w:r>
          </w:p>
        </w:tc>
      </w:tr>
      <w:tr>
        <w:tc>
          <w:tcPr>
            <w:tcW w:type="dxa" w:w="2448"/>
            <w:shd w:fill="F4F4F1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42424"/>
                <w:sz w:val="16"/>
              </w:rPr>
              <w:t>Escalabilidade</w:t>
            </w:r>
          </w:p>
        </w:tc>
        <w:tc>
          <w:tcPr>
            <w:tcW w:type="dxa" w:w="7632"/>
            <w:vAlign w:val="top"/>
            <w:tcBorders>
              <w:top w:sz="4" w:val="single" w:color="D9D9D9"/>
              <w:left w:sz="4" w:val="single" w:color="D9D9D9"/>
              <w:bottom w:sz="4" w:val="single" w:color="D9D9D9"/>
              <w:right w:sz="4" w:val="single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42424"/>
                <w:sz w:val="16"/>
              </w:rPr>
              <w:t>Estrutura deve permitir adicionar cases, blog, paginas de servico e idioma PT/EN no futuro.</w:t>
            </w:r>
          </w:p>
        </w:tc>
      </w:tr>
    </w:tbl>
    <w:p>
      <w:pPr>
        <w:spacing w:after="40"/>
      </w:pPr>
    </w:p>
    <w:p>
      <w:pPr>
        <w:spacing w:before="240" w:after="40"/>
      </w:pPr>
      <w:r>
        <w:rPr>
          <w:rFonts w:ascii="Arial" w:hAnsi="Arial"/>
          <w:b/>
          <w:i w:val="0"/>
          <w:color w:val="FA7412"/>
          <w:sz w:val="16"/>
        </w:rPr>
        <w:t>13</w:t>
      </w:r>
    </w:p>
    <w:p>
      <w:pPr>
        <w:pStyle w:val="Heading1"/>
        <w:spacing w:before="160" w:after="120"/>
      </w:pPr>
      <w:r>
        <w:rPr>
          <w:rFonts w:ascii="Arial" w:hAnsi="Arial"/>
          <w:b/>
          <w:color w:val="080808"/>
          <w:sz w:val="48"/>
        </w:rPr>
        <w:t>Anexo A - logo e aplicacoes visuais</w:t>
      </w:r>
    </w:p>
    <w:p>
      <w:pPr>
        <w:spacing w:before="0" w:after="100" w:line="259" w:lineRule="auto"/>
      </w:pPr>
      <w:r>
        <w:rPr>
          <w:rFonts w:ascii="Arial" w:hAnsi="Arial"/>
          <w:b w:val="0"/>
          <w:i w:val="0"/>
          <w:color w:val="2A2A2A"/>
          <w:sz w:val="18"/>
        </w:rPr>
        <w:t>A imagem abaixo foi usada como referencia visual da marca. Para producao final, o ideal e substituir por arquivos vetoriais oficiais.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232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5-12 at 23.38.29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20" w:after="120"/>
      </w:pPr>
      <w:r>
        <w:rPr>
          <w:rFonts w:ascii="Arial" w:hAnsi="Arial"/>
          <w:b/>
          <w:color w:val="171717"/>
          <w:sz w:val="32"/>
        </w:rPr>
        <w:t>Notas finais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Nao usar simbolo de marca registrada se a Commet ainda nao tiver registro formal.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Evitar linguagem muito generica de agencia, como "solucoes personalizadas" sem contexto.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Usar a ideia de impacto com elegancia: "muda o cenario" e "cria movimento" em vez de "faz estrago".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2A2A2A"/>
          <w:sz w:val="18"/>
        </w:rPr>
        <w:t>Construir a primeira versao com foco em conversao e portabilidade, deixando blog/cases para fase 2.</w:t>
      </w:r>
    </w:p>
    <w:sectPr w:rsidR="00FC693F" w:rsidRPr="0006063C" w:rsidSect="00034616">
      <w:footerReference w:type="first" r:id="rId10"/>
      <w:footerReference w:type="default" r:id="rId11"/>
      <w:pgSz w:w="12240" w:h="15840"/>
      <w:pgMar w:top="792" w:right="1008" w:bottom="792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77777"/>
        <w:sz w:val="14"/>
      </w:rPr>
      <w:t>Commet.pro - Documento Tecnico de Alteracao | Engineering Intelligent Growth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A2A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Tecnico de Alteracao - Site Commet.pro</dc:title>
  <dc:subject>Commet.pro website alteration and design system</dc:subject>
  <dc:creator>OpenAI</dc:creator>
  <cp:keywords>Commet, website, design system, technology studio, AI, performance</cp:keywords>
  <dc:description>Generated from user-provided logo references and public structural reference.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