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000000" w:rsidP="00C7155C">
      <w:pPr>
        <w:pStyle w:val="Title"/>
      </w:pPr>
      <w:fldSimple w:instr=" TITLE  \* MERGEFORMAT ">
        <w:r w:rsidR="00C7155C">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bl>
    <w:p w14:paraId="3DCF6930" w14:textId="77777777"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lastRenderedPageBreak/>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Default="00C7155C" w:rsidP="00C7155C">
            <w:pPr>
              <w:pStyle w:val="ListParagraph"/>
              <w:widowControl/>
              <w:numPr>
                <w:ilvl w:val="0"/>
                <w:numId w:val="33"/>
              </w:numPr>
              <w:spacing w:line="240" w:lineRule="auto"/>
              <w:rPr>
                <w:lang w:val="en-AU"/>
              </w:rPr>
            </w:pPr>
            <w:r>
              <w:rPr>
                <w:lang w:val="en-AU"/>
              </w:rPr>
              <w:t>integration with preinstalled app</w:t>
            </w:r>
            <w:r w:rsidR="00061888">
              <w:rPr>
                <w:lang w:val="en-AU"/>
              </w:rPr>
              <w:t>s</w:t>
            </w:r>
            <w:r>
              <w:rPr>
                <w:lang w:val="en-AU"/>
              </w:rPr>
              <w:t xml:space="preserve">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r w:rsidRPr="00061888">
              <w:rPr>
                <w:color w:val="000000" w:themeColor="text1"/>
              </w:rPr>
              <w:fldChar w:fldCharType="begin"/>
            </w:r>
            <w:r w:rsidRPr="00061888">
              <w:rPr>
                <w:color w:val="000000" w:themeColor="text1"/>
              </w:rPr>
              <w:instrText>HYPERLINK "https://developers.google.com/gmail/api/reference/rest"</w:instrText>
            </w:r>
            <w:r w:rsidRPr="00061888">
              <w:rPr>
                <w:color w:val="000000" w:themeColor="text1"/>
              </w:rPr>
            </w:r>
            <w:r w:rsidRPr="00061888">
              <w:rPr>
                <w:color w:val="000000" w:themeColor="text1"/>
              </w:rPr>
              <w:fldChar w:fldCharType="separate"/>
            </w:r>
            <w:r w:rsidR="00C7155C" w:rsidRPr="00061888">
              <w:rPr>
                <w:rStyle w:val="Hyperlink"/>
                <w:color w:val="000000" w:themeColor="text1"/>
                <w:lang w:val="en-AU"/>
              </w:rPr>
              <w:t>Gm</w:t>
            </w:r>
            <w:r w:rsidR="00C7155C" w:rsidRPr="00061888">
              <w:rPr>
                <w:rStyle w:val="Hyperlink"/>
                <w:color w:val="000000" w:themeColor="text1"/>
                <w:lang w:val="en-AU"/>
              </w:rPr>
              <w:t>a</w:t>
            </w:r>
            <w:r w:rsidR="00C7155C" w:rsidRPr="00061888">
              <w:rPr>
                <w:rStyle w:val="Hyperlink"/>
                <w:color w:val="000000" w:themeColor="text1"/>
                <w:lang w:val="en-AU"/>
              </w:rPr>
              <w:t>il API</w:t>
            </w:r>
            <w:r w:rsidRPr="00061888">
              <w:rPr>
                <w:rStyle w:val="Hyperlink"/>
                <w:color w:val="000000" w:themeColor="text1"/>
                <w:lang w:val="en-AU"/>
              </w:rPr>
              <w:fldChar w:fldCharType="end"/>
            </w:r>
            <w:r w:rsidR="00C7155C" w:rsidRPr="00061888">
              <w:rPr>
                <w:color w:val="000000" w:themeColor="text1"/>
                <w:lang w:val="en-AU"/>
              </w:rPr>
              <w:t xml:space="preserve"> </w:t>
            </w:r>
            <w:r w:rsidR="00C7155C">
              <w:rPr>
                <w:lang w:val="en-AU"/>
              </w:rPr>
              <w:t>is available</w:t>
            </w:r>
          </w:p>
        </w:tc>
        <w:tc>
          <w:tcPr>
            <w:tcW w:w="1559" w:type="dxa"/>
          </w:tcPr>
          <w:p w14:paraId="5B3D2E98" w14:textId="77777777" w:rsidR="00C7155C" w:rsidRDefault="00C7155C"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1A532CB6" w:rsidR="00C7155C" w:rsidRPr="00061888" w:rsidRDefault="00061888" w:rsidP="00061888">
            <w:pPr>
              <w:pStyle w:val="ListParagraph"/>
              <w:widowControl/>
              <w:numPr>
                <w:ilvl w:val="0"/>
                <w:numId w:val="33"/>
              </w:numPr>
              <w:spacing w:line="240" w:lineRule="auto"/>
              <w:rPr>
                <w:lang w:val="en-AU"/>
              </w:rPr>
            </w:pPr>
            <w:r>
              <w:rPr>
                <w:lang w:val="en-AU"/>
              </w:rPr>
              <w:t>Both local storage (on device) and external storage will be implemented.</w:t>
            </w:r>
          </w:p>
        </w:tc>
        <w:tc>
          <w:tcPr>
            <w:tcW w:w="1559" w:type="dxa"/>
          </w:tcPr>
          <w:p w14:paraId="7DDAAB85" w14:textId="77777777" w:rsidR="00C7155C" w:rsidRDefault="00C7155C"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1118977E" w14:textId="77777777" w:rsidR="00C7155C" w:rsidRDefault="00C7155C" w:rsidP="000208A2">
            <w:pPr>
              <w:rPr>
                <w:lang w:val="en-AU"/>
              </w:rPr>
            </w:pPr>
            <w:r>
              <w:rPr>
                <w:lang w:val="en-AU"/>
              </w:rPr>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061888" w:rsidRDefault="00C7155C" w:rsidP="00061888">
            <w:pPr>
              <w:pStyle w:val="ListParagraph"/>
              <w:widowControl/>
              <w:numPr>
                <w:ilvl w:val="0"/>
                <w:numId w:val="33"/>
              </w:numPr>
              <w:spacing w:line="240" w:lineRule="auto"/>
            </w:pPr>
            <w:r>
              <w:t xml:space="preserve">App available </w:t>
            </w:r>
            <w:r w:rsidR="00061888">
              <w:t>in areas with</w:t>
            </w:r>
            <w:r>
              <w:t xml:space="preserve"> poor or no internet connection</w:t>
            </w:r>
            <w:r w:rsidR="00061888">
              <w:t>.</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F21430" w:rsidR="00C7155C" w:rsidRPr="00061888" w:rsidRDefault="00C7155C" w:rsidP="00061888">
            <w:pPr>
              <w:pStyle w:val="ListParagraph"/>
              <w:widowControl/>
              <w:numPr>
                <w:ilvl w:val="0"/>
                <w:numId w:val="33"/>
              </w:numPr>
              <w:spacing w:line="240" w:lineRule="auto"/>
            </w:pPr>
            <w:r w:rsidRPr="00061888">
              <w:rPr>
                <w:color w:val="000000" w:themeColor="text1"/>
              </w:rPr>
              <w:t>update the external storage once internet connection is re-established</w:t>
            </w:r>
            <w:r w:rsidR="00061888" w:rsidRPr="00061888">
              <w:rPr>
                <w:color w:val="000000" w:themeColor="text1"/>
              </w:rPr>
              <w:t>.</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lastRenderedPageBreak/>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3747" w14:textId="77777777" w:rsidR="00A75228" w:rsidRDefault="00A75228">
      <w:pPr>
        <w:spacing w:line="240" w:lineRule="auto"/>
      </w:pPr>
      <w:r>
        <w:separator/>
      </w:r>
    </w:p>
  </w:endnote>
  <w:endnote w:type="continuationSeparator" w:id="0">
    <w:p w14:paraId="50DE3A68" w14:textId="77777777" w:rsidR="00A75228" w:rsidRDefault="00A75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3FBE2483"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061888">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A6C9" w14:textId="77777777" w:rsidR="00A75228" w:rsidRDefault="00A75228">
      <w:pPr>
        <w:spacing w:line="240" w:lineRule="auto"/>
      </w:pPr>
      <w:r>
        <w:separator/>
      </w:r>
    </w:p>
  </w:footnote>
  <w:footnote w:type="continuationSeparator" w:id="0">
    <w:p w14:paraId="2A17A340" w14:textId="77777777" w:rsidR="00A75228" w:rsidRDefault="00A752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1888"/>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75F2E"/>
    <w:rsid w:val="00816C1B"/>
    <w:rsid w:val="00826ED3"/>
    <w:rsid w:val="00827E77"/>
    <w:rsid w:val="00880698"/>
    <w:rsid w:val="008977C3"/>
    <w:rsid w:val="008E607E"/>
    <w:rsid w:val="00990186"/>
    <w:rsid w:val="009F6FFB"/>
    <w:rsid w:val="00A12D42"/>
    <w:rsid w:val="00A360A1"/>
    <w:rsid w:val="00A75228"/>
    <w:rsid w:val="00A77A7C"/>
    <w:rsid w:val="00AE4979"/>
    <w:rsid w:val="00B524ED"/>
    <w:rsid w:val="00B71E27"/>
    <w:rsid w:val="00BC23A0"/>
    <w:rsid w:val="00BE5BED"/>
    <w:rsid w:val="00BF5DC2"/>
    <w:rsid w:val="00C042B1"/>
    <w:rsid w:val="00C33595"/>
    <w:rsid w:val="00C47B3B"/>
    <w:rsid w:val="00C7155C"/>
    <w:rsid w:val="00D20D21"/>
    <w:rsid w:val="00D52F8E"/>
    <w:rsid w:val="00E025A7"/>
    <w:rsid w:val="00E05D45"/>
    <w:rsid w:val="00E214CF"/>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88</TotalTime>
  <Pages>5</Pages>
  <Words>1288</Words>
  <Characters>7656</Characters>
  <Application>Microsoft Office Word</Application>
  <DocSecurity>0</DocSecurity>
  <Lines>125</Lines>
  <Paragraphs>79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12</cp:revision>
  <cp:lastPrinted>2001-03-15T04:26:00Z</cp:lastPrinted>
  <dcterms:created xsi:type="dcterms:W3CDTF">2016-02-16T12:54:00Z</dcterms:created>
  <dcterms:modified xsi:type="dcterms:W3CDTF">2023-03-24T09:33:00Z</dcterms:modified>
</cp:coreProperties>
</file>