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42E" w:rsidRDefault="0090042E" w:rsidP="0090042E">
      <w:pPr>
        <w:pStyle w:val="NormalWeb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b/>
          <w:sz w:val="28"/>
          <w:szCs w:val="28"/>
        </w:rPr>
        <w:tab/>
      </w:r>
      <w:r>
        <w:rPr>
          <w:rFonts w:asciiTheme="majorHAnsi" w:hAnsiTheme="majorHAnsi" w:cs="Arial"/>
          <w:b/>
          <w:sz w:val="28"/>
          <w:szCs w:val="28"/>
        </w:rPr>
        <w:tab/>
      </w:r>
      <w:r>
        <w:rPr>
          <w:rFonts w:asciiTheme="majorHAnsi" w:hAnsiTheme="majorHAnsi" w:cs="Arial"/>
          <w:b/>
          <w:sz w:val="28"/>
          <w:szCs w:val="28"/>
        </w:rPr>
        <w:tab/>
      </w:r>
      <w:r>
        <w:rPr>
          <w:rFonts w:asciiTheme="majorHAnsi" w:hAnsiTheme="majorHAnsi" w:cs="Arial"/>
          <w:b/>
          <w:sz w:val="28"/>
          <w:szCs w:val="28"/>
        </w:rPr>
        <w:tab/>
      </w:r>
      <w:r>
        <w:rPr>
          <w:rFonts w:asciiTheme="majorHAnsi" w:hAnsiTheme="majorHAnsi" w:cs="Arial"/>
          <w:b/>
          <w:sz w:val="28"/>
          <w:szCs w:val="28"/>
        </w:rPr>
        <w:tab/>
      </w:r>
      <w:r>
        <w:rPr>
          <w:rFonts w:asciiTheme="majorHAnsi" w:hAnsiTheme="majorHAnsi" w:cs="Arial"/>
          <w:b/>
          <w:sz w:val="28"/>
          <w:szCs w:val="28"/>
        </w:rPr>
        <w:tab/>
      </w:r>
      <w:r>
        <w:rPr>
          <w:rFonts w:asciiTheme="majorHAnsi" w:hAnsiTheme="majorHAnsi" w:cs="Arial"/>
          <w:b/>
          <w:sz w:val="28"/>
          <w:szCs w:val="28"/>
        </w:rPr>
        <w:tab/>
      </w:r>
      <w:r>
        <w:rPr>
          <w:rFonts w:asciiTheme="majorHAnsi" w:hAnsiTheme="majorHAnsi" w:cs="Arial"/>
          <w:b/>
          <w:sz w:val="28"/>
          <w:szCs w:val="28"/>
        </w:rPr>
        <w:tab/>
      </w:r>
      <w:r>
        <w:rPr>
          <w:rFonts w:asciiTheme="majorHAnsi" w:hAnsiTheme="majorHAnsi" w:cs="Arial"/>
          <w:b/>
          <w:sz w:val="28"/>
          <w:szCs w:val="28"/>
        </w:rPr>
        <w:tab/>
      </w:r>
      <w:r>
        <w:rPr>
          <w:rFonts w:asciiTheme="majorHAnsi" w:hAnsiTheme="majorHAnsi" w:cs="Arial"/>
          <w:b/>
          <w:sz w:val="28"/>
          <w:szCs w:val="28"/>
        </w:rPr>
        <w:tab/>
      </w:r>
      <w:r>
        <w:rPr>
          <w:rFonts w:asciiTheme="majorHAnsi" w:hAnsiTheme="majorHAnsi" w:cs="Arial"/>
          <w:b/>
          <w:sz w:val="28"/>
          <w:szCs w:val="28"/>
        </w:rPr>
        <w:tab/>
      </w:r>
      <w:r w:rsidR="00DE63C1">
        <w:rPr>
          <w:rFonts w:asciiTheme="majorHAnsi" w:hAnsiTheme="majorHAnsi" w:cs="Arial"/>
          <w:sz w:val="22"/>
          <w:szCs w:val="22"/>
        </w:rPr>
        <w:t>11/23</w:t>
      </w:r>
      <w:bookmarkStart w:id="0" w:name="_GoBack"/>
      <w:bookmarkEnd w:id="0"/>
      <w:r>
        <w:rPr>
          <w:rFonts w:asciiTheme="majorHAnsi" w:hAnsiTheme="majorHAnsi" w:cs="Arial"/>
          <w:sz w:val="22"/>
          <w:szCs w:val="22"/>
        </w:rPr>
        <w:t>/2015</w:t>
      </w:r>
    </w:p>
    <w:p w:rsidR="0090042E" w:rsidRDefault="0090042E" w:rsidP="0090042E">
      <w:pPr>
        <w:pStyle w:val="NormalWeb"/>
        <w:spacing w:line="360" w:lineRule="auto"/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t xml:space="preserve">2016 </w:t>
      </w:r>
      <w:r w:rsidR="00DE63C1">
        <w:rPr>
          <w:rFonts w:asciiTheme="majorHAnsi" w:hAnsiTheme="majorHAnsi" w:cs="Arial"/>
          <w:b/>
          <w:sz w:val="28"/>
          <w:szCs w:val="28"/>
        </w:rPr>
        <w:t xml:space="preserve">preliminary </w:t>
      </w:r>
      <w:r w:rsidRPr="00E81035">
        <w:rPr>
          <w:rFonts w:asciiTheme="majorHAnsi" w:hAnsiTheme="majorHAnsi" w:cs="Arial"/>
          <w:b/>
          <w:sz w:val="28"/>
          <w:szCs w:val="28"/>
        </w:rPr>
        <w:t xml:space="preserve">herring forecast for </w:t>
      </w:r>
      <w:r>
        <w:rPr>
          <w:rFonts w:asciiTheme="majorHAnsi" w:hAnsiTheme="majorHAnsi" w:cs="Arial"/>
          <w:b/>
          <w:sz w:val="28"/>
          <w:szCs w:val="28"/>
        </w:rPr>
        <w:t>Sitka</w:t>
      </w:r>
    </w:p>
    <w:p w:rsidR="0090042E" w:rsidRDefault="0090042E" w:rsidP="00AC2A2A">
      <w:pPr>
        <w:spacing w:before="120" w:line="360" w:lineRule="auto"/>
        <w:rPr>
          <w:rFonts w:asciiTheme="majorHAnsi" w:hAnsiTheme="majorHAnsi" w:cs="Arial"/>
          <w:color w:val="000000" w:themeColor="text1"/>
          <w:sz w:val="20"/>
          <w:szCs w:val="20"/>
          <w:u w:val="single"/>
        </w:rPr>
      </w:pPr>
      <w:r w:rsidRPr="00CD5B9B">
        <w:rPr>
          <w:rFonts w:asciiTheme="majorHAnsi" w:hAnsiTheme="majorHAnsi" w:cs="Arial"/>
          <w:color w:val="000000" w:themeColor="text1"/>
          <w:sz w:val="20"/>
          <w:szCs w:val="20"/>
          <w:u w:val="single"/>
        </w:rPr>
        <w:t>Forecast, GHL, Harvest Rate</w:t>
      </w:r>
      <w:r w:rsidR="00EA0748">
        <w:rPr>
          <w:rFonts w:asciiTheme="majorHAnsi" w:hAnsiTheme="majorHAnsi" w:cs="Arial"/>
          <w:color w:val="000000" w:themeColor="text1"/>
          <w:sz w:val="20"/>
          <w:szCs w:val="20"/>
          <w:u w:val="single"/>
        </w:rPr>
        <w:t xml:space="preserve"> and Fish Condition</w:t>
      </w:r>
    </w:p>
    <w:p w:rsidR="005B7243" w:rsidRPr="0090042E" w:rsidRDefault="005B7243" w:rsidP="00AC2A2A">
      <w:pPr>
        <w:pStyle w:val="NormalWeb"/>
        <w:spacing w:before="120" w:beforeAutospacing="0" w:line="360" w:lineRule="auto"/>
        <w:rPr>
          <w:rFonts w:asciiTheme="majorHAnsi" w:hAnsiTheme="majorHAnsi"/>
          <w:sz w:val="20"/>
          <w:szCs w:val="20"/>
        </w:rPr>
      </w:pPr>
      <w:r w:rsidRPr="0090042E">
        <w:rPr>
          <w:rFonts w:asciiTheme="majorHAnsi" w:hAnsiTheme="majorHAnsi"/>
          <w:sz w:val="20"/>
          <w:szCs w:val="20"/>
        </w:rPr>
        <w:t xml:space="preserve">The </w:t>
      </w:r>
      <w:r w:rsidR="0057226F" w:rsidRPr="0090042E">
        <w:rPr>
          <w:rFonts w:asciiTheme="majorHAnsi" w:hAnsiTheme="majorHAnsi"/>
          <w:sz w:val="20"/>
          <w:szCs w:val="20"/>
        </w:rPr>
        <w:t xml:space="preserve">recommended </w:t>
      </w:r>
      <w:r w:rsidRPr="0090042E">
        <w:rPr>
          <w:rFonts w:asciiTheme="majorHAnsi" w:hAnsiTheme="majorHAnsi"/>
          <w:sz w:val="20"/>
          <w:szCs w:val="20"/>
        </w:rPr>
        <w:t>preliminary 201</w:t>
      </w:r>
      <w:r w:rsidR="007A4F3E" w:rsidRPr="0090042E">
        <w:rPr>
          <w:rFonts w:asciiTheme="majorHAnsi" w:hAnsiTheme="majorHAnsi"/>
          <w:sz w:val="20"/>
          <w:szCs w:val="20"/>
        </w:rPr>
        <w:t>6 forecast for Sitka</w:t>
      </w:r>
      <w:r w:rsidR="0057226F" w:rsidRPr="0090042E">
        <w:rPr>
          <w:rFonts w:asciiTheme="majorHAnsi" w:hAnsiTheme="majorHAnsi"/>
          <w:sz w:val="20"/>
          <w:szCs w:val="20"/>
        </w:rPr>
        <w:t xml:space="preserve"> Sound</w:t>
      </w:r>
      <w:r w:rsidR="007A4F3E" w:rsidRPr="0090042E">
        <w:rPr>
          <w:rFonts w:asciiTheme="majorHAnsi" w:hAnsiTheme="majorHAnsi"/>
          <w:sz w:val="20"/>
          <w:szCs w:val="20"/>
        </w:rPr>
        <w:t xml:space="preserve"> is </w:t>
      </w:r>
      <w:r w:rsidR="0057226F" w:rsidRPr="0090042E">
        <w:rPr>
          <w:rFonts w:asciiTheme="majorHAnsi" w:hAnsiTheme="majorHAnsi"/>
          <w:sz w:val="20"/>
          <w:szCs w:val="20"/>
        </w:rPr>
        <w:t>78,372</w:t>
      </w:r>
      <w:r w:rsidRPr="0090042E">
        <w:rPr>
          <w:rFonts w:asciiTheme="majorHAnsi" w:hAnsiTheme="majorHAnsi"/>
          <w:sz w:val="20"/>
          <w:szCs w:val="20"/>
        </w:rPr>
        <w:t xml:space="preserve"> tons </w:t>
      </w:r>
      <w:r w:rsidR="007A4F3E" w:rsidRPr="0090042E">
        <w:rPr>
          <w:rFonts w:asciiTheme="majorHAnsi" w:hAnsiTheme="majorHAnsi"/>
          <w:sz w:val="20"/>
          <w:szCs w:val="20"/>
        </w:rPr>
        <w:t xml:space="preserve">and the </w:t>
      </w:r>
      <w:r w:rsidR="0057226F" w:rsidRPr="0090042E">
        <w:rPr>
          <w:rFonts w:asciiTheme="majorHAnsi" w:hAnsiTheme="majorHAnsi"/>
          <w:sz w:val="20"/>
          <w:szCs w:val="20"/>
        </w:rPr>
        <w:t xml:space="preserve">recommended </w:t>
      </w:r>
      <w:r w:rsidR="007A4F3E" w:rsidRPr="0090042E">
        <w:rPr>
          <w:rFonts w:asciiTheme="majorHAnsi" w:hAnsiTheme="majorHAnsi"/>
          <w:sz w:val="20"/>
          <w:szCs w:val="20"/>
        </w:rPr>
        <w:t>preliminary GHL is </w:t>
      </w:r>
      <w:r w:rsidR="0057226F" w:rsidRPr="0090042E">
        <w:rPr>
          <w:rFonts w:asciiTheme="majorHAnsi" w:hAnsiTheme="majorHAnsi"/>
          <w:sz w:val="20"/>
          <w:szCs w:val="20"/>
        </w:rPr>
        <w:t>15,674</w:t>
      </w:r>
      <w:r w:rsidR="007A4F3E" w:rsidRPr="0090042E">
        <w:rPr>
          <w:rFonts w:asciiTheme="majorHAnsi" w:hAnsiTheme="majorHAnsi"/>
          <w:sz w:val="20"/>
          <w:szCs w:val="20"/>
        </w:rPr>
        <w:t xml:space="preserve"> tons (20</w:t>
      </w:r>
      <w:r w:rsidRPr="0090042E">
        <w:rPr>
          <w:rFonts w:asciiTheme="majorHAnsi" w:hAnsiTheme="majorHAnsi"/>
          <w:sz w:val="20"/>
          <w:szCs w:val="20"/>
        </w:rPr>
        <w:t>% har</w:t>
      </w:r>
      <w:r w:rsidR="007A4F3E" w:rsidRPr="0090042E">
        <w:rPr>
          <w:rFonts w:asciiTheme="majorHAnsi" w:hAnsiTheme="majorHAnsi"/>
          <w:sz w:val="20"/>
          <w:szCs w:val="20"/>
        </w:rPr>
        <w:t>vest rate)</w:t>
      </w:r>
      <w:r w:rsidR="00CD5220">
        <w:rPr>
          <w:rFonts w:asciiTheme="majorHAnsi" w:hAnsiTheme="majorHAnsi"/>
          <w:sz w:val="20"/>
          <w:szCs w:val="20"/>
        </w:rPr>
        <w:t xml:space="preserve"> (Figure 1</w:t>
      </w:r>
      <w:r w:rsidR="0033556D">
        <w:rPr>
          <w:rFonts w:asciiTheme="majorHAnsi" w:hAnsiTheme="majorHAnsi"/>
          <w:sz w:val="20"/>
          <w:szCs w:val="20"/>
        </w:rPr>
        <w:t xml:space="preserve"> and 2</w:t>
      </w:r>
      <w:r w:rsidR="00CD5220">
        <w:rPr>
          <w:rFonts w:asciiTheme="majorHAnsi" w:hAnsiTheme="majorHAnsi"/>
          <w:sz w:val="20"/>
          <w:szCs w:val="20"/>
        </w:rPr>
        <w:t>)</w:t>
      </w:r>
      <w:r w:rsidR="007A4F3E" w:rsidRPr="0090042E">
        <w:rPr>
          <w:rFonts w:asciiTheme="majorHAnsi" w:hAnsiTheme="majorHAnsi"/>
          <w:sz w:val="20"/>
          <w:szCs w:val="20"/>
        </w:rPr>
        <w:t>. The mature</w:t>
      </w:r>
      <w:r w:rsidR="0057226F" w:rsidRPr="0090042E">
        <w:rPr>
          <w:rFonts w:asciiTheme="majorHAnsi" w:hAnsiTheme="majorHAnsi"/>
          <w:sz w:val="20"/>
          <w:szCs w:val="20"/>
        </w:rPr>
        <w:t xml:space="preserve"> biomass</w:t>
      </w:r>
      <w:r w:rsidR="00452EE6">
        <w:rPr>
          <w:rFonts w:asciiTheme="majorHAnsi" w:hAnsiTheme="majorHAnsi"/>
          <w:sz w:val="20"/>
          <w:szCs w:val="20"/>
        </w:rPr>
        <w:t xml:space="preserve"> forecast is a 21</w:t>
      </w:r>
      <w:r w:rsidR="007A4F3E" w:rsidRPr="0090042E">
        <w:rPr>
          <w:rFonts w:asciiTheme="majorHAnsi" w:hAnsiTheme="majorHAnsi"/>
          <w:sz w:val="20"/>
          <w:szCs w:val="20"/>
        </w:rPr>
        <w:t>% increase from the model estimate of 2015 matu</w:t>
      </w:r>
      <w:r w:rsidR="00452EE6">
        <w:rPr>
          <w:rFonts w:asciiTheme="majorHAnsi" w:hAnsiTheme="majorHAnsi"/>
          <w:sz w:val="20"/>
          <w:szCs w:val="20"/>
        </w:rPr>
        <w:t>re (pre-fishery) biomass (64,660</w:t>
      </w:r>
      <w:r w:rsidR="007A4F3E" w:rsidRPr="0090042E">
        <w:rPr>
          <w:rFonts w:asciiTheme="majorHAnsi" w:hAnsiTheme="majorHAnsi"/>
          <w:sz w:val="20"/>
          <w:szCs w:val="20"/>
        </w:rPr>
        <w:t xml:space="preserve"> tons) and a </w:t>
      </w:r>
      <w:r w:rsidR="00452EE6">
        <w:rPr>
          <w:rFonts w:asciiTheme="majorHAnsi" w:hAnsiTheme="majorHAnsi"/>
          <w:sz w:val="20"/>
          <w:szCs w:val="20"/>
        </w:rPr>
        <w:t>40</w:t>
      </w:r>
      <w:r w:rsidR="007A4F3E" w:rsidRPr="0090042E">
        <w:rPr>
          <w:rFonts w:asciiTheme="majorHAnsi" w:hAnsiTheme="majorHAnsi"/>
          <w:sz w:val="20"/>
          <w:szCs w:val="20"/>
        </w:rPr>
        <w:t>% in</w:t>
      </w:r>
      <w:r w:rsidRPr="0090042E">
        <w:rPr>
          <w:rFonts w:asciiTheme="majorHAnsi" w:hAnsiTheme="majorHAnsi"/>
          <w:sz w:val="20"/>
          <w:szCs w:val="20"/>
        </w:rPr>
        <w:t>crease</w:t>
      </w:r>
      <w:r w:rsidR="007A4F3E" w:rsidRPr="0090042E">
        <w:rPr>
          <w:rFonts w:asciiTheme="majorHAnsi" w:hAnsiTheme="majorHAnsi"/>
          <w:sz w:val="20"/>
          <w:szCs w:val="20"/>
        </w:rPr>
        <w:t xml:space="preserve"> from the model estimate of 2015</w:t>
      </w:r>
      <w:r w:rsidRPr="0090042E">
        <w:rPr>
          <w:rFonts w:asciiTheme="majorHAnsi" w:hAnsiTheme="majorHAnsi"/>
          <w:sz w:val="20"/>
          <w:szCs w:val="20"/>
        </w:rPr>
        <w:t xml:space="preserve"> </w:t>
      </w:r>
      <w:r w:rsidR="007A4F3E" w:rsidRPr="0090042E">
        <w:rPr>
          <w:rFonts w:asciiTheme="majorHAnsi" w:hAnsiTheme="majorHAnsi"/>
          <w:sz w:val="20"/>
          <w:szCs w:val="20"/>
        </w:rPr>
        <w:t>spa</w:t>
      </w:r>
      <w:r w:rsidR="0065776E">
        <w:rPr>
          <w:rFonts w:asciiTheme="majorHAnsi" w:hAnsiTheme="majorHAnsi"/>
          <w:sz w:val="20"/>
          <w:szCs w:val="20"/>
        </w:rPr>
        <w:t>wning (post-fishery) biomass (55</w:t>
      </w:r>
      <w:r w:rsidR="007A4F3E" w:rsidRPr="0090042E">
        <w:rPr>
          <w:rFonts w:asciiTheme="majorHAnsi" w:hAnsiTheme="majorHAnsi"/>
          <w:sz w:val="20"/>
          <w:szCs w:val="20"/>
        </w:rPr>
        <w:t>,</w:t>
      </w:r>
      <w:r w:rsidR="0065776E">
        <w:rPr>
          <w:rFonts w:asciiTheme="majorHAnsi" w:hAnsiTheme="majorHAnsi"/>
          <w:sz w:val="20"/>
          <w:szCs w:val="20"/>
        </w:rPr>
        <w:t>804</w:t>
      </w:r>
      <w:r w:rsidRPr="0090042E">
        <w:rPr>
          <w:rFonts w:asciiTheme="majorHAnsi" w:hAnsiTheme="majorHAnsi"/>
          <w:sz w:val="20"/>
          <w:szCs w:val="20"/>
        </w:rPr>
        <w:t xml:space="preserve"> tons). </w:t>
      </w:r>
      <w:r w:rsidR="005312F4" w:rsidRPr="0090042E">
        <w:rPr>
          <w:rFonts w:asciiTheme="majorHAnsi" w:hAnsiTheme="majorHAnsi"/>
          <w:sz w:val="20"/>
          <w:szCs w:val="20"/>
        </w:rPr>
        <w:t>The biomass trajectory in the 2015- and 2016-forecast mode</w:t>
      </w:r>
      <w:r w:rsidR="005312F4">
        <w:rPr>
          <w:rFonts w:asciiTheme="majorHAnsi" w:hAnsiTheme="majorHAnsi"/>
          <w:sz w:val="20"/>
          <w:szCs w:val="20"/>
        </w:rPr>
        <w:t>ls were virtually identical, however</w:t>
      </w:r>
      <w:r w:rsidR="005312F4" w:rsidRPr="0090042E">
        <w:rPr>
          <w:rFonts w:asciiTheme="majorHAnsi" w:hAnsiTheme="majorHAnsi"/>
          <w:sz w:val="20"/>
          <w:szCs w:val="20"/>
        </w:rPr>
        <w:t xml:space="preserve"> a slight increase in 2015 spawn deposition and large recruitment in 2015 resulted in </w:t>
      </w:r>
      <w:r w:rsidR="00EE1DC2">
        <w:rPr>
          <w:rFonts w:asciiTheme="majorHAnsi" w:hAnsiTheme="majorHAnsi"/>
          <w:sz w:val="20"/>
          <w:szCs w:val="20"/>
        </w:rPr>
        <w:t xml:space="preserve">the 2016 forecast being nearly </w:t>
      </w:r>
      <w:r w:rsidR="005312F4" w:rsidRPr="0090042E">
        <w:rPr>
          <w:rFonts w:asciiTheme="majorHAnsi" w:hAnsiTheme="majorHAnsi"/>
          <w:sz w:val="20"/>
          <w:szCs w:val="20"/>
        </w:rPr>
        <w:t xml:space="preserve">double </w:t>
      </w:r>
      <w:r w:rsidR="00EE1DC2">
        <w:rPr>
          <w:rFonts w:asciiTheme="majorHAnsi" w:hAnsiTheme="majorHAnsi"/>
          <w:sz w:val="20"/>
          <w:szCs w:val="20"/>
        </w:rPr>
        <w:t>the</w:t>
      </w:r>
      <w:r w:rsidR="005312F4" w:rsidRPr="0090042E">
        <w:rPr>
          <w:rFonts w:asciiTheme="majorHAnsi" w:hAnsiTheme="majorHAnsi"/>
          <w:sz w:val="20"/>
          <w:szCs w:val="20"/>
        </w:rPr>
        <w:t xml:space="preserve"> forecasted biomass</w:t>
      </w:r>
      <w:r w:rsidR="0033556D">
        <w:rPr>
          <w:rFonts w:asciiTheme="majorHAnsi" w:hAnsiTheme="majorHAnsi"/>
          <w:sz w:val="20"/>
          <w:szCs w:val="20"/>
        </w:rPr>
        <w:t xml:space="preserve"> </w:t>
      </w:r>
      <w:r w:rsidR="00EE1DC2">
        <w:rPr>
          <w:rFonts w:asciiTheme="majorHAnsi" w:hAnsiTheme="majorHAnsi"/>
          <w:sz w:val="20"/>
          <w:szCs w:val="20"/>
        </w:rPr>
        <w:t xml:space="preserve">for 2015 </w:t>
      </w:r>
      <w:r w:rsidR="0033556D">
        <w:rPr>
          <w:rFonts w:asciiTheme="majorHAnsi" w:hAnsiTheme="majorHAnsi"/>
          <w:sz w:val="20"/>
          <w:szCs w:val="20"/>
        </w:rPr>
        <w:t>(Figure 3</w:t>
      </w:r>
      <w:r w:rsidR="005312F4">
        <w:rPr>
          <w:rFonts w:asciiTheme="majorHAnsi" w:hAnsiTheme="majorHAnsi"/>
          <w:sz w:val="20"/>
          <w:szCs w:val="20"/>
        </w:rPr>
        <w:t>)</w:t>
      </w:r>
      <w:r w:rsidR="005312F4" w:rsidRPr="0090042E">
        <w:rPr>
          <w:rFonts w:asciiTheme="majorHAnsi" w:hAnsiTheme="majorHAnsi"/>
          <w:sz w:val="20"/>
          <w:szCs w:val="20"/>
        </w:rPr>
        <w:t>.</w:t>
      </w:r>
      <w:r w:rsidR="005312F4">
        <w:rPr>
          <w:rFonts w:asciiTheme="majorHAnsi" w:hAnsiTheme="majorHAnsi"/>
          <w:sz w:val="20"/>
          <w:szCs w:val="20"/>
        </w:rPr>
        <w:t xml:space="preserve"> While the 2016 forecast and GHL are nearly twice that of 2015, they are very similar to those in 2014. </w:t>
      </w:r>
      <w:r w:rsidRPr="0090042E">
        <w:rPr>
          <w:rFonts w:asciiTheme="majorHAnsi" w:hAnsiTheme="majorHAnsi"/>
          <w:sz w:val="20"/>
          <w:szCs w:val="20"/>
        </w:rPr>
        <w:t xml:space="preserve">The forecasted </w:t>
      </w:r>
      <w:r w:rsidR="007A4F3E" w:rsidRPr="0090042E">
        <w:rPr>
          <w:rFonts w:asciiTheme="majorHAnsi" w:hAnsiTheme="majorHAnsi"/>
          <w:sz w:val="20"/>
          <w:szCs w:val="20"/>
        </w:rPr>
        <w:t>increase between 2015 and 2016</w:t>
      </w:r>
      <w:r w:rsidRPr="0090042E">
        <w:rPr>
          <w:rFonts w:asciiTheme="majorHAnsi" w:hAnsiTheme="majorHAnsi"/>
          <w:sz w:val="20"/>
          <w:szCs w:val="20"/>
        </w:rPr>
        <w:t xml:space="preserve"> is due</w:t>
      </w:r>
      <w:r w:rsidR="007A4F3E" w:rsidRPr="0090042E">
        <w:rPr>
          <w:rFonts w:asciiTheme="majorHAnsi" w:hAnsiTheme="majorHAnsi"/>
          <w:sz w:val="20"/>
          <w:szCs w:val="20"/>
        </w:rPr>
        <w:t xml:space="preserve"> to a </w:t>
      </w:r>
      <w:r w:rsidR="00424ACA" w:rsidRPr="0090042E">
        <w:rPr>
          <w:rFonts w:asciiTheme="majorHAnsi" w:hAnsiTheme="majorHAnsi"/>
          <w:sz w:val="20"/>
          <w:szCs w:val="20"/>
        </w:rPr>
        <w:t xml:space="preserve">very large </w:t>
      </w:r>
      <w:r w:rsidR="0057226F" w:rsidRPr="0090042E">
        <w:rPr>
          <w:rFonts w:asciiTheme="majorHAnsi" w:hAnsiTheme="majorHAnsi"/>
          <w:sz w:val="20"/>
          <w:szCs w:val="20"/>
        </w:rPr>
        <w:t>recruitment of age-3 fish in 20</w:t>
      </w:r>
      <w:r w:rsidR="0065776E">
        <w:rPr>
          <w:rFonts w:asciiTheme="majorHAnsi" w:hAnsiTheme="majorHAnsi"/>
          <w:sz w:val="20"/>
          <w:szCs w:val="20"/>
        </w:rPr>
        <w:t>1</w:t>
      </w:r>
      <w:r w:rsidR="0057226F" w:rsidRPr="0090042E">
        <w:rPr>
          <w:rFonts w:asciiTheme="majorHAnsi" w:hAnsiTheme="majorHAnsi"/>
          <w:sz w:val="20"/>
          <w:szCs w:val="20"/>
        </w:rPr>
        <w:t>5</w:t>
      </w:r>
      <w:r w:rsidR="0065776E">
        <w:rPr>
          <w:rFonts w:asciiTheme="majorHAnsi" w:hAnsiTheme="majorHAnsi"/>
          <w:sz w:val="20"/>
          <w:szCs w:val="20"/>
        </w:rPr>
        <w:t>.</w:t>
      </w:r>
      <w:r w:rsidR="00424ACA" w:rsidRPr="0090042E">
        <w:rPr>
          <w:rFonts w:asciiTheme="majorHAnsi" w:hAnsiTheme="majorHAnsi"/>
          <w:sz w:val="20"/>
          <w:szCs w:val="20"/>
        </w:rPr>
        <w:t xml:space="preserve"> </w:t>
      </w:r>
      <w:r w:rsidR="0065776E">
        <w:rPr>
          <w:rFonts w:asciiTheme="majorHAnsi" w:hAnsiTheme="majorHAnsi"/>
          <w:sz w:val="20"/>
          <w:szCs w:val="20"/>
        </w:rPr>
        <w:t>A</w:t>
      </w:r>
      <w:r w:rsidR="00424ACA" w:rsidRPr="0090042E">
        <w:rPr>
          <w:rFonts w:asciiTheme="majorHAnsi" w:hAnsiTheme="majorHAnsi"/>
          <w:sz w:val="20"/>
          <w:szCs w:val="20"/>
        </w:rPr>
        <w:t>ge-3 fish comprised 48% of the cast ne</w:t>
      </w:r>
      <w:r w:rsidR="00CD5220">
        <w:rPr>
          <w:rFonts w:asciiTheme="majorHAnsi" w:hAnsiTheme="majorHAnsi"/>
          <w:sz w:val="20"/>
          <w:szCs w:val="20"/>
        </w:rPr>
        <w:t>t sampled mature fish</w:t>
      </w:r>
      <w:r w:rsidR="00424ACA" w:rsidRPr="0090042E">
        <w:rPr>
          <w:rFonts w:asciiTheme="majorHAnsi" w:hAnsiTheme="majorHAnsi"/>
          <w:sz w:val="20"/>
          <w:szCs w:val="20"/>
        </w:rPr>
        <w:t xml:space="preserve"> </w:t>
      </w:r>
      <w:r w:rsidR="0065776E">
        <w:rPr>
          <w:rFonts w:asciiTheme="majorHAnsi" w:hAnsiTheme="majorHAnsi"/>
          <w:sz w:val="20"/>
          <w:szCs w:val="20"/>
        </w:rPr>
        <w:t xml:space="preserve">in 2014 </w:t>
      </w:r>
      <w:r w:rsidR="0033556D">
        <w:rPr>
          <w:rFonts w:asciiTheme="majorHAnsi" w:hAnsiTheme="majorHAnsi"/>
          <w:sz w:val="20"/>
          <w:szCs w:val="20"/>
        </w:rPr>
        <w:t xml:space="preserve">(Figure 4) </w:t>
      </w:r>
      <w:r w:rsidR="00424ACA" w:rsidRPr="0090042E">
        <w:rPr>
          <w:rFonts w:asciiTheme="majorHAnsi" w:hAnsiTheme="majorHAnsi"/>
          <w:sz w:val="20"/>
          <w:szCs w:val="20"/>
        </w:rPr>
        <w:t xml:space="preserve">and the </w:t>
      </w:r>
      <w:r w:rsidR="0065776E">
        <w:rPr>
          <w:rFonts w:asciiTheme="majorHAnsi" w:hAnsiTheme="majorHAnsi"/>
          <w:sz w:val="20"/>
          <w:szCs w:val="20"/>
        </w:rPr>
        <w:t xml:space="preserve">model-estimated recruitment </w:t>
      </w:r>
      <w:r w:rsidR="0065776E" w:rsidRPr="0090042E">
        <w:rPr>
          <w:rFonts w:asciiTheme="majorHAnsi" w:hAnsiTheme="majorHAnsi"/>
          <w:sz w:val="20"/>
          <w:szCs w:val="20"/>
        </w:rPr>
        <w:t xml:space="preserve">(number of mature and immature age-3 fish) </w:t>
      </w:r>
      <w:r w:rsidR="0065776E">
        <w:rPr>
          <w:rFonts w:asciiTheme="majorHAnsi" w:hAnsiTheme="majorHAnsi"/>
          <w:sz w:val="20"/>
          <w:szCs w:val="20"/>
        </w:rPr>
        <w:t>for 2015 is</w:t>
      </w:r>
      <w:r w:rsidR="00424ACA" w:rsidRPr="0090042E">
        <w:rPr>
          <w:rFonts w:asciiTheme="majorHAnsi" w:hAnsiTheme="majorHAnsi"/>
          <w:sz w:val="20"/>
          <w:szCs w:val="20"/>
        </w:rPr>
        <w:t xml:space="preserve"> the third largest </w:t>
      </w:r>
      <w:r w:rsidR="0065776E">
        <w:rPr>
          <w:rFonts w:asciiTheme="majorHAnsi" w:hAnsiTheme="majorHAnsi"/>
          <w:sz w:val="20"/>
          <w:szCs w:val="20"/>
        </w:rPr>
        <w:t>recr</w:t>
      </w:r>
      <w:r w:rsidR="00424ACA" w:rsidRPr="0090042E">
        <w:rPr>
          <w:rFonts w:asciiTheme="majorHAnsi" w:hAnsiTheme="majorHAnsi"/>
          <w:sz w:val="20"/>
          <w:szCs w:val="20"/>
        </w:rPr>
        <w:t xml:space="preserve">uitment </w:t>
      </w:r>
      <w:r w:rsidR="0065776E">
        <w:rPr>
          <w:rFonts w:asciiTheme="majorHAnsi" w:hAnsiTheme="majorHAnsi"/>
          <w:sz w:val="20"/>
          <w:szCs w:val="20"/>
        </w:rPr>
        <w:t xml:space="preserve">since 1980 (Figure </w:t>
      </w:r>
      <w:r w:rsidR="0033556D">
        <w:rPr>
          <w:rFonts w:asciiTheme="majorHAnsi" w:hAnsiTheme="majorHAnsi"/>
          <w:sz w:val="20"/>
          <w:szCs w:val="20"/>
        </w:rPr>
        <w:t>5</w:t>
      </w:r>
      <w:r w:rsidR="0065776E">
        <w:rPr>
          <w:rFonts w:asciiTheme="majorHAnsi" w:hAnsiTheme="majorHAnsi"/>
          <w:sz w:val="20"/>
          <w:szCs w:val="20"/>
        </w:rPr>
        <w:t>). The large proportion</w:t>
      </w:r>
      <w:r w:rsidR="00424ACA" w:rsidRPr="0090042E">
        <w:rPr>
          <w:rFonts w:asciiTheme="majorHAnsi" w:hAnsiTheme="majorHAnsi"/>
          <w:sz w:val="20"/>
          <w:szCs w:val="20"/>
        </w:rPr>
        <w:t xml:space="preserve"> of age-3 fish </w:t>
      </w:r>
      <w:r w:rsidR="0065776E">
        <w:rPr>
          <w:rFonts w:asciiTheme="majorHAnsi" w:hAnsiTheme="majorHAnsi"/>
          <w:sz w:val="20"/>
          <w:szCs w:val="20"/>
        </w:rPr>
        <w:t xml:space="preserve">in the 2015 mature population </w:t>
      </w:r>
      <w:r w:rsidR="00424ACA" w:rsidRPr="0090042E">
        <w:rPr>
          <w:rFonts w:asciiTheme="majorHAnsi" w:hAnsiTheme="majorHAnsi"/>
          <w:sz w:val="20"/>
          <w:szCs w:val="20"/>
        </w:rPr>
        <w:t>was</w:t>
      </w:r>
      <w:r w:rsidRPr="0090042E">
        <w:rPr>
          <w:rFonts w:asciiTheme="majorHAnsi" w:hAnsiTheme="majorHAnsi"/>
          <w:sz w:val="20"/>
          <w:szCs w:val="20"/>
        </w:rPr>
        <w:t xml:space="preserve"> seen across southeast populations. Age-</w:t>
      </w:r>
      <w:r w:rsidR="00424ACA" w:rsidRPr="0090042E">
        <w:rPr>
          <w:rFonts w:asciiTheme="majorHAnsi" w:hAnsiTheme="majorHAnsi"/>
          <w:sz w:val="20"/>
          <w:szCs w:val="20"/>
        </w:rPr>
        <w:t>4</w:t>
      </w:r>
      <w:r w:rsidRPr="0090042E">
        <w:rPr>
          <w:rFonts w:asciiTheme="majorHAnsi" w:hAnsiTheme="majorHAnsi"/>
          <w:sz w:val="20"/>
          <w:szCs w:val="20"/>
        </w:rPr>
        <w:t xml:space="preserve"> </w:t>
      </w:r>
      <w:r w:rsidR="00424ACA" w:rsidRPr="0090042E">
        <w:rPr>
          <w:rFonts w:asciiTheme="majorHAnsi" w:hAnsiTheme="majorHAnsi"/>
          <w:sz w:val="20"/>
          <w:szCs w:val="20"/>
        </w:rPr>
        <w:t xml:space="preserve">fish are </w:t>
      </w:r>
      <w:r w:rsidRPr="0090042E">
        <w:rPr>
          <w:rFonts w:asciiTheme="majorHAnsi" w:hAnsiTheme="majorHAnsi"/>
          <w:sz w:val="20"/>
          <w:szCs w:val="20"/>
        </w:rPr>
        <w:t xml:space="preserve">forecasted to </w:t>
      </w:r>
      <w:r w:rsidR="0065776E">
        <w:rPr>
          <w:rFonts w:asciiTheme="majorHAnsi" w:hAnsiTheme="majorHAnsi"/>
          <w:sz w:val="20"/>
          <w:szCs w:val="20"/>
        </w:rPr>
        <w:t>comprise 6</w:t>
      </w:r>
      <w:r w:rsidR="00533789">
        <w:rPr>
          <w:rFonts w:asciiTheme="majorHAnsi" w:hAnsiTheme="majorHAnsi"/>
          <w:sz w:val="20"/>
          <w:szCs w:val="20"/>
        </w:rPr>
        <w:t>5</w:t>
      </w:r>
      <w:r w:rsidR="00424ACA" w:rsidRPr="0090042E">
        <w:rPr>
          <w:rFonts w:asciiTheme="majorHAnsi" w:hAnsiTheme="majorHAnsi"/>
          <w:sz w:val="20"/>
          <w:szCs w:val="20"/>
        </w:rPr>
        <w:t xml:space="preserve">% of the </w:t>
      </w:r>
      <w:r w:rsidR="0065776E">
        <w:rPr>
          <w:rFonts w:asciiTheme="majorHAnsi" w:hAnsiTheme="majorHAnsi"/>
          <w:sz w:val="20"/>
          <w:szCs w:val="20"/>
        </w:rPr>
        <w:t xml:space="preserve">Sitka </w:t>
      </w:r>
      <w:r w:rsidR="00424ACA" w:rsidRPr="0090042E">
        <w:rPr>
          <w:rFonts w:asciiTheme="majorHAnsi" w:hAnsiTheme="majorHAnsi"/>
          <w:sz w:val="20"/>
          <w:szCs w:val="20"/>
        </w:rPr>
        <w:t xml:space="preserve">mature population </w:t>
      </w:r>
      <w:r w:rsidR="00CD5220">
        <w:rPr>
          <w:rFonts w:asciiTheme="majorHAnsi" w:hAnsiTheme="majorHAnsi"/>
          <w:sz w:val="20"/>
          <w:szCs w:val="20"/>
        </w:rPr>
        <w:t xml:space="preserve">by number totaling 43,264 tons </w:t>
      </w:r>
      <w:r w:rsidR="00424ACA" w:rsidRPr="0090042E">
        <w:rPr>
          <w:rFonts w:asciiTheme="majorHAnsi" w:hAnsiTheme="majorHAnsi"/>
          <w:sz w:val="20"/>
          <w:szCs w:val="20"/>
        </w:rPr>
        <w:t>in 2016</w:t>
      </w:r>
      <w:r w:rsidR="00CD5220">
        <w:rPr>
          <w:rFonts w:asciiTheme="majorHAnsi" w:hAnsiTheme="majorHAnsi"/>
          <w:sz w:val="20"/>
          <w:szCs w:val="20"/>
        </w:rPr>
        <w:t xml:space="preserve"> </w:t>
      </w:r>
      <w:r w:rsidR="005312F4">
        <w:rPr>
          <w:rFonts w:asciiTheme="majorHAnsi" w:hAnsiTheme="majorHAnsi"/>
          <w:sz w:val="20"/>
          <w:szCs w:val="20"/>
        </w:rPr>
        <w:t xml:space="preserve">(Figure </w:t>
      </w:r>
      <w:r w:rsidR="0033556D">
        <w:rPr>
          <w:rFonts w:asciiTheme="majorHAnsi" w:hAnsiTheme="majorHAnsi"/>
          <w:sz w:val="20"/>
          <w:szCs w:val="20"/>
        </w:rPr>
        <w:t>6</w:t>
      </w:r>
      <w:r w:rsidR="005312F4">
        <w:rPr>
          <w:rFonts w:asciiTheme="majorHAnsi" w:hAnsiTheme="majorHAnsi"/>
          <w:sz w:val="20"/>
          <w:szCs w:val="20"/>
        </w:rPr>
        <w:t xml:space="preserve"> and </w:t>
      </w:r>
      <w:r w:rsidR="0033556D">
        <w:rPr>
          <w:rFonts w:asciiTheme="majorHAnsi" w:hAnsiTheme="majorHAnsi"/>
          <w:sz w:val="20"/>
          <w:szCs w:val="20"/>
        </w:rPr>
        <w:t>7</w:t>
      </w:r>
      <w:r w:rsidR="00CD5220">
        <w:rPr>
          <w:rFonts w:asciiTheme="majorHAnsi" w:hAnsiTheme="majorHAnsi"/>
          <w:sz w:val="20"/>
          <w:szCs w:val="20"/>
        </w:rPr>
        <w:t>)</w:t>
      </w:r>
      <w:r w:rsidR="00424ACA" w:rsidRPr="0090042E">
        <w:rPr>
          <w:rFonts w:asciiTheme="majorHAnsi" w:hAnsiTheme="majorHAnsi"/>
          <w:sz w:val="20"/>
          <w:szCs w:val="20"/>
        </w:rPr>
        <w:t>.</w:t>
      </w:r>
      <w:r w:rsidR="00A9773B">
        <w:rPr>
          <w:rFonts w:asciiTheme="majorHAnsi" w:hAnsiTheme="majorHAnsi"/>
          <w:sz w:val="20"/>
          <w:szCs w:val="20"/>
        </w:rPr>
        <w:t xml:space="preserve"> Whereas weight at age and length at age for many other southeast stocks have shown a decreasing trend over time,</w:t>
      </w:r>
      <w:r w:rsidR="005438B0" w:rsidRPr="0090042E">
        <w:rPr>
          <w:rFonts w:asciiTheme="majorHAnsi" w:hAnsiTheme="majorHAnsi"/>
          <w:sz w:val="20"/>
          <w:szCs w:val="20"/>
        </w:rPr>
        <w:t xml:space="preserve"> </w:t>
      </w:r>
      <w:r w:rsidR="009A4DBD">
        <w:rPr>
          <w:rFonts w:asciiTheme="majorHAnsi" w:hAnsiTheme="majorHAnsi"/>
          <w:sz w:val="20"/>
          <w:szCs w:val="20"/>
        </w:rPr>
        <w:t xml:space="preserve">Sitka population </w:t>
      </w:r>
      <w:r w:rsidR="00A9773B">
        <w:rPr>
          <w:rFonts w:asciiTheme="majorHAnsi" w:hAnsiTheme="majorHAnsi"/>
          <w:sz w:val="20"/>
          <w:szCs w:val="20"/>
        </w:rPr>
        <w:t xml:space="preserve">weight and age and </w:t>
      </w:r>
      <w:r w:rsidR="009A4DBD">
        <w:rPr>
          <w:rFonts w:asciiTheme="majorHAnsi" w:hAnsiTheme="majorHAnsi"/>
          <w:sz w:val="20"/>
          <w:szCs w:val="20"/>
        </w:rPr>
        <w:t>length at age</w:t>
      </w:r>
      <w:r w:rsidR="00A9773B">
        <w:rPr>
          <w:rFonts w:asciiTheme="majorHAnsi" w:hAnsiTheme="majorHAnsi"/>
          <w:sz w:val="20"/>
          <w:szCs w:val="20"/>
        </w:rPr>
        <w:t xml:space="preserve"> have been stable over time, except for lower than average weight at age from 1989-1993 (see </w:t>
      </w:r>
      <w:r w:rsidR="00A9773B" w:rsidRPr="00EB639B">
        <w:rPr>
          <w:rFonts w:asciiTheme="majorHAnsi" w:hAnsiTheme="majorHAnsi"/>
          <w:i/>
          <w:sz w:val="20"/>
          <w:szCs w:val="20"/>
        </w:rPr>
        <w:t>Sitka weight length condition</w:t>
      </w:r>
      <w:r w:rsidR="00A9773B">
        <w:rPr>
          <w:rFonts w:asciiTheme="majorHAnsi" w:hAnsiTheme="majorHAnsi"/>
          <w:i/>
          <w:sz w:val="20"/>
          <w:szCs w:val="20"/>
        </w:rPr>
        <w:t xml:space="preserve"> for 2016 forecast</w:t>
      </w:r>
      <w:r w:rsidR="00A9773B" w:rsidRPr="00EB639B">
        <w:rPr>
          <w:rFonts w:asciiTheme="majorHAnsi" w:hAnsiTheme="majorHAnsi"/>
          <w:i/>
          <w:sz w:val="20"/>
          <w:szCs w:val="20"/>
        </w:rPr>
        <w:t>.xlsx</w:t>
      </w:r>
      <w:r w:rsidR="00A9773B">
        <w:rPr>
          <w:rFonts w:asciiTheme="majorHAnsi" w:hAnsiTheme="majorHAnsi"/>
          <w:sz w:val="20"/>
          <w:szCs w:val="20"/>
        </w:rPr>
        <w:t xml:space="preserve">). Sitka condition factor has varied over time, </w:t>
      </w:r>
      <w:r w:rsidR="0002797B">
        <w:rPr>
          <w:rFonts w:asciiTheme="majorHAnsi" w:hAnsiTheme="majorHAnsi"/>
          <w:sz w:val="20"/>
          <w:szCs w:val="20"/>
        </w:rPr>
        <w:t>with</w:t>
      </w:r>
      <w:r w:rsidR="00A9773B">
        <w:rPr>
          <w:rFonts w:asciiTheme="majorHAnsi" w:hAnsiTheme="majorHAnsi"/>
          <w:sz w:val="20"/>
          <w:szCs w:val="20"/>
        </w:rPr>
        <w:t xml:space="preserve"> the lowest in the early 1990’s, </w:t>
      </w:r>
      <w:r w:rsidR="0002797B">
        <w:rPr>
          <w:rFonts w:asciiTheme="majorHAnsi" w:hAnsiTheme="majorHAnsi"/>
          <w:sz w:val="20"/>
          <w:szCs w:val="20"/>
        </w:rPr>
        <w:t xml:space="preserve">and the </w:t>
      </w:r>
      <w:r w:rsidR="00A9773B">
        <w:rPr>
          <w:rFonts w:asciiTheme="majorHAnsi" w:hAnsiTheme="majorHAnsi"/>
          <w:sz w:val="20"/>
          <w:szCs w:val="20"/>
        </w:rPr>
        <w:t xml:space="preserve">highest in 1997, 2002, 2003, and 2009, </w:t>
      </w:r>
      <w:r w:rsidR="000A6920">
        <w:rPr>
          <w:rFonts w:asciiTheme="majorHAnsi" w:hAnsiTheme="majorHAnsi"/>
          <w:sz w:val="20"/>
          <w:szCs w:val="20"/>
        </w:rPr>
        <w:t>and with</w:t>
      </w:r>
      <w:r w:rsidR="00A9773B">
        <w:rPr>
          <w:rFonts w:asciiTheme="majorHAnsi" w:hAnsiTheme="majorHAnsi"/>
          <w:sz w:val="20"/>
          <w:szCs w:val="20"/>
        </w:rPr>
        <w:t xml:space="preserve"> 2015 being near the high end of the </w:t>
      </w:r>
      <w:proofErr w:type="gramStart"/>
      <w:r w:rsidR="00A9773B">
        <w:rPr>
          <w:rFonts w:asciiTheme="majorHAnsi" w:hAnsiTheme="majorHAnsi"/>
          <w:sz w:val="20"/>
          <w:szCs w:val="20"/>
        </w:rPr>
        <w:t>range</w:t>
      </w:r>
      <w:proofErr w:type="gramEnd"/>
      <w:r w:rsidR="009A4DBD">
        <w:rPr>
          <w:rFonts w:asciiTheme="majorHAnsi" w:hAnsiTheme="majorHAnsi"/>
          <w:sz w:val="20"/>
          <w:szCs w:val="20"/>
        </w:rPr>
        <w:t xml:space="preserve"> (see </w:t>
      </w:r>
      <w:r w:rsidR="009A4DBD" w:rsidRPr="00EB639B">
        <w:rPr>
          <w:rFonts w:asciiTheme="majorHAnsi" w:hAnsiTheme="majorHAnsi"/>
          <w:i/>
          <w:sz w:val="20"/>
          <w:szCs w:val="20"/>
        </w:rPr>
        <w:t>Sitka weight length condition</w:t>
      </w:r>
      <w:r w:rsidR="00EB639B">
        <w:rPr>
          <w:rFonts w:asciiTheme="majorHAnsi" w:hAnsiTheme="majorHAnsi"/>
          <w:i/>
          <w:sz w:val="20"/>
          <w:szCs w:val="20"/>
        </w:rPr>
        <w:t xml:space="preserve"> for 2016 forecast</w:t>
      </w:r>
      <w:r w:rsidR="009A4DBD" w:rsidRPr="00EB639B">
        <w:rPr>
          <w:rFonts w:asciiTheme="majorHAnsi" w:hAnsiTheme="majorHAnsi"/>
          <w:i/>
          <w:sz w:val="20"/>
          <w:szCs w:val="20"/>
        </w:rPr>
        <w:t>.xlsx</w:t>
      </w:r>
      <w:r w:rsidR="009A4DBD">
        <w:rPr>
          <w:rFonts w:asciiTheme="majorHAnsi" w:hAnsiTheme="majorHAnsi"/>
          <w:sz w:val="20"/>
          <w:szCs w:val="20"/>
        </w:rPr>
        <w:t xml:space="preserve">). </w:t>
      </w:r>
    </w:p>
    <w:p w:rsidR="0087517D" w:rsidRDefault="0087517D" w:rsidP="00AC2A2A">
      <w:pPr>
        <w:spacing w:before="120" w:line="360" w:lineRule="auto"/>
        <w:rPr>
          <w:rFonts w:asciiTheme="majorHAnsi" w:hAnsiTheme="majorHAnsi"/>
          <w:color w:val="000000" w:themeColor="text1"/>
          <w:sz w:val="20"/>
          <w:szCs w:val="20"/>
          <w:u w:val="single"/>
        </w:rPr>
      </w:pPr>
      <w:r w:rsidRPr="00CD5B9B">
        <w:rPr>
          <w:rFonts w:asciiTheme="majorHAnsi" w:hAnsiTheme="majorHAnsi"/>
          <w:color w:val="000000" w:themeColor="text1"/>
          <w:sz w:val="20"/>
          <w:szCs w:val="20"/>
          <w:u w:val="single"/>
        </w:rPr>
        <w:t>Model Comparison Procedure</w:t>
      </w:r>
    </w:p>
    <w:p w:rsidR="009E2029" w:rsidRPr="00CD5B9B" w:rsidRDefault="009E2029" w:rsidP="00AC2A2A">
      <w:pPr>
        <w:autoSpaceDE w:val="0"/>
        <w:autoSpaceDN w:val="0"/>
        <w:adjustRightInd w:val="0"/>
        <w:spacing w:before="120" w:line="360" w:lineRule="auto"/>
        <w:rPr>
          <w:rFonts w:asciiTheme="majorHAnsi" w:hAnsiTheme="majorHAnsi" w:cs="Candida-Roman"/>
          <w:color w:val="231F20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This year, thirty one models were run </w:t>
      </w:r>
      <w:r w:rsidR="00AE03F6" w:rsidRPr="0090042E">
        <w:rPr>
          <w:rFonts w:asciiTheme="majorHAnsi" w:hAnsiTheme="majorHAnsi"/>
          <w:sz w:val="20"/>
          <w:szCs w:val="20"/>
        </w:rPr>
        <w:t>with various combinations of survival, maturity, and selectivity</w:t>
      </w:r>
      <w:r w:rsidR="00AE03F6">
        <w:rPr>
          <w:rFonts w:asciiTheme="majorHAnsi" w:hAnsiTheme="majorHAnsi"/>
          <w:sz w:val="20"/>
          <w:szCs w:val="20"/>
        </w:rPr>
        <w:t xml:space="preserve"> time-periods</w:t>
      </w:r>
      <w:r>
        <w:rPr>
          <w:rFonts w:asciiTheme="majorHAnsi" w:hAnsiTheme="majorHAnsi"/>
          <w:sz w:val="20"/>
          <w:szCs w:val="20"/>
        </w:rPr>
        <w:t xml:space="preserve"> </w:t>
      </w:r>
      <w:r w:rsidR="00AE03F6">
        <w:rPr>
          <w:rFonts w:asciiTheme="majorHAnsi" w:hAnsiTheme="majorHAnsi"/>
          <w:sz w:val="20"/>
          <w:szCs w:val="20"/>
        </w:rPr>
        <w:t>(</w:t>
      </w:r>
      <w:r>
        <w:rPr>
          <w:rFonts w:asciiTheme="majorHAnsi" w:hAnsiTheme="majorHAnsi"/>
          <w:sz w:val="20"/>
          <w:szCs w:val="20"/>
        </w:rPr>
        <w:t xml:space="preserve">one model structure with 31 </w:t>
      </w:r>
      <w:r w:rsidR="00AE03F6">
        <w:rPr>
          <w:rFonts w:asciiTheme="majorHAnsi" w:hAnsiTheme="majorHAnsi"/>
          <w:sz w:val="20"/>
          <w:szCs w:val="20"/>
        </w:rPr>
        <w:t>different parameterizations</w:t>
      </w:r>
      <w:r w:rsidR="000A6920">
        <w:rPr>
          <w:rFonts w:asciiTheme="majorHAnsi" w:hAnsiTheme="majorHAnsi"/>
          <w:sz w:val="20"/>
          <w:szCs w:val="20"/>
        </w:rPr>
        <w:t xml:space="preserve">; see </w:t>
      </w:r>
      <w:r w:rsidR="000A6920">
        <w:rPr>
          <w:rFonts w:asciiTheme="majorHAnsi" w:hAnsiTheme="majorHAnsi"/>
          <w:i/>
          <w:sz w:val="20"/>
          <w:szCs w:val="20"/>
        </w:rPr>
        <w:t>2016-forecast Sitka model comparison to post.xlsx</w:t>
      </w:r>
      <w:r w:rsidR="00AE03F6">
        <w:rPr>
          <w:rFonts w:asciiTheme="majorHAnsi" w:hAnsiTheme="majorHAnsi"/>
          <w:sz w:val="20"/>
          <w:szCs w:val="20"/>
        </w:rPr>
        <w:t>)</w:t>
      </w:r>
      <w:r>
        <w:rPr>
          <w:rFonts w:asciiTheme="majorHAnsi" w:hAnsiTheme="majorHAnsi"/>
          <w:sz w:val="20"/>
          <w:szCs w:val="20"/>
        </w:rPr>
        <w:t>.</w:t>
      </w:r>
      <w:r w:rsidR="00AE03F6">
        <w:rPr>
          <w:rFonts w:asciiTheme="majorHAnsi" w:hAnsiTheme="majorHAnsi"/>
          <w:sz w:val="20"/>
          <w:szCs w:val="20"/>
        </w:rPr>
        <w:t xml:space="preserve"> </w:t>
      </w:r>
      <w:r w:rsidRPr="00CD5B9B">
        <w:rPr>
          <w:rFonts w:asciiTheme="majorHAnsi" w:hAnsiTheme="majorHAnsi" w:cs="Arial"/>
          <w:color w:val="000000" w:themeColor="text1"/>
          <w:sz w:val="20"/>
          <w:szCs w:val="20"/>
        </w:rPr>
        <w:t xml:space="preserve">The years in which model-estimated survival and maturity were allowed to change were in </w:t>
      </w:r>
      <w:r>
        <w:rPr>
          <w:rFonts w:asciiTheme="majorHAnsi" w:hAnsiTheme="majorHAnsi" w:cs="Arial"/>
          <w:color w:val="000000" w:themeColor="text1"/>
          <w:sz w:val="20"/>
          <w:szCs w:val="20"/>
        </w:rPr>
        <w:t xml:space="preserve">years of </w:t>
      </w:r>
      <w:r w:rsidRPr="00CD5B9B">
        <w:rPr>
          <w:rFonts w:asciiTheme="majorHAnsi" w:hAnsiTheme="majorHAnsi" w:cs="Arial"/>
          <w:color w:val="000000" w:themeColor="text1"/>
          <w:sz w:val="20"/>
          <w:szCs w:val="20"/>
        </w:rPr>
        <w:t>sea-surface temperature</w:t>
      </w:r>
      <w:r>
        <w:rPr>
          <w:rFonts w:asciiTheme="majorHAnsi" w:hAnsiTheme="majorHAnsi" w:cs="Arial"/>
          <w:color w:val="000000" w:themeColor="text1"/>
          <w:sz w:val="20"/>
          <w:szCs w:val="20"/>
        </w:rPr>
        <w:t xml:space="preserve"> change</w:t>
      </w:r>
      <w:r w:rsidRPr="00CD5B9B">
        <w:rPr>
          <w:rFonts w:asciiTheme="majorHAnsi" w:hAnsiTheme="majorHAnsi" w:cs="Arial"/>
          <w:color w:val="000000" w:themeColor="text1"/>
          <w:sz w:val="20"/>
          <w:szCs w:val="20"/>
        </w:rPr>
        <w:t xml:space="preserve">, as measured by the Pacific Decadal Oscillation </w:t>
      </w:r>
      <w:r>
        <w:rPr>
          <w:rFonts w:asciiTheme="majorHAnsi" w:hAnsiTheme="majorHAnsi" w:cs="Arial"/>
          <w:color w:val="000000" w:themeColor="text1"/>
          <w:sz w:val="20"/>
          <w:szCs w:val="20"/>
        </w:rPr>
        <w:t>(PDO) Index (Mantua and Hare 2002). The PDO</w:t>
      </w:r>
      <w:r w:rsidRPr="00CD5B9B">
        <w:rPr>
          <w:rFonts w:asciiTheme="majorHAnsi" w:hAnsiTheme="majorHAnsi" w:cs="Arial"/>
          <w:color w:val="000000" w:themeColor="text1"/>
          <w:sz w:val="20"/>
          <w:szCs w:val="20"/>
        </w:rPr>
        <w:t xml:space="preserve"> changed</w:t>
      </w:r>
      <w:r>
        <w:rPr>
          <w:rFonts w:asciiTheme="majorHAnsi" w:hAnsiTheme="majorHAnsi" w:cs="Arial"/>
          <w:color w:val="000000" w:themeColor="text1"/>
          <w:sz w:val="20"/>
          <w:szCs w:val="20"/>
        </w:rPr>
        <w:t xml:space="preserve"> </w:t>
      </w:r>
      <w:r w:rsidRPr="00CD5B9B">
        <w:rPr>
          <w:rFonts w:asciiTheme="majorHAnsi" w:hAnsiTheme="majorHAnsi" w:cs="Arial"/>
          <w:color w:val="000000" w:themeColor="text1"/>
          <w:sz w:val="20"/>
          <w:szCs w:val="20"/>
        </w:rPr>
        <w:t xml:space="preserve">from </w:t>
      </w:r>
      <w:r>
        <w:rPr>
          <w:rFonts w:asciiTheme="majorHAnsi" w:hAnsiTheme="majorHAnsi" w:cs="Arial"/>
          <w:color w:val="000000" w:themeColor="text1"/>
          <w:sz w:val="20"/>
          <w:szCs w:val="20"/>
        </w:rPr>
        <w:t xml:space="preserve">warm </w:t>
      </w:r>
      <w:proofErr w:type="spellStart"/>
      <w:r>
        <w:rPr>
          <w:rFonts w:asciiTheme="majorHAnsi" w:hAnsiTheme="majorHAnsi" w:cs="Arial"/>
          <w:color w:val="000000" w:themeColor="text1"/>
          <w:sz w:val="20"/>
          <w:szCs w:val="20"/>
        </w:rPr>
        <w:t>to</w:t>
      </w:r>
      <w:proofErr w:type="spellEnd"/>
      <w:r>
        <w:rPr>
          <w:rFonts w:asciiTheme="majorHAnsi" w:hAnsiTheme="majorHAnsi" w:cs="Arial"/>
          <w:color w:val="000000" w:themeColor="text1"/>
          <w:sz w:val="20"/>
          <w:szCs w:val="20"/>
        </w:rPr>
        <w:t xml:space="preserve"> cold between 1998 and 1999, from </w:t>
      </w:r>
      <w:r w:rsidRPr="00CD5B9B">
        <w:rPr>
          <w:rFonts w:asciiTheme="majorHAnsi" w:hAnsiTheme="majorHAnsi" w:cs="Arial"/>
          <w:color w:val="000000" w:themeColor="text1"/>
          <w:sz w:val="20"/>
          <w:szCs w:val="20"/>
        </w:rPr>
        <w:t xml:space="preserve">cold to warm between 2002 and 2003, and from warm </w:t>
      </w:r>
      <w:proofErr w:type="spellStart"/>
      <w:r w:rsidRPr="00CD5B9B">
        <w:rPr>
          <w:rFonts w:asciiTheme="majorHAnsi" w:hAnsiTheme="majorHAnsi" w:cs="Arial"/>
          <w:color w:val="000000" w:themeColor="text1"/>
          <w:sz w:val="20"/>
          <w:szCs w:val="20"/>
        </w:rPr>
        <w:t>to</w:t>
      </w:r>
      <w:proofErr w:type="spellEnd"/>
      <w:r w:rsidRPr="00CD5B9B">
        <w:rPr>
          <w:rFonts w:asciiTheme="majorHAnsi" w:hAnsiTheme="majorHAnsi" w:cs="Arial"/>
          <w:color w:val="000000" w:themeColor="text1"/>
          <w:sz w:val="20"/>
          <w:szCs w:val="20"/>
        </w:rPr>
        <w:t xml:space="preserve"> cold between 2007 and 2008. </w:t>
      </w:r>
      <w:r w:rsidRPr="00CD5B9B">
        <w:rPr>
          <w:rFonts w:asciiTheme="majorHAnsi" w:hAnsiTheme="majorHAnsi" w:cs="Arial"/>
          <w:color w:val="000000"/>
          <w:sz w:val="20"/>
          <w:szCs w:val="20"/>
        </w:rPr>
        <w:t xml:space="preserve">A </w:t>
      </w:r>
      <w:r w:rsidR="000A6920">
        <w:rPr>
          <w:rFonts w:asciiTheme="majorHAnsi" w:hAnsiTheme="majorHAnsi" w:cs="Arial"/>
          <w:color w:val="000000"/>
          <w:sz w:val="20"/>
          <w:szCs w:val="20"/>
        </w:rPr>
        <w:t xml:space="preserve">model with more than one time period for </w:t>
      </w:r>
      <w:r w:rsidRPr="00CD5B9B">
        <w:rPr>
          <w:rFonts w:asciiTheme="majorHAnsi" w:hAnsiTheme="majorHAnsi" w:cs="Arial"/>
          <w:color w:val="000000"/>
          <w:sz w:val="20"/>
          <w:szCs w:val="20"/>
        </w:rPr>
        <w:t xml:space="preserve">gear selectivity was only investigated </w:t>
      </w:r>
      <w:r w:rsidR="000A6920">
        <w:rPr>
          <w:rFonts w:asciiTheme="majorHAnsi" w:hAnsiTheme="majorHAnsi" w:cs="Arial"/>
          <w:color w:val="000000"/>
          <w:sz w:val="20"/>
          <w:szCs w:val="20"/>
        </w:rPr>
        <w:t xml:space="preserve">was </w:t>
      </w:r>
      <w:r w:rsidR="00F13813">
        <w:rPr>
          <w:rFonts w:asciiTheme="majorHAnsi" w:hAnsiTheme="majorHAnsi" w:cs="Arial"/>
          <w:color w:val="000000"/>
          <w:sz w:val="20"/>
          <w:szCs w:val="20"/>
        </w:rPr>
        <w:t xml:space="preserve">a corresponding change in </w:t>
      </w:r>
      <w:r w:rsidRPr="00CD5B9B">
        <w:rPr>
          <w:rFonts w:asciiTheme="majorHAnsi" w:hAnsiTheme="majorHAnsi" w:cs="Arial"/>
          <w:color w:val="000000"/>
          <w:sz w:val="20"/>
          <w:szCs w:val="20"/>
        </w:rPr>
        <w:t>maturity</w:t>
      </w:r>
      <w:r w:rsidR="00F13813">
        <w:rPr>
          <w:rFonts w:asciiTheme="majorHAnsi" w:hAnsiTheme="majorHAnsi" w:cs="Arial"/>
          <w:color w:val="000000"/>
          <w:sz w:val="20"/>
          <w:szCs w:val="20"/>
        </w:rPr>
        <w:t xml:space="preserve"> </w:t>
      </w:r>
      <w:r w:rsidRPr="00CD5B9B">
        <w:rPr>
          <w:rFonts w:asciiTheme="majorHAnsi" w:hAnsiTheme="majorHAnsi" w:cs="Arial"/>
          <w:color w:val="000000"/>
          <w:sz w:val="20"/>
          <w:szCs w:val="20"/>
        </w:rPr>
        <w:t>or if there were known and obvious changes in selectivity/fishing</w:t>
      </w:r>
      <w:r w:rsidR="0010677B">
        <w:rPr>
          <w:rFonts w:asciiTheme="majorHAnsi" w:hAnsiTheme="majorHAnsi" w:cs="Arial"/>
          <w:color w:val="000000"/>
          <w:sz w:val="20"/>
          <w:szCs w:val="20"/>
        </w:rPr>
        <w:t xml:space="preserve"> </w:t>
      </w:r>
      <w:r w:rsidR="0010677B">
        <w:rPr>
          <w:rFonts w:asciiTheme="majorHAnsi" w:hAnsiTheme="majorHAnsi"/>
          <w:sz w:val="20"/>
          <w:szCs w:val="20"/>
        </w:rPr>
        <w:t>(I was not aware</w:t>
      </w:r>
      <w:r w:rsidR="0010677B" w:rsidRPr="0090042E">
        <w:rPr>
          <w:rFonts w:asciiTheme="majorHAnsi" w:hAnsiTheme="majorHAnsi"/>
          <w:sz w:val="20"/>
          <w:szCs w:val="20"/>
        </w:rPr>
        <w:t xml:space="preserve"> of any obvious changes in selectivity/fishing over the time series, but if you expect any, I would be glad to </w:t>
      </w:r>
      <w:r w:rsidR="0010677B">
        <w:rPr>
          <w:rFonts w:asciiTheme="majorHAnsi" w:hAnsiTheme="majorHAnsi"/>
          <w:sz w:val="20"/>
          <w:szCs w:val="20"/>
        </w:rPr>
        <w:t>run a model that allows for that)</w:t>
      </w:r>
      <w:r w:rsidRPr="00CD5B9B">
        <w:rPr>
          <w:rFonts w:asciiTheme="majorHAnsi" w:hAnsiTheme="majorHAnsi" w:cs="Arial"/>
          <w:color w:val="000000"/>
          <w:sz w:val="20"/>
          <w:szCs w:val="20"/>
        </w:rPr>
        <w:t>.</w:t>
      </w:r>
      <w:r w:rsidRPr="00CD5B9B">
        <w:rPr>
          <w:rFonts w:asciiTheme="majorHAnsi" w:hAnsiTheme="majorHAnsi"/>
          <w:sz w:val="20"/>
          <w:szCs w:val="20"/>
        </w:rPr>
        <w:t xml:space="preserve"> </w:t>
      </w:r>
    </w:p>
    <w:p w:rsidR="00AC2A2A" w:rsidRDefault="00AC2A2A" w:rsidP="00AC2A2A">
      <w:pPr>
        <w:autoSpaceDE w:val="0"/>
        <w:autoSpaceDN w:val="0"/>
        <w:adjustRightInd w:val="0"/>
        <w:spacing w:before="120" w:line="360" w:lineRule="auto"/>
        <w:rPr>
          <w:rFonts w:asciiTheme="majorHAnsi" w:hAnsiTheme="majorHAnsi"/>
          <w:sz w:val="20"/>
          <w:szCs w:val="20"/>
        </w:rPr>
      </w:pPr>
    </w:p>
    <w:p w:rsidR="0087517D" w:rsidRDefault="00F13813" w:rsidP="00AC2A2A">
      <w:pPr>
        <w:autoSpaceDE w:val="0"/>
        <w:autoSpaceDN w:val="0"/>
        <w:adjustRightInd w:val="0"/>
        <w:spacing w:before="120" w:line="36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lastRenderedPageBreak/>
        <w:t>T</w:t>
      </w:r>
      <w:r w:rsidR="00AE03F6">
        <w:rPr>
          <w:rFonts w:asciiTheme="majorHAnsi" w:hAnsiTheme="majorHAnsi"/>
          <w:sz w:val="20"/>
          <w:szCs w:val="20"/>
        </w:rPr>
        <w:t>he</w:t>
      </w:r>
      <w:r>
        <w:rPr>
          <w:rFonts w:asciiTheme="majorHAnsi" w:hAnsiTheme="majorHAnsi"/>
          <w:sz w:val="20"/>
          <w:szCs w:val="20"/>
        </w:rPr>
        <w:t xml:space="preserve"> relative fit of each model to the data was</w:t>
      </w:r>
      <w:r w:rsidR="00AE03F6">
        <w:rPr>
          <w:rFonts w:asciiTheme="majorHAnsi" w:hAnsiTheme="majorHAnsi"/>
          <w:sz w:val="20"/>
          <w:szCs w:val="20"/>
        </w:rPr>
        <w:t xml:space="preserve"> measured </w:t>
      </w:r>
      <w:r w:rsidR="0087517D" w:rsidRPr="00CD5B9B">
        <w:rPr>
          <w:rFonts w:asciiTheme="majorHAnsi" w:hAnsiTheme="majorHAnsi"/>
          <w:sz w:val="20"/>
          <w:szCs w:val="20"/>
        </w:rPr>
        <w:t xml:space="preserve">using an </w:t>
      </w:r>
      <w:proofErr w:type="spellStart"/>
      <w:r w:rsidR="0087517D" w:rsidRPr="00CD5B9B">
        <w:rPr>
          <w:rFonts w:asciiTheme="majorHAnsi" w:hAnsiTheme="majorHAnsi"/>
          <w:sz w:val="20"/>
          <w:szCs w:val="20"/>
        </w:rPr>
        <w:t>Akaike</w:t>
      </w:r>
      <w:proofErr w:type="spellEnd"/>
      <w:r w:rsidR="0087517D" w:rsidRPr="00CD5B9B">
        <w:rPr>
          <w:rFonts w:asciiTheme="majorHAnsi" w:hAnsiTheme="majorHAnsi"/>
          <w:sz w:val="20"/>
          <w:szCs w:val="20"/>
        </w:rPr>
        <w:t xml:space="preserve"> Information Criterion corrected for small sample sizes (</w:t>
      </w:r>
      <w:proofErr w:type="spellStart"/>
      <w:r w:rsidR="0087517D" w:rsidRPr="00CD5B9B">
        <w:rPr>
          <w:rFonts w:asciiTheme="majorHAnsi" w:hAnsiTheme="majorHAnsi"/>
          <w:sz w:val="20"/>
          <w:szCs w:val="20"/>
        </w:rPr>
        <w:t>AICc</w:t>
      </w:r>
      <w:proofErr w:type="spellEnd"/>
      <w:r w:rsidR="0087517D" w:rsidRPr="00CD5B9B">
        <w:rPr>
          <w:rFonts w:asciiTheme="majorHAnsi" w:hAnsiTheme="majorHAnsi"/>
          <w:sz w:val="20"/>
          <w:szCs w:val="20"/>
        </w:rPr>
        <w:t xml:space="preserve">) (Burnham and Anderson 1998). </w:t>
      </w:r>
      <w:r>
        <w:rPr>
          <w:rFonts w:asciiTheme="majorHAnsi" w:hAnsiTheme="majorHAnsi"/>
          <w:sz w:val="20"/>
          <w:szCs w:val="20"/>
        </w:rPr>
        <w:t>The recommended model was chosen</w:t>
      </w:r>
      <w:r w:rsidR="0087517D" w:rsidRPr="00CD5B9B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from among all models </w:t>
      </w:r>
      <w:r w:rsidR="0087517D" w:rsidRPr="00CD5B9B">
        <w:rPr>
          <w:rFonts w:asciiTheme="majorHAnsi" w:hAnsiTheme="majorHAnsi"/>
          <w:sz w:val="20"/>
          <w:szCs w:val="20"/>
        </w:rPr>
        <w:t xml:space="preserve">based on </w:t>
      </w:r>
      <w:proofErr w:type="spellStart"/>
      <w:r>
        <w:rPr>
          <w:rFonts w:asciiTheme="majorHAnsi" w:hAnsiTheme="majorHAnsi"/>
          <w:sz w:val="20"/>
          <w:szCs w:val="20"/>
        </w:rPr>
        <w:t>AICc</w:t>
      </w:r>
      <w:proofErr w:type="spellEnd"/>
      <w:r>
        <w:rPr>
          <w:rFonts w:asciiTheme="majorHAnsi" w:hAnsiTheme="majorHAnsi"/>
          <w:sz w:val="20"/>
          <w:szCs w:val="20"/>
        </w:rPr>
        <w:t xml:space="preserve"> values</w:t>
      </w:r>
      <w:r w:rsidR="0087517D">
        <w:rPr>
          <w:rFonts w:asciiTheme="majorHAnsi" w:hAnsiTheme="majorHAnsi"/>
          <w:sz w:val="20"/>
          <w:szCs w:val="20"/>
        </w:rPr>
        <w:t>,</w:t>
      </w:r>
      <w:r w:rsidR="00AC2A2A">
        <w:rPr>
          <w:rFonts w:asciiTheme="majorHAnsi" w:hAnsiTheme="majorHAnsi"/>
          <w:sz w:val="20"/>
          <w:szCs w:val="20"/>
        </w:rPr>
        <w:t xml:space="preserve"> number of parameters among models with similar </w:t>
      </w:r>
      <w:proofErr w:type="spellStart"/>
      <w:r w:rsidR="00AC2A2A">
        <w:rPr>
          <w:rFonts w:asciiTheme="majorHAnsi" w:hAnsiTheme="majorHAnsi"/>
          <w:sz w:val="20"/>
          <w:szCs w:val="20"/>
        </w:rPr>
        <w:t>AICc</w:t>
      </w:r>
      <w:proofErr w:type="spellEnd"/>
      <w:r w:rsidR="00AC2A2A">
        <w:rPr>
          <w:rFonts w:asciiTheme="majorHAnsi" w:hAnsiTheme="majorHAnsi"/>
          <w:sz w:val="20"/>
          <w:szCs w:val="20"/>
        </w:rPr>
        <w:t xml:space="preserve"> values,</w:t>
      </w:r>
      <w:r w:rsidR="0087517D" w:rsidRPr="00CD5B9B">
        <w:rPr>
          <w:rFonts w:asciiTheme="majorHAnsi" w:hAnsiTheme="majorHAnsi"/>
          <w:sz w:val="20"/>
          <w:szCs w:val="20"/>
        </w:rPr>
        <w:t xml:space="preserve"> inspection of residuals, biologically realistic estimation of parameters, </w:t>
      </w:r>
      <w:r w:rsidR="0087517D">
        <w:rPr>
          <w:rFonts w:asciiTheme="majorHAnsi" w:hAnsiTheme="majorHAnsi"/>
          <w:sz w:val="20"/>
          <w:szCs w:val="20"/>
        </w:rPr>
        <w:t xml:space="preserve">and </w:t>
      </w:r>
      <w:r w:rsidR="0087517D" w:rsidRPr="00CD5B9B">
        <w:rPr>
          <w:rFonts w:asciiTheme="majorHAnsi" w:hAnsiTheme="majorHAnsi"/>
          <w:sz w:val="20"/>
          <w:szCs w:val="20"/>
        </w:rPr>
        <w:t xml:space="preserve">continuity with prior forecasts (similar periods of change for survival, maturity, and selectivity as prior years). </w:t>
      </w:r>
      <w:r w:rsidR="0087517D" w:rsidRPr="00CD5B9B">
        <w:rPr>
          <w:rFonts w:asciiTheme="majorHAnsi" w:hAnsiTheme="majorHAnsi" w:cs="Candida-Roman"/>
          <w:color w:val="231F20"/>
          <w:sz w:val="20"/>
          <w:szCs w:val="20"/>
        </w:rPr>
        <w:t>The difference (</w:t>
      </w:r>
      <w:r w:rsidR="0087517D" w:rsidRPr="00CD5B9B">
        <w:rPr>
          <w:rFonts w:asciiTheme="majorHAnsi" w:hAnsiTheme="majorHAnsi" w:cs="Symbol"/>
          <w:color w:val="231F20"/>
          <w:sz w:val="20"/>
          <w:szCs w:val="20"/>
        </w:rPr>
        <w:t>∆</w:t>
      </w:r>
      <w:proofErr w:type="spellStart"/>
      <w:r w:rsidR="0087517D" w:rsidRPr="00CD5B9B">
        <w:rPr>
          <w:rFonts w:asciiTheme="majorHAnsi" w:hAnsiTheme="majorHAnsi" w:cs="Symbol"/>
          <w:i/>
          <w:color w:val="231F20"/>
          <w:sz w:val="20"/>
          <w:szCs w:val="20"/>
          <w:vertAlign w:val="subscript"/>
        </w:rPr>
        <w:t>i</w:t>
      </w:r>
      <w:proofErr w:type="spellEnd"/>
      <w:r w:rsidR="0087517D" w:rsidRPr="00CD5B9B">
        <w:rPr>
          <w:rFonts w:asciiTheme="majorHAnsi" w:hAnsiTheme="majorHAnsi" w:cs="Candida-Roman"/>
          <w:color w:val="231F20"/>
          <w:sz w:val="20"/>
          <w:szCs w:val="20"/>
        </w:rPr>
        <w:t>) between a given model and the mod</w:t>
      </w:r>
      <w:r w:rsidR="00AE03F6">
        <w:rPr>
          <w:rFonts w:asciiTheme="majorHAnsi" w:hAnsiTheme="majorHAnsi" w:cs="Candida-Roman"/>
          <w:color w:val="231F20"/>
          <w:sz w:val="20"/>
          <w:szCs w:val="20"/>
        </w:rPr>
        <w:t xml:space="preserve">el with the lowest </w:t>
      </w:r>
      <w:proofErr w:type="spellStart"/>
      <w:r w:rsidR="00AE03F6">
        <w:rPr>
          <w:rFonts w:asciiTheme="majorHAnsi" w:hAnsiTheme="majorHAnsi" w:cs="Candida-Roman"/>
          <w:color w:val="231F20"/>
          <w:sz w:val="20"/>
          <w:szCs w:val="20"/>
        </w:rPr>
        <w:t>AICc</w:t>
      </w:r>
      <w:proofErr w:type="spellEnd"/>
      <w:r w:rsidR="00AE03F6">
        <w:rPr>
          <w:rFonts w:asciiTheme="majorHAnsi" w:hAnsiTheme="majorHAnsi" w:cs="Candida-Roman"/>
          <w:color w:val="231F20"/>
          <w:sz w:val="20"/>
          <w:szCs w:val="20"/>
        </w:rPr>
        <w:t xml:space="preserve"> value was</w:t>
      </w:r>
      <w:r w:rsidR="0087517D" w:rsidRPr="00CD5B9B">
        <w:rPr>
          <w:rFonts w:asciiTheme="majorHAnsi" w:hAnsiTheme="majorHAnsi" w:cs="Candida-Roman"/>
          <w:color w:val="231F20"/>
          <w:sz w:val="20"/>
          <w:szCs w:val="20"/>
        </w:rPr>
        <w:t xml:space="preserve"> the primary st</w:t>
      </w:r>
      <w:r w:rsidR="00AE03F6">
        <w:rPr>
          <w:rFonts w:asciiTheme="majorHAnsi" w:hAnsiTheme="majorHAnsi" w:cs="Candida-Roman"/>
          <w:color w:val="231F20"/>
          <w:sz w:val="20"/>
          <w:szCs w:val="20"/>
        </w:rPr>
        <w:t>atistic for choosing the recommended model from among all the biologically reasonable models. M</w:t>
      </w:r>
      <w:r w:rsidR="0087517D" w:rsidRPr="00CD5B9B">
        <w:rPr>
          <w:rFonts w:asciiTheme="majorHAnsi" w:hAnsiTheme="majorHAnsi" w:cs="Times-Roman"/>
          <w:sz w:val="20"/>
          <w:szCs w:val="20"/>
        </w:rPr>
        <w:t xml:space="preserve">odels </w:t>
      </w:r>
      <w:r w:rsidR="009E2029">
        <w:rPr>
          <w:rFonts w:asciiTheme="majorHAnsi" w:hAnsiTheme="majorHAnsi" w:cs="Times-Roman"/>
          <w:sz w:val="20"/>
          <w:szCs w:val="20"/>
        </w:rPr>
        <w:t>with</w:t>
      </w:r>
      <w:r w:rsidR="00AE03F6">
        <w:rPr>
          <w:rFonts w:asciiTheme="majorHAnsi" w:hAnsiTheme="majorHAnsi" w:cs="Times-Roman"/>
          <w:sz w:val="20"/>
          <w:szCs w:val="20"/>
        </w:rPr>
        <w:t xml:space="preserve"> </w:t>
      </w:r>
      <w:r w:rsidRPr="00CD5B9B">
        <w:rPr>
          <w:rFonts w:asciiTheme="majorHAnsi" w:hAnsiTheme="majorHAnsi" w:cs="Symbol"/>
          <w:color w:val="231F20"/>
          <w:sz w:val="20"/>
          <w:szCs w:val="20"/>
        </w:rPr>
        <w:t>∆</w:t>
      </w:r>
      <w:proofErr w:type="spellStart"/>
      <w:r w:rsidRPr="00CD5B9B">
        <w:rPr>
          <w:rFonts w:asciiTheme="majorHAnsi" w:hAnsiTheme="majorHAnsi" w:cs="Symbol"/>
          <w:i/>
          <w:color w:val="231F20"/>
          <w:sz w:val="20"/>
          <w:szCs w:val="20"/>
          <w:vertAlign w:val="subscript"/>
        </w:rPr>
        <w:t>i</w:t>
      </w:r>
      <w:proofErr w:type="spellEnd"/>
      <w:r>
        <w:rPr>
          <w:rFonts w:asciiTheme="majorHAnsi" w:hAnsiTheme="majorHAnsi" w:cs="Symbol"/>
          <w:i/>
          <w:color w:val="231F20"/>
          <w:sz w:val="20"/>
          <w:szCs w:val="20"/>
          <w:vertAlign w:val="subscript"/>
        </w:rPr>
        <w:t xml:space="preserve"> </w:t>
      </w:r>
      <w:r w:rsidR="0087517D" w:rsidRPr="00CD5B9B">
        <w:rPr>
          <w:rFonts w:asciiTheme="majorHAnsi" w:hAnsiTheme="majorHAnsi" w:cs="MTSY"/>
          <w:sz w:val="20"/>
          <w:szCs w:val="20"/>
        </w:rPr>
        <w:t xml:space="preserve">≤ </w:t>
      </w:r>
      <w:r w:rsidR="0087517D" w:rsidRPr="00CD5B9B">
        <w:rPr>
          <w:rFonts w:asciiTheme="majorHAnsi" w:hAnsiTheme="majorHAnsi" w:cs="Times-Roman"/>
          <w:sz w:val="20"/>
          <w:szCs w:val="20"/>
        </w:rPr>
        <w:t xml:space="preserve">2 </w:t>
      </w:r>
      <w:r w:rsidR="00AE03F6">
        <w:rPr>
          <w:rFonts w:asciiTheme="majorHAnsi" w:hAnsiTheme="majorHAnsi" w:cs="Times-Roman"/>
          <w:sz w:val="20"/>
          <w:szCs w:val="20"/>
        </w:rPr>
        <w:t xml:space="preserve">are considered to </w:t>
      </w:r>
      <w:r w:rsidR="0087517D" w:rsidRPr="00CD5B9B">
        <w:rPr>
          <w:rFonts w:asciiTheme="majorHAnsi" w:hAnsiTheme="majorHAnsi" w:cs="Times-Roman"/>
          <w:sz w:val="20"/>
          <w:szCs w:val="20"/>
        </w:rPr>
        <w:t xml:space="preserve">have substantial support, those </w:t>
      </w:r>
      <w:r w:rsidR="009E2029">
        <w:rPr>
          <w:rFonts w:asciiTheme="majorHAnsi" w:hAnsiTheme="majorHAnsi" w:cs="Times-Roman"/>
          <w:sz w:val="20"/>
          <w:szCs w:val="20"/>
        </w:rPr>
        <w:t xml:space="preserve">with </w:t>
      </w:r>
      <w:r w:rsidRPr="00CD5B9B">
        <w:rPr>
          <w:rFonts w:asciiTheme="majorHAnsi" w:hAnsiTheme="majorHAnsi" w:cs="Symbol"/>
          <w:color w:val="231F20"/>
          <w:sz w:val="20"/>
          <w:szCs w:val="20"/>
        </w:rPr>
        <w:t>∆</w:t>
      </w:r>
      <w:proofErr w:type="spellStart"/>
      <w:r w:rsidRPr="00CD5B9B">
        <w:rPr>
          <w:rFonts w:asciiTheme="majorHAnsi" w:hAnsiTheme="majorHAnsi" w:cs="Symbol"/>
          <w:i/>
          <w:color w:val="231F20"/>
          <w:sz w:val="20"/>
          <w:szCs w:val="20"/>
          <w:vertAlign w:val="subscript"/>
        </w:rPr>
        <w:t>i</w:t>
      </w:r>
      <w:proofErr w:type="spellEnd"/>
      <w:r>
        <w:rPr>
          <w:rFonts w:asciiTheme="majorHAnsi" w:hAnsiTheme="majorHAnsi" w:cs="Symbol"/>
          <w:i/>
          <w:color w:val="231F20"/>
          <w:sz w:val="20"/>
          <w:szCs w:val="20"/>
          <w:vertAlign w:val="subscript"/>
        </w:rPr>
        <w:t xml:space="preserve"> </w:t>
      </w:r>
      <w:r w:rsidR="009E2029" w:rsidRPr="009E2029">
        <w:rPr>
          <w:rFonts w:asciiTheme="majorHAnsi" w:hAnsiTheme="majorHAnsi" w:cs="MTMI"/>
          <w:iCs/>
          <w:sz w:val="20"/>
          <w:szCs w:val="20"/>
        </w:rPr>
        <w:t>between 4 and 7</w:t>
      </w:r>
      <w:r w:rsidR="0087517D" w:rsidRPr="009E2029">
        <w:rPr>
          <w:rFonts w:asciiTheme="majorHAnsi" w:hAnsiTheme="majorHAnsi" w:cs="Times-Roman"/>
          <w:sz w:val="20"/>
          <w:szCs w:val="20"/>
        </w:rPr>
        <w:t xml:space="preserve"> have</w:t>
      </w:r>
      <w:r w:rsidR="0087517D" w:rsidRPr="00CD5B9B">
        <w:rPr>
          <w:rFonts w:asciiTheme="majorHAnsi" w:hAnsiTheme="majorHAnsi" w:cs="Times-Roman"/>
          <w:sz w:val="20"/>
          <w:szCs w:val="20"/>
        </w:rPr>
        <w:t xml:space="preserve"> considerably less support, and models </w:t>
      </w:r>
      <w:r w:rsidR="009E2029">
        <w:rPr>
          <w:rFonts w:asciiTheme="majorHAnsi" w:hAnsiTheme="majorHAnsi" w:cs="Times-Roman"/>
          <w:sz w:val="20"/>
          <w:szCs w:val="20"/>
        </w:rPr>
        <w:t>with</w:t>
      </w:r>
      <w:r w:rsidR="0087517D" w:rsidRPr="00CD5B9B">
        <w:rPr>
          <w:rFonts w:asciiTheme="majorHAnsi" w:hAnsiTheme="majorHAnsi" w:cs="Times-Roman"/>
          <w:sz w:val="20"/>
          <w:szCs w:val="20"/>
        </w:rPr>
        <w:t xml:space="preserve"> </w:t>
      </w:r>
      <w:r w:rsidRPr="00CD5B9B">
        <w:rPr>
          <w:rFonts w:asciiTheme="majorHAnsi" w:hAnsiTheme="majorHAnsi" w:cs="Symbol"/>
          <w:color w:val="231F20"/>
          <w:sz w:val="20"/>
          <w:szCs w:val="20"/>
        </w:rPr>
        <w:t>∆</w:t>
      </w:r>
      <w:proofErr w:type="spellStart"/>
      <w:r w:rsidRPr="00CD5B9B">
        <w:rPr>
          <w:rFonts w:asciiTheme="majorHAnsi" w:hAnsiTheme="majorHAnsi" w:cs="Symbol"/>
          <w:i/>
          <w:color w:val="231F20"/>
          <w:sz w:val="20"/>
          <w:szCs w:val="20"/>
          <w:vertAlign w:val="subscript"/>
        </w:rPr>
        <w:t>i</w:t>
      </w:r>
      <w:proofErr w:type="spellEnd"/>
      <w:r>
        <w:rPr>
          <w:rFonts w:asciiTheme="majorHAnsi" w:hAnsiTheme="majorHAnsi" w:cs="Symbol"/>
          <w:i/>
          <w:color w:val="231F20"/>
          <w:sz w:val="20"/>
          <w:szCs w:val="20"/>
          <w:vertAlign w:val="subscript"/>
        </w:rPr>
        <w:t xml:space="preserve"> </w:t>
      </w:r>
      <w:r w:rsidR="0087517D" w:rsidRPr="00CD5B9B">
        <w:rPr>
          <w:rFonts w:asciiTheme="majorHAnsi" w:hAnsiTheme="majorHAnsi" w:cs="MTMI"/>
          <w:i/>
          <w:iCs/>
          <w:sz w:val="20"/>
          <w:szCs w:val="20"/>
        </w:rPr>
        <w:t xml:space="preserve">&gt; </w:t>
      </w:r>
      <w:r w:rsidR="0087517D" w:rsidRPr="00CD5B9B">
        <w:rPr>
          <w:rFonts w:asciiTheme="majorHAnsi" w:hAnsiTheme="majorHAnsi" w:cs="Times-Roman"/>
          <w:sz w:val="20"/>
          <w:szCs w:val="20"/>
        </w:rPr>
        <w:t>10 have essentially no support (Burnham and Anderson 2004</w:t>
      </w:r>
      <w:r w:rsidR="00743361">
        <w:rPr>
          <w:rFonts w:asciiTheme="majorHAnsi" w:hAnsiTheme="majorHAnsi" w:cs="Times-Roman"/>
          <w:sz w:val="20"/>
          <w:szCs w:val="20"/>
        </w:rPr>
        <w:t xml:space="preserve">; </w:t>
      </w:r>
      <w:r w:rsidR="00743361">
        <w:rPr>
          <w:rFonts w:asciiTheme="majorHAnsi" w:hAnsiTheme="majorHAnsi"/>
          <w:sz w:val="20"/>
          <w:szCs w:val="20"/>
        </w:rPr>
        <w:t xml:space="preserve">see </w:t>
      </w:r>
      <w:r w:rsidR="00743361" w:rsidRPr="00743361">
        <w:rPr>
          <w:rFonts w:asciiTheme="majorHAnsi" w:hAnsiTheme="majorHAnsi"/>
          <w:i/>
          <w:sz w:val="20"/>
          <w:szCs w:val="20"/>
        </w:rPr>
        <w:t>2016-forecast Sitka model comparison to post.xlsx</w:t>
      </w:r>
      <w:r w:rsidR="009E2029">
        <w:rPr>
          <w:rFonts w:asciiTheme="majorHAnsi" w:hAnsiTheme="majorHAnsi" w:cs="Times-Roman"/>
          <w:sz w:val="20"/>
          <w:szCs w:val="20"/>
        </w:rPr>
        <w:t>)</w:t>
      </w:r>
      <w:r w:rsidR="0087517D" w:rsidRPr="00CD5B9B">
        <w:rPr>
          <w:rFonts w:asciiTheme="majorHAnsi" w:hAnsiTheme="majorHAnsi" w:cs="Times-Roman"/>
          <w:sz w:val="20"/>
          <w:szCs w:val="20"/>
        </w:rPr>
        <w:t>.</w:t>
      </w:r>
      <w:r w:rsidR="0087517D" w:rsidRPr="00CD5B9B">
        <w:rPr>
          <w:rFonts w:asciiTheme="majorHAnsi" w:hAnsiTheme="majorHAnsi"/>
          <w:sz w:val="20"/>
          <w:szCs w:val="20"/>
        </w:rPr>
        <w:t xml:space="preserve"> </w:t>
      </w:r>
    </w:p>
    <w:p w:rsidR="0090042E" w:rsidRDefault="0090042E" w:rsidP="00AC2A2A">
      <w:pPr>
        <w:autoSpaceDE w:val="0"/>
        <w:autoSpaceDN w:val="0"/>
        <w:adjustRightInd w:val="0"/>
        <w:spacing w:before="120" w:line="360" w:lineRule="auto"/>
        <w:rPr>
          <w:rFonts w:asciiTheme="majorHAnsi" w:hAnsiTheme="majorHAnsi"/>
          <w:sz w:val="20"/>
          <w:szCs w:val="20"/>
        </w:rPr>
      </w:pPr>
    </w:p>
    <w:p w:rsidR="0090042E" w:rsidRDefault="0090042E" w:rsidP="00AC2A2A">
      <w:pPr>
        <w:spacing w:before="120" w:line="360" w:lineRule="auto"/>
        <w:rPr>
          <w:rFonts w:asciiTheme="majorHAnsi" w:hAnsiTheme="majorHAnsi" w:cs="Arial"/>
          <w:color w:val="000000" w:themeColor="text1"/>
          <w:sz w:val="20"/>
          <w:szCs w:val="20"/>
          <w:u w:val="single"/>
        </w:rPr>
      </w:pPr>
      <w:r w:rsidRPr="00CD5B9B">
        <w:rPr>
          <w:rFonts w:asciiTheme="majorHAnsi" w:hAnsiTheme="majorHAnsi" w:cs="Arial"/>
          <w:color w:val="000000" w:themeColor="text1"/>
          <w:sz w:val="20"/>
          <w:szCs w:val="20"/>
          <w:u w:val="single"/>
        </w:rPr>
        <w:t>Final Model Description</w:t>
      </w:r>
    </w:p>
    <w:p w:rsidR="0090042E" w:rsidRDefault="0090042E" w:rsidP="00AC2A2A">
      <w:pPr>
        <w:spacing w:before="120" w:line="360" w:lineRule="auto"/>
        <w:rPr>
          <w:rFonts w:asciiTheme="majorHAnsi" w:hAnsiTheme="majorHAnsi"/>
          <w:sz w:val="20"/>
          <w:szCs w:val="20"/>
        </w:rPr>
      </w:pPr>
      <w:r w:rsidRPr="00293A60">
        <w:rPr>
          <w:rFonts w:asciiTheme="majorHAnsi" w:hAnsiTheme="majorHAnsi"/>
          <w:i/>
          <w:sz w:val="20"/>
          <w:szCs w:val="20"/>
        </w:rPr>
        <w:t>Similar</w:t>
      </w:r>
      <w:r>
        <w:rPr>
          <w:rFonts w:asciiTheme="majorHAnsi" w:hAnsiTheme="majorHAnsi"/>
          <w:sz w:val="20"/>
          <w:szCs w:val="20"/>
        </w:rPr>
        <w:t xml:space="preserve"> to the 2015 ASA model, the recommended 2016 ASA model </w:t>
      </w:r>
    </w:p>
    <w:p w:rsidR="001F74C2" w:rsidRDefault="001F74C2" w:rsidP="00AC2A2A">
      <w:pPr>
        <w:pStyle w:val="ListParagraph"/>
        <w:numPr>
          <w:ilvl w:val="0"/>
          <w:numId w:val="1"/>
        </w:numPr>
        <w:spacing w:before="120" w:after="0" w:line="36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cs="Arial"/>
          <w:color w:val="000000" w:themeColor="text1"/>
          <w:sz w:val="20"/>
          <w:szCs w:val="20"/>
        </w:rPr>
        <w:t>was</w:t>
      </w:r>
      <w:r w:rsidRPr="00293A60">
        <w:rPr>
          <w:rFonts w:asciiTheme="majorHAnsi" w:hAnsiTheme="majorHAnsi" w:cs="Arial"/>
          <w:color w:val="000000" w:themeColor="text1"/>
          <w:sz w:val="20"/>
          <w:szCs w:val="20"/>
        </w:rPr>
        <w:t xml:space="preserve"> </w:t>
      </w:r>
      <w:r>
        <w:rPr>
          <w:rFonts w:asciiTheme="majorHAnsi" w:hAnsiTheme="majorHAnsi" w:cs="Arial"/>
          <w:color w:val="000000" w:themeColor="text1"/>
          <w:sz w:val="20"/>
          <w:szCs w:val="20"/>
        </w:rPr>
        <w:t>implemented in</w:t>
      </w:r>
      <w:r w:rsidRPr="00293A60">
        <w:rPr>
          <w:rFonts w:asciiTheme="majorHAnsi" w:hAnsiTheme="majorHAnsi" w:cs="Arial"/>
          <w:color w:val="000000" w:themeColor="text1"/>
          <w:sz w:val="20"/>
          <w:szCs w:val="20"/>
        </w:rPr>
        <w:t xml:space="preserve"> </w:t>
      </w:r>
      <w:r>
        <w:rPr>
          <w:rFonts w:asciiTheme="majorHAnsi" w:hAnsiTheme="majorHAnsi" w:cs="Arial"/>
          <w:color w:val="000000" w:themeColor="text1"/>
          <w:sz w:val="20"/>
          <w:szCs w:val="20"/>
        </w:rPr>
        <w:t>AD Model Builder,</w:t>
      </w:r>
    </w:p>
    <w:p w:rsidR="0090042E" w:rsidRDefault="0090042E" w:rsidP="00AC2A2A">
      <w:pPr>
        <w:pStyle w:val="ListParagraph"/>
        <w:numPr>
          <w:ilvl w:val="0"/>
          <w:numId w:val="1"/>
        </w:numPr>
        <w:spacing w:before="120" w:after="0" w:line="360" w:lineRule="auto"/>
        <w:rPr>
          <w:rFonts w:asciiTheme="majorHAnsi" w:hAnsiTheme="majorHAnsi"/>
          <w:sz w:val="20"/>
          <w:szCs w:val="20"/>
        </w:rPr>
      </w:pPr>
      <w:r w:rsidRPr="00293A60">
        <w:rPr>
          <w:rFonts w:asciiTheme="majorHAnsi" w:hAnsiTheme="majorHAnsi"/>
          <w:sz w:val="20"/>
          <w:szCs w:val="20"/>
        </w:rPr>
        <w:t>is based</w:t>
      </w:r>
      <w:r w:rsidR="00F13813">
        <w:rPr>
          <w:rFonts w:asciiTheme="majorHAnsi" w:hAnsiTheme="majorHAnsi"/>
          <w:sz w:val="20"/>
          <w:szCs w:val="20"/>
        </w:rPr>
        <w:t xml:space="preserve"> on data starting from year 1980</w:t>
      </w:r>
      <w:r w:rsidRPr="00293A60">
        <w:rPr>
          <w:rFonts w:asciiTheme="majorHAnsi" w:hAnsiTheme="majorHAnsi"/>
          <w:sz w:val="20"/>
          <w:szCs w:val="20"/>
        </w:rPr>
        <w:t xml:space="preserve">, </w:t>
      </w:r>
    </w:p>
    <w:p w:rsidR="009C2A8F" w:rsidRPr="00293A60" w:rsidRDefault="009C2A8F" w:rsidP="00AC2A2A">
      <w:pPr>
        <w:pStyle w:val="ListParagraph"/>
        <w:numPr>
          <w:ilvl w:val="0"/>
          <w:numId w:val="1"/>
        </w:numPr>
        <w:spacing w:before="120" w:after="0" w:line="36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weights annual </w:t>
      </w:r>
      <w:r w:rsidRPr="0090042E">
        <w:rPr>
          <w:rFonts w:asciiTheme="majorHAnsi" w:hAnsiTheme="majorHAnsi" w:cs="Times New Roman"/>
          <w:sz w:val="20"/>
          <w:szCs w:val="20"/>
        </w:rPr>
        <w:t>spawn deposition estimates by the inverse of their estimated variance</w:t>
      </w:r>
      <w:r w:rsidR="005312F4">
        <w:rPr>
          <w:rFonts w:asciiTheme="majorHAnsi" w:hAnsiTheme="majorHAnsi" w:cs="Times New Roman"/>
          <w:sz w:val="20"/>
          <w:szCs w:val="20"/>
        </w:rPr>
        <w:t xml:space="preserve"> (Figure </w:t>
      </w:r>
      <w:r w:rsidR="0033556D">
        <w:rPr>
          <w:rFonts w:asciiTheme="majorHAnsi" w:hAnsiTheme="majorHAnsi" w:cs="Times New Roman"/>
          <w:sz w:val="20"/>
          <w:szCs w:val="20"/>
        </w:rPr>
        <w:t>8</w:t>
      </w:r>
      <w:r w:rsidR="005312F4">
        <w:rPr>
          <w:rFonts w:asciiTheme="majorHAnsi" w:hAnsiTheme="majorHAnsi" w:cs="Times New Roman"/>
          <w:sz w:val="20"/>
          <w:szCs w:val="20"/>
        </w:rPr>
        <w:t>)</w:t>
      </w:r>
      <w:r w:rsidRPr="0090042E">
        <w:rPr>
          <w:rFonts w:asciiTheme="majorHAnsi" w:hAnsiTheme="majorHAnsi" w:cs="Times New Roman"/>
          <w:sz w:val="20"/>
          <w:szCs w:val="20"/>
        </w:rPr>
        <w:t>,</w:t>
      </w:r>
    </w:p>
    <w:p w:rsidR="00F13813" w:rsidRDefault="00F13813" w:rsidP="00AC2A2A">
      <w:pPr>
        <w:pStyle w:val="ListParagraph"/>
        <w:numPr>
          <w:ilvl w:val="0"/>
          <w:numId w:val="1"/>
        </w:numPr>
        <w:spacing w:before="120" w:after="0" w:line="36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has </w:t>
      </w:r>
      <w:r w:rsidRPr="0090042E">
        <w:rPr>
          <w:rFonts w:asciiTheme="majorHAnsi" w:hAnsiTheme="majorHAnsi" w:cs="Times New Roman"/>
          <w:sz w:val="20"/>
          <w:szCs w:val="20"/>
        </w:rPr>
        <w:t>two survival estimates (58% survival for 1980-1998</w:t>
      </w:r>
      <w:r w:rsidR="005312F4">
        <w:rPr>
          <w:rFonts w:asciiTheme="majorHAnsi" w:hAnsiTheme="majorHAnsi" w:cs="Times New Roman"/>
          <w:sz w:val="20"/>
          <w:szCs w:val="20"/>
        </w:rPr>
        <w:t xml:space="preserve"> and 76% </w:t>
      </w:r>
      <w:r w:rsidR="0033556D">
        <w:rPr>
          <w:rFonts w:asciiTheme="majorHAnsi" w:hAnsiTheme="majorHAnsi" w:cs="Times New Roman"/>
          <w:sz w:val="20"/>
          <w:szCs w:val="20"/>
        </w:rPr>
        <w:t>survival for 1999-2015; Figure 9</w:t>
      </w:r>
      <w:r w:rsidR="005312F4">
        <w:rPr>
          <w:rFonts w:asciiTheme="majorHAnsi" w:hAnsiTheme="majorHAnsi" w:cs="Times New Roman"/>
          <w:sz w:val="20"/>
          <w:szCs w:val="20"/>
        </w:rPr>
        <w:t>a)</w:t>
      </w:r>
      <w:r>
        <w:rPr>
          <w:rFonts w:asciiTheme="majorHAnsi" w:hAnsiTheme="majorHAnsi" w:cs="Times New Roman"/>
          <w:sz w:val="20"/>
          <w:szCs w:val="20"/>
        </w:rPr>
        <w:t>,</w:t>
      </w:r>
    </w:p>
    <w:p w:rsidR="0090042E" w:rsidRDefault="0090042E" w:rsidP="00AC2A2A">
      <w:pPr>
        <w:pStyle w:val="ListParagraph"/>
        <w:numPr>
          <w:ilvl w:val="0"/>
          <w:numId w:val="1"/>
        </w:numPr>
        <w:spacing w:before="120" w:after="0" w:line="360" w:lineRule="auto"/>
        <w:rPr>
          <w:rFonts w:asciiTheme="majorHAnsi" w:hAnsiTheme="majorHAnsi"/>
          <w:sz w:val="20"/>
          <w:szCs w:val="20"/>
        </w:rPr>
      </w:pPr>
      <w:r w:rsidRPr="00293A60">
        <w:rPr>
          <w:rFonts w:asciiTheme="majorHAnsi" w:hAnsiTheme="majorHAnsi"/>
          <w:sz w:val="20"/>
          <w:szCs w:val="20"/>
        </w:rPr>
        <w:t>has a single maturity schedule with an increasing percent of mature fish over ages</w:t>
      </w:r>
      <w:r>
        <w:rPr>
          <w:rFonts w:asciiTheme="majorHAnsi" w:hAnsiTheme="majorHAnsi"/>
          <w:sz w:val="20"/>
          <w:szCs w:val="20"/>
        </w:rPr>
        <w:t xml:space="preserve"> (</w:t>
      </w:r>
      <w:r w:rsidR="0033556D">
        <w:rPr>
          <w:rFonts w:asciiTheme="majorHAnsi" w:hAnsiTheme="majorHAnsi"/>
          <w:sz w:val="20"/>
          <w:szCs w:val="20"/>
        </w:rPr>
        <w:t>Figure 9</w:t>
      </w:r>
      <w:r w:rsidRPr="00293A60">
        <w:rPr>
          <w:rFonts w:asciiTheme="majorHAnsi" w:hAnsiTheme="majorHAnsi"/>
          <w:sz w:val="20"/>
          <w:szCs w:val="20"/>
        </w:rPr>
        <w:t>b)</w:t>
      </w:r>
      <w:r>
        <w:rPr>
          <w:rFonts w:asciiTheme="majorHAnsi" w:hAnsiTheme="majorHAnsi"/>
          <w:sz w:val="20"/>
          <w:szCs w:val="20"/>
        </w:rPr>
        <w:t>,</w:t>
      </w:r>
    </w:p>
    <w:p w:rsidR="0090042E" w:rsidRPr="005B0EC2" w:rsidRDefault="0090042E" w:rsidP="00AC2A2A">
      <w:pPr>
        <w:pStyle w:val="ListParagraph"/>
        <w:numPr>
          <w:ilvl w:val="0"/>
          <w:numId w:val="1"/>
        </w:numPr>
        <w:spacing w:before="120" w:line="360" w:lineRule="auto"/>
        <w:rPr>
          <w:rFonts w:asciiTheme="majorHAnsi" w:hAnsiTheme="majorHAnsi" w:cs="Arial"/>
          <w:color w:val="000000" w:themeColor="text1"/>
          <w:sz w:val="20"/>
          <w:szCs w:val="20"/>
        </w:rPr>
      </w:pPr>
      <w:r>
        <w:rPr>
          <w:rFonts w:asciiTheme="majorHAnsi" w:hAnsiTheme="majorHAnsi" w:cs="Arial"/>
          <w:color w:val="000000" w:themeColor="text1"/>
          <w:sz w:val="20"/>
          <w:szCs w:val="20"/>
        </w:rPr>
        <w:t>has</w:t>
      </w:r>
      <w:r w:rsidR="0010677B">
        <w:rPr>
          <w:rFonts w:asciiTheme="majorHAnsi" w:hAnsiTheme="majorHAnsi" w:cs="Arial"/>
          <w:color w:val="000000" w:themeColor="text1"/>
          <w:sz w:val="20"/>
          <w:szCs w:val="20"/>
        </w:rPr>
        <w:t xml:space="preserve"> a single gear selectivity schedule</w:t>
      </w:r>
      <w:r w:rsidR="0033556D">
        <w:rPr>
          <w:rFonts w:asciiTheme="majorHAnsi" w:hAnsiTheme="majorHAnsi" w:cs="Arial"/>
          <w:color w:val="000000" w:themeColor="text1"/>
          <w:sz w:val="20"/>
          <w:szCs w:val="20"/>
        </w:rPr>
        <w:t xml:space="preserve"> (Figure 9</w:t>
      </w:r>
      <w:r w:rsidR="005312F4">
        <w:rPr>
          <w:rFonts w:asciiTheme="majorHAnsi" w:hAnsiTheme="majorHAnsi" w:cs="Arial"/>
          <w:color w:val="000000" w:themeColor="text1"/>
          <w:sz w:val="20"/>
          <w:szCs w:val="20"/>
        </w:rPr>
        <w:t>c)</w:t>
      </w:r>
      <w:r>
        <w:rPr>
          <w:rFonts w:asciiTheme="majorHAnsi" w:hAnsiTheme="majorHAnsi" w:cs="Arial"/>
          <w:color w:val="000000" w:themeColor="text1"/>
          <w:sz w:val="20"/>
          <w:szCs w:val="20"/>
        </w:rPr>
        <w:t xml:space="preserve">, </w:t>
      </w:r>
    </w:p>
    <w:p w:rsidR="001F74C2" w:rsidRPr="0010677B" w:rsidRDefault="009C2A8F" w:rsidP="0010677B">
      <w:pPr>
        <w:pStyle w:val="ListParagraph"/>
        <w:numPr>
          <w:ilvl w:val="0"/>
          <w:numId w:val="1"/>
        </w:numPr>
        <w:spacing w:before="120" w:after="0" w:line="36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 xml:space="preserve">uses </w:t>
      </w:r>
      <w:r w:rsidRPr="0090042E">
        <w:rPr>
          <w:rFonts w:asciiTheme="majorHAnsi" w:hAnsiTheme="majorHAnsi" w:cs="Times New Roman"/>
          <w:sz w:val="20"/>
          <w:szCs w:val="20"/>
        </w:rPr>
        <w:t>the most recent survival (1</w:t>
      </w:r>
      <w:r w:rsidR="0010677B">
        <w:rPr>
          <w:rFonts w:asciiTheme="majorHAnsi" w:hAnsiTheme="majorHAnsi" w:cs="Times New Roman"/>
          <w:sz w:val="20"/>
          <w:szCs w:val="20"/>
        </w:rPr>
        <w:t>999-2015) for the 2016 forecast</w:t>
      </w:r>
      <w:r w:rsidRPr="0010677B">
        <w:rPr>
          <w:rFonts w:asciiTheme="majorHAnsi" w:hAnsiTheme="majorHAnsi"/>
          <w:sz w:val="20"/>
          <w:szCs w:val="20"/>
        </w:rPr>
        <w:t>,</w:t>
      </w:r>
    </w:p>
    <w:p w:rsidR="00CD5220" w:rsidRDefault="00CD5220" w:rsidP="00AC2A2A">
      <w:pPr>
        <w:pStyle w:val="ListParagraph"/>
        <w:numPr>
          <w:ilvl w:val="0"/>
          <w:numId w:val="1"/>
        </w:numPr>
        <w:spacing w:before="120" w:after="0" w:line="36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uses the previous year’s winter test fishery mean weight at age as the forecast weight at age (Figure </w:t>
      </w:r>
      <w:r w:rsidR="0033556D">
        <w:rPr>
          <w:rFonts w:asciiTheme="majorHAnsi" w:hAnsiTheme="majorHAnsi"/>
          <w:sz w:val="20"/>
          <w:szCs w:val="20"/>
        </w:rPr>
        <w:t>10</w:t>
      </w:r>
      <w:r>
        <w:rPr>
          <w:rFonts w:asciiTheme="majorHAnsi" w:hAnsiTheme="majorHAnsi"/>
          <w:sz w:val="20"/>
          <w:szCs w:val="20"/>
        </w:rPr>
        <w:t>)</w:t>
      </w:r>
    </w:p>
    <w:p w:rsidR="001F74C2" w:rsidRDefault="001F74C2" w:rsidP="00AC2A2A">
      <w:pPr>
        <w:pStyle w:val="ListParagraph"/>
        <w:numPr>
          <w:ilvl w:val="0"/>
          <w:numId w:val="1"/>
        </w:numPr>
        <w:spacing w:before="120" w:after="0" w:line="360" w:lineRule="auto"/>
        <w:rPr>
          <w:rFonts w:asciiTheme="majorHAnsi" w:hAnsiTheme="majorHAnsi"/>
          <w:sz w:val="20"/>
          <w:szCs w:val="20"/>
        </w:rPr>
      </w:pPr>
      <w:r w:rsidRPr="00293A60">
        <w:rPr>
          <w:rFonts w:asciiTheme="majorHAnsi" w:hAnsiTheme="majorHAnsi"/>
          <w:sz w:val="20"/>
          <w:szCs w:val="20"/>
        </w:rPr>
        <w:t xml:space="preserve">incorporates a Ricker </w:t>
      </w:r>
      <w:proofErr w:type="spellStart"/>
      <w:r w:rsidRPr="00293A60">
        <w:rPr>
          <w:rFonts w:asciiTheme="majorHAnsi" w:hAnsiTheme="majorHAnsi"/>
          <w:sz w:val="20"/>
          <w:szCs w:val="20"/>
        </w:rPr>
        <w:t>spawner</w:t>
      </w:r>
      <w:proofErr w:type="spellEnd"/>
      <w:r w:rsidRPr="00293A60">
        <w:rPr>
          <w:rFonts w:asciiTheme="majorHAnsi" w:hAnsiTheme="majorHAnsi"/>
          <w:sz w:val="20"/>
          <w:szCs w:val="20"/>
        </w:rPr>
        <w:t xml:space="preserve">-recruit function </w:t>
      </w:r>
      <w:r>
        <w:rPr>
          <w:rFonts w:asciiTheme="majorHAnsi" w:hAnsiTheme="majorHAnsi"/>
          <w:sz w:val="20"/>
          <w:szCs w:val="20"/>
        </w:rPr>
        <w:t>that is weighted low</w:t>
      </w:r>
      <w:r w:rsidRPr="00293A60">
        <w:rPr>
          <w:rFonts w:asciiTheme="majorHAnsi" w:hAnsiTheme="majorHAnsi"/>
          <w:sz w:val="20"/>
          <w:szCs w:val="20"/>
        </w:rPr>
        <w:t xml:space="preserve"> in the objective function</w:t>
      </w:r>
      <w:r>
        <w:rPr>
          <w:rFonts w:asciiTheme="majorHAnsi" w:hAnsiTheme="majorHAnsi"/>
          <w:sz w:val="20"/>
          <w:szCs w:val="20"/>
        </w:rPr>
        <w:t xml:space="preserve"> (same weighting as recent years) and helps the model to run smoothly, but has virtually no influence on model fit</w:t>
      </w:r>
      <w:r w:rsidR="005312F4">
        <w:rPr>
          <w:rFonts w:asciiTheme="majorHAnsi" w:hAnsiTheme="majorHAnsi"/>
          <w:sz w:val="20"/>
          <w:szCs w:val="20"/>
        </w:rPr>
        <w:t xml:space="preserve"> (Figure </w:t>
      </w:r>
      <w:r w:rsidR="0033556D">
        <w:rPr>
          <w:rFonts w:asciiTheme="majorHAnsi" w:hAnsiTheme="majorHAnsi"/>
          <w:sz w:val="20"/>
          <w:szCs w:val="20"/>
        </w:rPr>
        <w:t>11</w:t>
      </w:r>
      <w:r>
        <w:rPr>
          <w:rFonts w:asciiTheme="majorHAnsi" w:hAnsiTheme="majorHAnsi"/>
          <w:sz w:val="20"/>
          <w:szCs w:val="20"/>
        </w:rPr>
        <w:t>)</w:t>
      </w:r>
      <w:r w:rsidRPr="00293A60">
        <w:rPr>
          <w:rFonts w:asciiTheme="majorHAnsi" w:hAnsiTheme="majorHAnsi"/>
          <w:sz w:val="20"/>
          <w:szCs w:val="20"/>
        </w:rPr>
        <w:t xml:space="preserve">, </w:t>
      </w:r>
      <w:r>
        <w:rPr>
          <w:rFonts w:asciiTheme="majorHAnsi" w:hAnsiTheme="majorHAnsi"/>
          <w:sz w:val="20"/>
          <w:szCs w:val="20"/>
        </w:rPr>
        <w:t>and</w:t>
      </w:r>
    </w:p>
    <w:p w:rsidR="0090042E" w:rsidRPr="001F74C2" w:rsidRDefault="001F74C2" w:rsidP="00AC2A2A">
      <w:pPr>
        <w:pStyle w:val="ListParagraph"/>
        <w:numPr>
          <w:ilvl w:val="0"/>
          <w:numId w:val="1"/>
        </w:numPr>
        <w:spacing w:before="120" w:after="0" w:line="360" w:lineRule="auto"/>
        <w:rPr>
          <w:rFonts w:asciiTheme="majorHAnsi" w:hAnsiTheme="majorHAnsi"/>
          <w:sz w:val="20"/>
          <w:szCs w:val="20"/>
        </w:rPr>
      </w:pPr>
      <w:proofErr w:type="gramStart"/>
      <w:r>
        <w:rPr>
          <w:rFonts w:asciiTheme="majorHAnsi" w:hAnsiTheme="majorHAnsi"/>
          <w:sz w:val="20"/>
          <w:szCs w:val="20"/>
        </w:rPr>
        <w:t>uses</w:t>
      </w:r>
      <w:proofErr w:type="gramEnd"/>
      <w:r>
        <w:rPr>
          <w:rFonts w:asciiTheme="majorHAnsi" w:hAnsiTheme="majorHAnsi"/>
          <w:sz w:val="20"/>
          <w:szCs w:val="20"/>
        </w:rPr>
        <w:t xml:space="preserve"> the Ricker </w:t>
      </w:r>
      <w:proofErr w:type="spellStart"/>
      <w:r>
        <w:rPr>
          <w:rFonts w:asciiTheme="majorHAnsi" w:hAnsiTheme="majorHAnsi"/>
          <w:sz w:val="20"/>
          <w:szCs w:val="20"/>
        </w:rPr>
        <w:t>spawner</w:t>
      </w:r>
      <w:proofErr w:type="spellEnd"/>
      <w:r>
        <w:rPr>
          <w:rFonts w:asciiTheme="majorHAnsi" w:hAnsiTheme="majorHAnsi"/>
          <w:sz w:val="20"/>
          <w:szCs w:val="20"/>
        </w:rPr>
        <w:t>-recruit function to forecast age-3 recruitment in 2016</w:t>
      </w:r>
      <w:r w:rsidR="0033556D">
        <w:rPr>
          <w:rFonts w:asciiTheme="majorHAnsi" w:hAnsiTheme="majorHAnsi"/>
          <w:sz w:val="20"/>
          <w:szCs w:val="20"/>
        </w:rPr>
        <w:t xml:space="preserve"> (Figure 6</w:t>
      </w:r>
      <w:r w:rsidR="005312F4">
        <w:rPr>
          <w:rFonts w:asciiTheme="majorHAnsi" w:hAnsiTheme="majorHAnsi"/>
          <w:sz w:val="20"/>
          <w:szCs w:val="20"/>
        </w:rPr>
        <w:t>)</w:t>
      </w:r>
      <w:r>
        <w:rPr>
          <w:rFonts w:asciiTheme="majorHAnsi" w:hAnsiTheme="majorHAnsi"/>
          <w:sz w:val="20"/>
          <w:szCs w:val="20"/>
        </w:rPr>
        <w:t>.</w:t>
      </w:r>
    </w:p>
    <w:p w:rsidR="0090042E" w:rsidRDefault="0090042E" w:rsidP="00AC2A2A">
      <w:pPr>
        <w:spacing w:before="120" w:line="360" w:lineRule="auto"/>
        <w:rPr>
          <w:rFonts w:asciiTheme="majorHAnsi" w:hAnsiTheme="majorHAnsi"/>
          <w:i/>
          <w:sz w:val="20"/>
          <w:szCs w:val="20"/>
        </w:rPr>
      </w:pPr>
    </w:p>
    <w:p w:rsidR="001F74C2" w:rsidRPr="0090042E" w:rsidRDefault="001F74C2" w:rsidP="00AC2A2A">
      <w:pPr>
        <w:pStyle w:val="NormalWeb"/>
        <w:spacing w:before="120" w:beforeAutospacing="0" w:line="360" w:lineRule="auto"/>
        <w:rPr>
          <w:rFonts w:asciiTheme="majorHAnsi" w:hAnsiTheme="majorHAnsi"/>
          <w:sz w:val="20"/>
          <w:szCs w:val="20"/>
        </w:rPr>
      </w:pPr>
      <w:r w:rsidRPr="0090042E">
        <w:rPr>
          <w:rFonts w:asciiTheme="majorHAnsi" w:hAnsiTheme="majorHAnsi"/>
          <w:sz w:val="20"/>
          <w:szCs w:val="20"/>
        </w:rPr>
        <w:t xml:space="preserve">Despite the large number of </w:t>
      </w:r>
      <w:r>
        <w:rPr>
          <w:rFonts w:asciiTheme="majorHAnsi" w:hAnsiTheme="majorHAnsi"/>
          <w:sz w:val="20"/>
          <w:szCs w:val="20"/>
        </w:rPr>
        <w:t>alternative models in 2016</w:t>
      </w:r>
      <w:r w:rsidRPr="0090042E">
        <w:rPr>
          <w:rFonts w:asciiTheme="majorHAnsi" w:hAnsiTheme="majorHAnsi"/>
          <w:sz w:val="20"/>
          <w:szCs w:val="20"/>
        </w:rPr>
        <w:t xml:space="preserve">, the range of GHL’s produced by these models was quite small, </w:t>
      </w:r>
      <w:r>
        <w:rPr>
          <w:rFonts w:asciiTheme="majorHAnsi" w:hAnsiTheme="majorHAnsi"/>
          <w:sz w:val="20"/>
          <w:szCs w:val="20"/>
        </w:rPr>
        <w:t>varying by only approximately 2,000 tons</w:t>
      </w:r>
      <w:r w:rsidRPr="0090042E">
        <w:rPr>
          <w:rFonts w:asciiTheme="majorHAnsi" w:hAnsiTheme="majorHAnsi"/>
          <w:sz w:val="20"/>
          <w:szCs w:val="20"/>
        </w:rPr>
        <w:t>. There were two models that fit nearly as well as the recommended model</w:t>
      </w:r>
      <w:r>
        <w:rPr>
          <w:rFonts w:asciiTheme="majorHAnsi" w:hAnsiTheme="majorHAnsi"/>
          <w:sz w:val="20"/>
          <w:szCs w:val="20"/>
        </w:rPr>
        <w:t xml:space="preserve"> (</w:t>
      </w:r>
      <w:r w:rsidR="00743361">
        <w:rPr>
          <w:rFonts w:asciiTheme="majorHAnsi" w:hAnsiTheme="majorHAnsi"/>
          <w:sz w:val="20"/>
          <w:szCs w:val="20"/>
        </w:rPr>
        <w:t xml:space="preserve">see </w:t>
      </w:r>
      <w:r w:rsidR="00743361" w:rsidRPr="00743361">
        <w:rPr>
          <w:rFonts w:asciiTheme="majorHAnsi" w:hAnsiTheme="majorHAnsi"/>
          <w:i/>
          <w:sz w:val="20"/>
          <w:szCs w:val="20"/>
        </w:rPr>
        <w:t>2016-forecast Sitka model comparison to post.xlsx</w:t>
      </w:r>
      <w:r>
        <w:rPr>
          <w:rFonts w:asciiTheme="majorHAnsi" w:hAnsiTheme="majorHAnsi"/>
          <w:sz w:val="20"/>
          <w:szCs w:val="20"/>
        </w:rPr>
        <w:t>)</w:t>
      </w:r>
      <w:r w:rsidRPr="0090042E">
        <w:rPr>
          <w:rFonts w:asciiTheme="majorHAnsi" w:hAnsiTheme="majorHAnsi"/>
          <w:sz w:val="20"/>
          <w:szCs w:val="20"/>
        </w:rPr>
        <w:t xml:space="preserve">. The differences in </w:t>
      </w:r>
      <w:proofErr w:type="spellStart"/>
      <w:r w:rsidRPr="0090042E">
        <w:rPr>
          <w:rFonts w:asciiTheme="majorHAnsi" w:hAnsiTheme="majorHAnsi"/>
          <w:sz w:val="20"/>
          <w:szCs w:val="20"/>
        </w:rPr>
        <w:t>AICc</w:t>
      </w:r>
      <w:proofErr w:type="spellEnd"/>
      <w:r w:rsidRPr="0090042E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(</w:t>
      </w:r>
      <w:r w:rsidRPr="00CD5B9B">
        <w:rPr>
          <w:rFonts w:asciiTheme="majorHAnsi" w:hAnsiTheme="majorHAnsi" w:cs="Symbol"/>
          <w:color w:val="231F20"/>
          <w:sz w:val="20"/>
          <w:szCs w:val="20"/>
        </w:rPr>
        <w:t>∆</w:t>
      </w:r>
      <w:proofErr w:type="spellStart"/>
      <w:r w:rsidRPr="00CD5B9B">
        <w:rPr>
          <w:rFonts w:asciiTheme="majorHAnsi" w:hAnsiTheme="majorHAnsi" w:cs="Symbol"/>
          <w:i/>
          <w:color w:val="231F20"/>
          <w:sz w:val="20"/>
          <w:szCs w:val="20"/>
          <w:vertAlign w:val="subscript"/>
        </w:rPr>
        <w:t>i</w:t>
      </w:r>
      <w:proofErr w:type="spellEnd"/>
      <w:r w:rsidR="006719DF">
        <w:rPr>
          <w:rFonts w:asciiTheme="majorHAnsi" w:hAnsiTheme="majorHAnsi"/>
          <w:sz w:val="20"/>
          <w:szCs w:val="20"/>
        </w:rPr>
        <w:t>)</w:t>
      </w:r>
      <w:r w:rsidR="006719DF" w:rsidRPr="0090042E">
        <w:rPr>
          <w:rFonts w:asciiTheme="majorHAnsi" w:hAnsiTheme="majorHAnsi"/>
          <w:sz w:val="20"/>
          <w:szCs w:val="20"/>
        </w:rPr>
        <w:t xml:space="preserve"> between</w:t>
      </w:r>
      <w:r w:rsidRPr="0090042E">
        <w:rPr>
          <w:rFonts w:asciiTheme="majorHAnsi" w:hAnsiTheme="majorHAnsi"/>
          <w:sz w:val="20"/>
          <w:szCs w:val="20"/>
        </w:rPr>
        <w:t xml:space="preserve"> these models and the recommended model were 0.74 and 1.85. These models both had a change in survival between 1998 and 1999 and either had a change in maturity between 2007and 2008 or between 1998 and 1999. The GHL’s produced by these models were 13,788 tons and 14,492 tons, respectively. The recommended model was </w:t>
      </w:r>
      <w:r w:rsidR="00AC2A2A">
        <w:rPr>
          <w:rFonts w:asciiTheme="majorHAnsi" w:hAnsiTheme="majorHAnsi"/>
          <w:sz w:val="20"/>
          <w:szCs w:val="20"/>
        </w:rPr>
        <w:t xml:space="preserve">chosen </w:t>
      </w:r>
      <w:r w:rsidR="0010677B">
        <w:rPr>
          <w:rFonts w:asciiTheme="majorHAnsi" w:hAnsiTheme="majorHAnsi"/>
          <w:sz w:val="20"/>
          <w:szCs w:val="20"/>
        </w:rPr>
        <w:t xml:space="preserve">using consistent rationale with other years and other stocks. Specifically, it was chosen </w:t>
      </w:r>
      <w:r w:rsidR="00AC2A2A">
        <w:rPr>
          <w:rFonts w:asciiTheme="majorHAnsi" w:hAnsiTheme="majorHAnsi"/>
          <w:sz w:val="20"/>
          <w:szCs w:val="20"/>
        </w:rPr>
        <w:t xml:space="preserve">because of the model fit (lowest </w:t>
      </w:r>
      <w:proofErr w:type="spellStart"/>
      <w:r w:rsidR="00AC2A2A">
        <w:rPr>
          <w:rFonts w:asciiTheme="majorHAnsi" w:hAnsiTheme="majorHAnsi"/>
          <w:sz w:val="20"/>
          <w:szCs w:val="20"/>
        </w:rPr>
        <w:t>AICc</w:t>
      </w:r>
      <w:proofErr w:type="spellEnd"/>
      <w:r w:rsidR="00AC2A2A">
        <w:rPr>
          <w:rFonts w:asciiTheme="majorHAnsi" w:hAnsiTheme="majorHAnsi"/>
          <w:sz w:val="20"/>
          <w:szCs w:val="20"/>
        </w:rPr>
        <w:t xml:space="preserve"> value), the lowest number of parameters among models </w:t>
      </w:r>
      <w:r w:rsidR="00AC2A2A">
        <w:rPr>
          <w:rFonts w:asciiTheme="majorHAnsi" w:hAnsiTheme="majorHAnsi"/>
          <w:sz w:val="20"/>
          <w:szCs w:val="20"/>
        </w:rPr>
        <w:lastRenderedPageBreak/>
        <w:t xml:space="preserve">with similar fit, and continuity in model parameterization with previous years (i.e. the recommended model this year fit the data best last year, whereas the model with the second lowest </w:t>
      </w:r>
      <w:proofErr w:type="spellStart"/>
      <w:r w:rsidR="00AC2A2A">
        <w:rPr>
          <w:rFonts w:asciiTheme="majorHAnsi" w:hAnsiTheme="majorHAnsi"/>
          <w:sz w:val="20"/>
          <w:szCs w:val="20"/>
        </w:rPr>
        <w:t>AICc</w:t>
      </w:r>
      <w:proofErr w:type="spellEnd"/>
      <w:r w:rsidR="00AC2A2A">
        <w:rPr>
          <w:rFonts w:asciiTheme="majorHAnsi" w:hAnsiTheme="majorHAnsi"/>
          <w:sz w:val="20"/>
          <w:szCs w:val="20"/>
        </w:rPr>
        <w:t xml:space="preserve"> this year did not fit the data very well last year</w:t>
      </w:r>
      <w:r w:rsidR="0010677B">
        <w:rPr>
          <w:rFonts w:asciiTheme="majorHAnsi" w:hAnsiTheme="majorHAnsi"/>
          <w:sz w:val="20"/>
          <w:szCs w:val="20"/>
        </w:rPr>
        <w:t>)</w:t>
      </w:r>
      <w:r w:rsidR="00AC2A2A">
        <w:rPr>
          <w:rFonts w:asciiTheme="majorHAnsi" w:hAnsiTheme="majorHAnsi"/>
          <w:sz w:val="20"/>
          <w:szCs w:val="20"/>
        </w:rPr>
        <w:t xml:space="preserve">. </w:t>
      </w:r>
    </w:p>
    <w:p w:rsidR="00AC2A2A" w:rsidRPr="005312F4" w:rsidRDefault="00AC2A2A" w:rsidP="00AC2A2A">
      <w:pPr>
        <w:spacing w:before="120" w:line="360" w:lineRule="auto"/>
        <w:rPr>
          <w:rFonts w:asciiTheme="majorHAnsi" w:hAnsiTheme="majorHAnsi" w:cs="Arial"/>
          <w:color w:val="000000" w:themeColor="text1"/>
          <w:sz w:val="20"/>
          <w:szCs w:val="20"/>
        </w:rPr>
      </w:pPr>
    </w:p>
    <w:p w:rsidR="0090042E" w:rsidRPr="00C7332B" w:rsidRDefault="0090042E" w:rsidP="00AC2A2A">
      <w:pPr>
        <w:spacing w:before="120" w:line="360" w:lineRule="auto"/>
        <w:rPr>
          <w:rFonts w:asciiTheme="majorHAnsi" w:hAnsiTheme="majorHAnsi" w:cs="Arial"/>
          <w:color w:val="000000" w:themeColor="text1"/>
          <w:sz w:val="20"/>
          <w:szCs w:val="20"/>
        </w:rPr>
      </w:pPr>
      <w:r w:rsidRPr="00CD5B9B">
        <w:rPr>
          <w:rFonts w:asciiTheme="majorHAnsi" w:hAnsiTheme="majorHAnsi" w:cs="Arial"/>
          <w:color w:val="000000" w:themeColor="text1"/>
          <w:sz w:val="20"/>
          <w:szCs w:val="20"/>
          <w:u w:val="single"/>
        </w:rPr>
        <w:t>Extra Figures</w:t>
      </w:r>
    </w:p>
    <w:p w:rsidR="0090042E" w:rsidRPr="00CD5B9B" w:rsidRDefault="0090042E" w:rsidP="00AC2A2A">
      <w:pPr>
        <w:spacing w:before="120" w:line="360" w:lineRule="auto"/>
        <w:rPr>
          <w:rFonts w:asciiTheme="majorHAnsi" w:hAnsiTheme="majorHAnsi"/>
          <w:color w:val="000000" w:themeColor="text1"/>
          <w:sz w:val="20"/>
          <w:szCs w:val="20"/>
        </w:rPr>
      </w:pPr>
      <w:r w:rsidRPr="00CD5B9B">
        <w:rPr>
          <w:rFonts w:asciiTheme="majorHAnsi" w:hAnsiTheme="majorHAnsi" w:cs="Arial"/>
          <w:color w:val="000000" w:themeColor="text1"/>
          <w:sz w:val="20"/>
          <w:szCs w:val="20"/>
        </w:rPr>
        <w:t xml:space="preserve">Figures were automated in </w:t>
      </w:r>
      <w:r w:rsidR="001F74C2">
        <w:rPr>
          <w:rFonts w:asciiTheme="majorHAnsi" w:hAnsiTheme="majorHAnsi" w:cs="Arial"/>
          <w:color w:val="000000" w:themeColor="text1"/>
          <w:sz w:val="20"/>
          <w:szCs w:val="20"/>
        </w:rPr>
        <w:t xml:space="preserve">the program </w:t>
      </w:r>
      <w:r w:rsidRPr="00CD5B9B">
        <w:rPr>
          <w:rFonts w:asciiTheme="majorHAnsi" w:hAnsiTheme="majorHAnsi" w:cs="Arial"/>
          <w:color w:val="000000" w:themeColor="text1"/>
          <w:sz w:val="20"/>
          <w:szCs w:val="20"/>
        </w:rPr>
        <w:t xml:space="preserve">R from AD Model Builder so that ASA herring forecasts for all southeast stocks </w:t>
      </w:r>
      <w:r w:rsidR="001F74C2">
        <w:rPr>
          <w:rFonts w:asciiTheme="majorHAnsi" w:hAnsiTheme="majorHAnsi" w:cs="Arial"/>
          <w:color w:val="000000" w:themeColor="text1"/>
          <w:sz w:val="20"/>
          <w:szCs w:val="20"/>
        </w:rPr>
        <w:t xml:space="preserve">assessed with ASA models </w:t>
      </w:r>
      <w:r w:rsidRPr="00CD5B9B">
        <w:rPr>
          <w:rFonts w:asciiTheme="majorHAnsi" w:hAnsiTheme="majorHAnsi" w:cs="Arial"/>
          <w:color w:val="000000" w:themeColor="text1"/>
          <w:sz w:val="20"/>
          <w:szCs w:val="20"/>
        </w:rPr>
        <w:t xml:space="preserve">have similar outputs of figures. </w:t>
      </w:r>
      <w:r w:rsidRPr="00CD5B9B">
        <w:rPr>
          <w:rFonts w:asciiTheme="majorHAnsi" w:hAnsiTheme="majorHAnsi"/>
          <w:sz w:val="20"/>
          <w:szCs w:val="20"/>
        </w:rPr>
        <w:t>If there are additional figures you would like to see, or changes to the current figures (layout, color, bars versus points/lines), please let me know.</w:t>
      </w:r>
      <w:r w:rsidRPr="00CD5B9B"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Pr="00CD5B9B">
        <w:rPr>
          <w:rFonts w:asciiTheme="majorHAnsi" w:hAnsiTheme="majorHAnsi" w:cs="Arial"/>
          <w:color w:val="000000" w:themeColor="text1"/>
          <w:sz w:val="20"/>
          <w:szCs w:val="20"/>
        </w:rPr>
        <w:t>I will also put an updated copy of the summary file under S:\Region1Shared-DCF\Research\Herring-Dive Fisheries\Herring\Year 2016 Forecasts\Forecast models\ ASA Models\</w:t>
      </w:r>
      <w:r w:rsidR="001F74C2">
        <w:rPr>
          <w:rFonts w:asciiTheme="majorHAnsi" w:hAnsiTheme="majorHAnsi" w:cs="Arial"/>
          <w:color w:val="000000" w:themeColor="text1"/>
          <w:sz w:val="20"/>
          <w:szCs w:val="20"/>
        </w:rPr>
        <w:t>Sitka</w:t>
      </w:r>
      <w:r w:rsidRPr="00CD5B9B">
        <w:rPr>
          <w:rFonts w:asciiTheme="majorHAnsi" w:hAnsiTheme="majorHAnsi" w:cs="Arial"/>
          <w:color w:val="000000" w:themeColor="text1"/>
          <w:sz w:val="20"/>
          <w:szCs w:val="20"/>
        </w:rPr>
        <w:t xml:space="preserve">. AWL and spawn deposition files are included in the Year 2016 Forecasts subfolders as well. </w:t>
      </w:r>
    </w:p>
    <w:p w:rsidR="0090042E" w:rsidRPr="00CD5B9B" w:rsidRDefault="0090042E" w:rsidP="00AC2A2A">
      <w:pPr>
        <w:spacing w:before="120" w:line="360" w:lineRule="auto"/>
        <w:rPr>
          <w:rFonts w:asciiTheme="majorHAnsi" w:hAnsiTheme="majorHAnsi"/>
          <w:color w:val="000000" w:themeColor="text1"/>
          <w:sz w:val="20"/>
          <w:szCs w:val="20"/>
        </w:rPr>
      </w:pPr>
      <w:r w:rsidRPr="00CD5B9B">
        <w:rPr>
          <w:rFonts w:asciiTheme="majorHAnsi" w:hAnsiTheme="majorHAnsi" w:cs="Arial"/>
          <w:color w:val="000000" w:themeColor="text1"/>
          <w:sz w:val="20"/>
          <w:szCs w:val="20"/>
        </w:rPr>
        <w:t>I look forward to hearing your thoughts,</w:t>
      </w:r>
    </w:p>
    <w:p w:rsidR="0090042E" w:rsidRDefault="0090042E" w:rsidP="00AC2A2A">
      <w:pPr>
        <w:spacing w:before="120" w:line="360" w:lineRule="auto"/>
        <w:rPr>
          <w:rFonts w:asciiTheme="majorHAnsi" w:hAnsiTheme="majorHAnsi" w:cs="Arial"/>
          <w:color w:val="000000" w:themeColor="text1"/>
          <w:sz w:val="20"/>
          <w:szCs w:val="20"/>
        </w:rPr>
      </w:pPr>
      <w:r w:rsidRPr="0090042E">
        <w:rPr>
          <w:rFonts w:asciiTheme="majorHAnsi" w:hAnsiTheme="majorHAnsi" w:cs="Arial"/>
          <w:color w:val="000000" w:themeColor="text1"/>
          <w:sz w:val="20"/>
          <w:szCs w:val="20"/>
        </w:rPr>
        <w:t>Sherri</w:t>
      </w:r>
    </w:p>
    <w:p w:rsidR="00AC2A2A" w:rsidRDefault="00AC2A2A" w:rsidP="00AC2A2A">
      <w:pPr>
        <w:rPr>
          <w:rFonts w:asciiTheme="majorHAnsi" w:hAnsiTheme="majorHAnsi" w:cs="Arial"/>
          <w:color w:val="000000" w:themeColor="text1"/>
          <w:sz w:val="20"/>
          <w:szCs w:val="20"/>
        </w:rPr>
      </w:pPr>
    </w:p>
    <w:p w:rsidR="00AC2A2A" w:rsidRDefault="00AC2A2A" w:rsidP="00AC2A2A">
      <w:pPr>
        <w:rPr>
          <w:rFonts w:asciiTheme="majorHAnsi" w:hAnsiTheme="majorHAnsi" w:cs="Arial"/>
          <w:color w:val="000000" w:themeColor="text1"/>
          <w:sz w:val="20"/>
          <w:szCs w:val="20"/>
        </w:rPr>
      </w:pPr>
    </w:p>
    <w:p w:rsidR="0090042E" w:rsidRPr="004952B5" w:rsidRDefault="0090042E" w:rsidP="0090042E">
      <w:pPr>
        <w:rPr>
          <w:rFonts w:asciiTheme="majorHAnsi" w:hAnsiTheme="majorHAnsi"/>
          <w:b/>
          <w:color w:val="000000"/>
          <w:sz w:val="20"/>
          <w:szCs w:val="20"/>
        </w:rPr>
      </w:pPr>
      <w:r w:rsidRPr="004952B5">
        <w:rPr>
          <w:rFonts w:asciiTheme="majorHAnsi" w:hAnsiTheme="majorHAnsi"/>
          <w:b/>
          <w:color w:val="000000"/>
          <w:sz w:val="20"/>
          <w:szCs w:val="20"/>
        </w:rPr>
        <w:t>References:</w:t>
      </w:r>
    </w:p>
    <w:p w:rsidR="0090042E" w:rsidRPr="001F692A" w:rsidRDefault="0090042E" w:rsidP="0090042E">
      <w:pPr>
        <w:autoSpaceDE w:val="0"/>
        <w:autoSpaceDN w:val="0"/>
        <w:adjustRightInd w:val="0"/>
        <w:ind w:left="720" w:hanging="720"/>
        <w:rPr>
          <w:rFonts w:asciiTheme="majorHAnsi" w:hAnsiTheme="majorHAnsi" w:cs="Times-Roman"/>
          <w:sz w:val="20"/>
          <w:szCs w:val="20"/>
        </w:rPr>
      </w:pPr>
      <w:proofErr w:type="gramStart"/>
      <w:r w:rsidRPr="001F692A">
        <w:rPr>
          <w:rFonts w:asciiTheme="majorHAnsi" w:hAnsiTheme="majorHAnsi" w:cs="AdvPS94BA"/>
          <w:color w:val="292526"/>
          <w:sz w:val="20"/>
          <w:szCs w:val="20"/>
        </w:rPr>
        <w:t xml:space="preserve">Burnham, K. P., and </w:t>
      </w:r>
      <w:r>
        <w:rPr>
          <w:rFonts w:asciiTheme="majorHAnsi" w:hAnsiTheme="majorHAnsi" w:cs="AdvPS94BA"/>
          <w:color w:val="292526"/>
          <w:sz w:val="20"/>
          <w:szCs w:val="20"/>
        </w:rPr>
        <w:t>D. R. Anderson.</w:t>
      </w:r>
      <w:proofErr w:type="gramEnd"/>
      <w:r w:rsidRPr="001F692A">
        <w:rPr>
          <w:rFonts w:asciiTheme="majorHAnsi" w:hAnsiTheme="majorHAnsi" w:cs="AdvPS94BA"/>
          <w:color w:val="292526"/>
          <w:sz w:val="20"/>
          <w:szCs w:val="20"/>
        </w:rPr>
        <w:t xml:space="preserve"> 2004. </w:t>
      </w:r>
      <w:proofErr w:type="spellStart"/>
      <w:r w:rsidRPr="001F692A">
        <w:rPr>
          <w:rFonts w:asciiTheme="majorHAnsi" w:hAnsiTheme="majorHAnsi" w:cs="Times-Roman"/>
          <w:sz w:val="20"/>
          <w:szCs w:val="20"/>
        </w:rPr>
        <w:t>Multimodel</w:t>
      </w:r>
      <w:proofErr w:type="spellEnd"/>
      <w:r w:rsidRPr="001F692A">
        <w:rPr>
          <w:rFonts w:asciiTheme="majorHAnsi" w:hAnsiTheme="majorHAnsi" w:cs="Times-Roman"/>
          <w:sz w:val="20"/>
          <w:szCs w:val="20"/>
        </w:rPr>
        <w:t xml:space="preserve"> Inference: Understanding AIC and BIC in Model Selection. Sociological Methods &amp; Research, Vol. 33(2): 261-304.</w:t>
      </w:r>
    </w:p>
    <w:p w:rsidR="0090042E" w:rsidRPr="001F692A" w:rsidRDefault="0090042E" w:rsidP="0090042E">
      <w:pPr>
        <w:autoSpaceDE w:val="0"/>
        <w:autoSpaceDN w:val="0"/>
        <w:adjustRightInd w:val="0"/>
        <w:rPr>
          <w:rFonts w:asciiTheme="majorHAnsi" w:hAnsiTheme="majorHAnsi" w:cs="Candida-Roman"/>
          <w:color w:val="231F20"/>
          <w:sz w:val="20"/>
          <w:szCs w:val="20"/>
        </w:rPr>
      </w:pPr>
    </w:p>
    <w:p w:rsidR="0090042E" w:rsidRPr="001F692A" w:rsidRDefault="0090042E" w:rsidP="0090042E">
      <w:pPr>
        <w:autoSpaceDE w:val="0"/>
        <w:autoSpaceDN w:val="0"/>
        <w:adjustRightInd w:val="0"/>
        <w:rPr>
          <w:rFonts w:asciiTheme="majorHAnsi" w:hAnsiTheme="majorHAnsi" w:cs="AdvPS94BA"/>
          <w:color w:val="292526"/>
          <w:sz w:val="20"/>
          <w:szCs w:val="20"/>
        </w:rPr>
      </w:pPr>
      <w:proofErr w:type="gramStart"/>
      <w:r w:rsidRPr="001F692A">
        <w:rPr>
          <w:rFonts w:asciiTheme="majorHAnsi" w:hAnsiTheme="majorHAnsi" w:cs="AdvPS94BA"/>
          <w:color w:val="292526"/>
          <w:sz w:val="20"/>
          <w:szCs w:val="20"/>
        </w:rPr>
        <w:t>Burnham, K. P., and Anderson, D. R. 1998.</w:t>
      </w:r>
      <w:proofErr w:type="gramEnd"/>
      <w:r w:rsidRPr="001F692A">
        <w:rPr>
          <w:rFonts w:asciiTheme="majorHAnsi" w:hAnsiTheme="majorHAnsi" w:cs="AdvPS94BA"/>
          <w:color w:val="292526"/>
          <w:sz w:val="20"/>
          <w:szCs w:val="20"/>
        </w:rPr>
        <w:t xml:space="preserve"> </w:t>
      </w:r>
      <w:proofErr w:type="gramStart"/>
      <w:r w:rsidRPr="001F692A">
        <w:rPr>
          <w:rFonts w:asciiTheme="majorHAnsi" w:hAnsiTheme="majorHAnsi" w:cs="AdvPS94BA"/>
          <w:color w:val="292526"/>
          <w:sz w:val="20"/>
          <w:szCs w:val="20"/>
        </w:rPr>
        <w:t>Model Selection and Inference.</w:t>
      </w:r>
      <w:proofErr w:type="gramEnd"/>
      <w:r w:rsidRPr="001F692A">
        <w:rPr>
          <w:rFonts w:asciiTheme="majorHAnsi" w:hAnsiTheme="majorHAnsi" w:cs="AdvPS94BA"/>
          <w:color w:val="292526"/>
          <w:sz w:val="20"/>
          <w:szCs w:val="20"/>
        </w:rPr>
        <w:t xml:space="preserve"> </w:t>
      </w:r>
      <w:proofErr w:type="gramStart"/>
      <w:r w:rsidRPr="001F692A">
        <w:rPr>
          <w:rFonts w:asciiTheme="majorHAnsi" w:hAnsiTheme="majorHAnsi" w:cs="AdvPS94BA"/>
          <w:color w:val="292526"/>
          <w:sz w:val="20"/>
          <w:szCs w:val="20"/>
        </w:rPr>
        <w:t>Springer, New York.</w:t>
      </w:r>
      <w:proofErr w:type="gramEnd"/>
      <w:r w:rsidRPr="001F692A">
        <w:rPr>
          <w:rFonts w:asciiTheme="majorHAnsi" w:hAnsiTheme="majorHAnsi" w:cs="AdvPS94BA"/>
          <w:color w:val="292526"/>
          <w:sz w:val="20"/>
          <w:szCs w:val="20"/>
        </w:rPr>
        <w:t xml:space="preserve"> </w:t>
      </w:r>
      <w:proofErr w:type="gramStart"/>
      <w:r w:rsidRPr="001F692A">
        <w:rPr>
          <w:rFonts w:asciiTheme="majorHAnsi" w:hAnsiTheme="majorHAnsi" w:cs="AdvPS94BA"/>
          <w:color w:val="292526"/>
          <w:sz w:val="20"/>
          <w:szCs w:val="20"/>
        </w:rPr>
        <w:t>353 pp.</w:t>
      </w:r>
      <w:proofErr w:type="gramEnd"/>
      <w:r w:rsidRPr="001F692A">
        <w:rPr>
          <w:rFonts w:asciiTheme="majorHAnsi" w:hAnsiTheme="majorHAnsi" w:cs="AdvPS94BA"/>
          <w:color w:val="292526"/>
          <w:sz w:val="20"/>
          <w:szCs w:val="20"/>
        </w:rPr>
        <w:t xml:space="preserve"> </w:t>
      </w:r>
    </w:p>
    <w:p w:rsidR="0090042E" w:rsidRPr="001F692A" w:rsidRDefault="0090042E" w:rsidP="0090042E">
      <w:pPr>
        <w:rPr>
          <w:rFonts w:asciiTheme="majorHAnsi" w:hAnsiTheme="majorHAnsi"/>
          <w:color w:val="000000"/>
          <w:sz w:val="20"/>
          <w:szCs w:val="20"/>
        </w:rPr>
      </w:pPr>
    </w:p>
    <w:p w:rsidR="0090042E" w:rsidRPr="001F692A" w:rsidRDefault="0090042E" w:rsidP="0090042E">
      <w:pPr>
        <w:rPr>
          <w:rFonts w:asciiTheme="majorHAnsi" w:hAnsiTheme="majorHAnsi"/>
          <w:color w:val="000000"/>
          <w:sz w:val="20"/>
          <w:szCs w:val="20"/>
        </w:rPr>
      </w:pPr>
      <w:proofErr w:type="gramStart"/>
      <w:r w:rsidRPr="001F692A">
        <w:rPr>
          <w:rFonts w:asciiTheme="majorHAnsi" w:hAnsiTheme="majorHAnsi"/>
          <w:color w:val="000000"/>
          <w:sz w:val="20"/>
          <w:szCs w:val="20"/>
        </w:rPr>
        <w:t>Mantua, N.</w:t>
      </w:r>
      <w:r>
        <w:rPr>
          <w:rFonts w:asciiTheme="majorHAnsi" w:hAnsiTheme="majorHAnsi"/>
          <w:color w:val="000000"/>
          <w:sz w:val="20"/>
          <w:szCs w:val="20"/>
        </w:rPr>
        <w:t xml:space="preserve"> </w:t>
      </w:r>
      <w:r w:rsidRPr="001F692A">
        <w:rPr>
          <w:rFonts w:asciiTheme="majorHAnsi" w:hAnsiTheme="majorHAnsi"/>
          <w:color w:val="000000"/>
          <w:sz w:val="20"/>
          <w:szCs w:val="20"/>
        </w:rPr>
        <w:t>J. and S.</w:t>
      </w:r>
      <w:r>
        <w:rPr>
          <w:rFonts w:asciiTheme="majorHAnsi" w:hAnsiTheme="majorHAnsi"/>
          <w:color w:val="000000"/>
          <w:sz w:val="20"/>
          <w:szCs w:val="20"/>
        </w:rPr>
        <w:t xml:space="preserve"> </w:t>
      </w:r>
      <w:r w:rsidRPr="001F692A">
        <w:rPr>
          <w:rFonts w:asciiTheme="majorHAnsi" w:hAnsiTheme="majorHAnsi"/>
          <w:color w:val="000000"/>
          <w:sz w:val="20"/>
          <w:szCs w:val="20"/>
        </w:rPr>
        <w:t>R. Hare.</w:t>
      </w:r>
      <w:proofErr w:type="gramEnd"/>
      <w:r w:rsidRPr="001F692A">
        <w:rPr>
          <w:rFonts w:asciiTheme="majorHAnsi" w:hAnsiTheme="majorHAnsi"/>
          <w:color w:val="000000"/>
          <w:sz w:val="20"/>
          <w:szCs w:val="20"/>
        </w:rPr>
        <w:t xml:space="preserve"> 2002. The Pacific Decadal Oscillation. Journal of Oceanography, 58: 35-44.</w:t>
      </w:r>
    </w:p>
    <w:p w:rsidR="0090042E" w:rsidRDefault="0090042E" w:rsidP="005B7243"/>
    <w:p w:rsidR="0090042E" w:rsidRDefault="0090042E" w:rsidP="005B7243"/>
    <w:p w:rsidR="004727B6" w:rsidRDefault="004727B6">
      <w:pPr>
        <w:spacing w:after="200" w:line="276" w:lineRule="auto"/>
      </w:pPr>
      <w:r>
        <w:br w:type="page"/>
      </w:r>
      <w:r w:rsidR="00743361" w:rsidRPr="00743361">
        <w:rPr>
          <w:rFonts w:asciiTheme="majorHAnsi" w:hAnsiTheme="majorHAnsi"/>
          <w:b/>
          <w:sz w:val="28"/>
          <w:szCs w:val="28"/>
        </w:rPr>
        <w:lastRenderedPageBreak/>
        <w:t>Figures</w:t>
      </w:r>
      <w:r w:rsidR="00743361">
        <w:rPr>
          <w:rFonts w:asciiTheme="majorHAnsi" w:hAnsiTheme="majorHAnsi"/>
          <w:sz w:val="28"/>
          <w:szCs w:val="28"/>
        </w:rPr>
        <w:t xml:space="preserve"> </w:t>
      </w:r>
      <w:r w:rsidR="00743361">
        <w:rPr>
          <w:noProof/>
        </w:rPr>
        <w:drawing>
          <wp:inline distT="0" distB="0" distL="0" distR="0" wp14:anchorId="236370C6" wp14:editId="070D3291">
            <wp:extent cx="5943600" cy="2971800"/>
            <wp:effectExtent l="0" t="0" r="0" b="0"/>
            <wp:docPr id="2" name="Picture 1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Pictur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42E" w:rsidRDefault="0090042E" w:rsidP="005B7243"/>
    <w:p w:rsidR="00743361" w:rsidRPr="006B33A7" w:rsidRDefault="00743361" w:rsidP="00743361">
      <w:pPr>
        <w:jc w:val="both"/>
        <w:rPr>
          <w:rFonts w:asciiTheme="majorHAnsi" w:hAnsiTheme="majorHAnsi"/>
          <w:sz w:val="20"/>
          <w:szCs w:val="20"/>
        </w:rPr>
      </w:pPr>
      <w:r w:rsidRPr="00743361">
        <w:rPr>
          <w:rFonts w:asciiTheme="majorHAnsi" w:hAnsiTheme="majorHAnsi"/>
          <w:b/>
          <w:sz w:val="20"/>
          <w:szCs w:val="20"/>
        </w:rPr>
        <w:t>Figure 1</w:t>
      </w:r>
      <w:r>
        <w:rPr>
          <w:rFonts w:asciiTheme="majorHAnsi" w:hAnsiTheme="majorHAnsi"/>
          <w:b/>
          <w:sz w:val="20"/>
          <w:szCs w:val="20"/>
        </w:rPr>
        <w:t>:</w:t>
      </w:r>
      <w:r w:rsidRPr="006B33A7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Survey-estimated spawning biomass plus catch (tons), </w:t>
      </w:r>
      <w:r w:rsidRPr="006B33A7">
        <w:rPr>
          <w:rFonts w:asciiTheme="majorHAnsi" w:hAnsiTheme="majorHAnsi"/>
          <w:sz w:val="20"/>
          <w:szCs w:val="20"/>
        </w:rPr>
        <w:t xml:space="preserve">model-estimated </w:t>
      </w:r>
      <w:r>
        <w:rPr>
          <w:rFonts w:asciiTheme="majorHAnsi" w:hAnsiTheme="majorHAnsi"/>
          <w:sz w:val="20"/>
          <w:szCs w:val="20"/>
        </w:rPr>
        <w:t>mature</w:t>
      </w:r>
      <w:r w:rsidRPr="006B33A7">
        <w:rPr>
          <w:rFonts w:asciiTheme="majorHAnsi" w:hAnsiTheme="majorHAnsi"/>
          <w:sz w:val="20"/>
          <w:szCs w:val="20"/>
        </w:rPr>
        <w:t xml:space="preserve"> biomass (tons)</w:t>
      </w:r>
      <w:r>
        <w:rPr>
          <w:rFonts w:asciiTheme="majorHAnsi" w:hAnsiTheme="majorHAnsi"/>
          <w:sz w:val="20"/>
          <w:szCs w:val="20"/>
        </w:rPr>
        <w:t>, and model-estimated mature biomass forecast (tons)</w:t>
      </w:r>
      <w:r w:rsidRPr="006B33A7">
        <w:rPr>
          <w:rFonts w:asciiTheme="majorHAnsi" w:hAnsiTheme="majorHAnsi"/>
          <w:sz w:val="20"/>
          <w:szCs w:val="20"/>
        </w:rPr>
        <w:t>.</w:t>
      </w:r>
      <w:r>
        <w:rPr>
          <w:rFonts w:asciiTheme="majorHAnsi" w:hAnsiTheme="majorHAnsi"/>
          <w:sz w:val="20"/>
          <w:szCs w:val="20"/>
        </w:rPr>
        <w:t xml:space="preserve"> There are minor differences in the survey-estimated spawning biomass plus catch in last year’s (2015 forecast) and this year’s (2016 forecast) plot. Last year survey-estimated eggs were converted to biomass using a constant age composition and weight-at-age over the time series. This year the survey-estimated eggs were converted to biomass using year-specific age composition and weight-at-age over the time series (i.e. this year’s survey estimated spawning biomass matches the spawn deposition file for each year).</w:t>
      </w:r>
    </w:p>
    <w:p w:rsidR="005B7243" w:rsidRDefault="00743361" w:rsidP="005B7243">
      <w:r>
        <w:rPr>
          <w:noProof/>
        </w:rPr>
        <w:lastRenderedPageBreak/>
        <w:drawing>
          <wp:inline distT="0" distB="0" distL="0" distR="0" wp14:anchorId="5C8EB49A" wp14:editId="6DB962D9">
            <wp:extent cx="5943600" cy="3960495"/>
            <wp:effectExtent l="0" t="0" r="0" b="1905"/>
            <wp:docPr id="1" name="Picture 1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Pictur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361" w:rsidRPr="004D2611" w:rsidRDefault="00743361" w:rsidP="00743361">
      <w:pPr>
        <w:rPr>
          <w:rFonts w:asciiTheme="majorHAnsi" w:hAnsiTheme="majorHAnsi"/>
          <w:sz w:val="20"/>
          <w:szCs w:val="20"/>
        </w:rPr>
      </w:pPr>
      <w:r w:rsidRPr="00743361">
        <w:rPr>
          <w:rFonts w:asciiTheme="majorHAnsi" w:hAnsiTheme="majorHAnsi"/>
          <w:b/>
          <w:sz w:val="20"/>
          <w:szCs w:val="20"/>
        </w:rPr>
        <w:t>Figure 2:</w:t>
      </w:r>
      <w:r w:rsidRPr="006B33A7">
        <w:rPr>
          <w:rFonts w:asciiTheme="majorHAnsi" w:hAnsiTheme="majorHAnsi"/>
          <w:sz w:val="20"/>
          <w:szCs w:val="20"/>
        </w:rPr>
        <w:t xml:space="preserve"> Stacked bar graph of </w:t>
      </w:r>
      <w:r>
        <w:rPr>
          <w:rFonts w:asciiTheme="majorHAnsi" w:hAnsiTheme="majorHAnsi"/>
          <w:sz w:val="20"/>
          <w:szCs w:val="20"/>
        </w:rPr>
        <w:t>catch</w:t>
      </w:r>
      <w:r w:rsidRPr="006B33A7">
        <w:rPr>
          <w:rFonts w:asciiTheme="majorHAnsi" w:hAnsiTheme="majorHAnsi"/>
          <w:sz w:val="20"/>
          <w:szCs w:val="20"/>
        </w:rPr>
        <w:t xml:space="preserve"> (orange), </w:t>
      </w:r>
      <w:r>
        <w:rPr>
          <w:rFonts w:asciiTheme="majorHAnsi" w:hAnsiTheme="majorHAnsi"/>
          <w:sz w:val="20"/>
          <w:szCs w:val="20"/>
        </w:rPr>
        <w:t>spawning</w:t>
      </w:r>
      <w:r w:rsidRPr="006B33A7">
        <w:rPr>
          <w:rFonts w:asciiTheme="majorHAnsi" w:hAnsiTheme="majorHAnsi"/>
          <w:sz w:val="20"/>
          <w:szCs w:val="20"/>
        </w:rPr>
        <w:t xml:space="preserve"> biomass (green), GHL </w:t>
      </w:r>
      <w:r w:rsidR="00533789">
        <w:rPr>
          <w:rFonts w:asciiTheme="majorHAnsi" w:hAnsiTheme="majorHAnsi"/>
          <w:sz w:val="20"/>
          <w:szCs w:val="20"/>
        </w:rPr>
        <w:t xml:space="preserve">(blue), </w:t>
      </w:r>
      <w:r>
        <w:rPr>
          <w:rFonts w:asciiTheme="majorHAnsi" w:hAnsiTheme="majorHAnsi"/>
          <w:sz w:val="20"/>
          <w:szCs w:val="20"/>
        </w:rPr>
        <w:t xml:space="preserve"> </w:t>
      </w:r>
      <w:r w:rsidR="00533789">
        <w:rPr>
          <w:rFonts w:asciiTheme="majorHAnsi" w:hAnsiTheme="majorHAnsi"/>
          <w:sz w:val="20"/>
          <w:szCs w:val="20"/>
        </w:rPr>
        <w:t xml:space="preserve">and the </w:t>
      </w:r>
      <w:r>
        <w:rPr>
          <w:rFonts w:asciiTheme="majorHAnsi" w:hAnsiTheme="majorHAnsi"/>
          <w:sz w:val="20"/>
          <w:szCs w:val="20"/>
        </w:rPr>
        <w:t>spawning biomass forecast (pink</w:t>
      </w:r>
      <w:r w:rsidRPr="006B33A7">
        <w:rPr>
          <w:rFonts w:asciiTheme="majorHAnsi" w:hAnsiTheme="majorHAnsi"/>
          <w:sz w:val="20"/>
          <w:szCs w:val="20"/>
        </w:rPr>
        <w:t>)</w:t>
      </w:r>
      <w:r w:rsidR="00533789">
        <w:rPr>
          <w:rFonts w:asciiTheme="majorHAnsi" w:hAnsiTheme="majorHAnsi"/>
          <w:sz w:val="20"/>
          <w:szCs w:val="20"/>
        </w:rPr>
        <w:t xml:space="preserve"> along with the threshold (grey line)</w:t>
      </w:r>
      <w:r w:rsidRPr="006B33A7">
        <w:rPr>
          <w:rFonts w:asciiTheme="majorHAnsi" w:hAnsiTheme="majorHAnsi"/>
          <w:sz w:val="20"/>
          <w:szCs w:val="20"/>
        </w:rPr>
        <w:t xml:space="preserve">. The harvest </w:t>
      </w:r>
      <w:r>
        <w:rPr>
          <w:rFonts w:asciiTheme="majorHAnsi" w:hAnsiTheme="majorHAnsi"/>
          <w:sz w:val="20"/>
          <w:szCs w:val="20"/>
        </w:rPr>
        <w:t xml:space="preserve">(or GHL) </w:t>
      </w:r>
      <w:r w:rsidRPr="006B33A7">
        <w:rPr>
          <w:rFonts w:asciiTheme="majorHAnsi" w:hAnsiTheme="majorHAnsi"/>
          <w:sz w:val="20"/>
          <w:szCs w:val="20"/>
        </w:rPr>
        <w:t xml:space="preserve">plus </w:t>
      </w:r>
      <w:r>
        <w:rPr>
          <w:rFonts w:asciiTheme="majorHAnsi" w:hAnsiTheme="majorHAnsi"/>
          <w:sz w:val="20"/>
          <w:szCs w:val="20"/>
        </w:rPr>
        <w:t xml:space="preserve">the spawning biomass equals the mature </w:t>
      </w:r>
      <w:r w:rsidRPr="006B33A7">
        <w:rPr>
          <w:rFonts w:asciiTheme="majorHAnsi" w:hAnsiTheme="majorHAnsi"/>
          <w:sz w:val="20"/>
          <w:szCs w:val="20"/>
        </w:rPr>
        <w:t>biomass.</w:t>
      </w:r>
      <w:r w:rsidRPr="006B33A7">
        <w:rPr>
          <w:rFonts w:asciiTheme="majorHAnsi" w:hAnsiTheme="majorHAnsi"/>
          <w:b/>
          <w:i/>
          <w:color w:val="FF0000"/>
          <w:sz w:val="20"/>
          <w:szCs w:val="20"/>
        </w:rPr>
        <w:t xml:space="preserve"> </w:t>
      </w:r>
      <w:r>
        <w:rPr>
          <w:rFonts w:asciiTheme="majorHAnsi" w:hAnsiTheme="majorHAnsi"/>
          <w:color w:val="000000" w:themeColor="text1"/>
          <w:sz w:val="20"/>
          <w:szCs w:val="20"/>
        </w:rPr>
        <w:t>If there is no catch (or GHL), the spawning biomass (or spawning biomass forecast) equals the mature biomass (or mature biomass forecast</w:t>
      </w:r>
      <w:r w:rsidRPr="004D2611">
        <w:rPr>
          <w:rFonts w:asciiTheme="majorHAnsi" w:hAnsiTheme="majorHAnsi"/>
          <w:sz w:val="20"/>
          <w:szCs w:val="20"/>
        </w:rPr>
        <w:t>).</w:t>
      </w:r>
      <w:r w:rsidRPr="004D2611">
        <w:rPr>
          <w:rFonts w:asciiTheme="majorHAnsi" w:eastAsiaTheme="minorHAnsi" w:hAnsiTheme="majorHAnsi"/>
          <w:sz w:val="20"/>
          <w:szCs w:val="20"/>
        </w:rPr>
        <w:t xml:space="preserve"> There is a minor difference in the 1997 catch between last year’s (the 2015 forecast) and this year’s (the 2016 forecast) because the 1997 catch in last year’s figure was calculated with </w:t>
      </w:r>
      <w:r w:rsidR="00EE1DC2">
        <w:rPr>
          <w:rFonts w:asciiTheme="majorHAnsi" w:eastAsiaTheme="minorHAnsi" w:hAnsiTheme="majorHAnsi"/>
          <w:sz w:val="20"/>
          <w:szCs w:val="20"/>
        </w:rPr>
        <w:t>average 1997 cast net weight at age</w:t>
      </w:r>
      <w:r w:rsidRPr="004D2611">
        <w:rPr>
          <w:rFonts w:asciiTheme="majorHAnsi" w:eastAsiaTheme="minorHAnsi" w:hAnsiTheme="majorHAnsi"/>
          <w:sz w:val="20"/>
          <w:szCs w:val="20"/>
        </w:rPr>
        <w:t xml:space="preserve"> so the catch biomass was </w:t>
      </w:r>
      <w:r w:rsidR="00EE1DC2">
        <w:rPr>
          <w:rFonts w:asciiTheme="majorHAnsi" w:eastAsiaTheme="minorHAnsi" w:hAnsiTheme="majorHAnsi"/>
          <w:sz w:val="20"/>
          <w:szCs w:val="20"/>
        </w:rPr>
        <w:t xml:space="preserve">likely </w:t>
      </w:r>
      <w:r w:rsidRPr="004D2611">
        <w:rPr>
          <w:rFonts w:asciiTheme="majorHAnsi" w:eastAsiaTheme="minorHAnsi" w:hAnsiTheme="majorHAnsi"/>
          <w:sz w:val="20"/>
          <w:szCs w:val="20"/>
        </w:rPr>
        <w:t xml:space="preserve">underestimated </w:t>
      </w:r>
      <w:r w:rsidR="00EE1DC2">
        <w:rPr>
          <w:rFonts w:asciiTheme="majorHAnsi" w:eastAsiaTheme="minorHAnsi" w:hAnsiTheme="majorHAnsi"/>
          <w:sz w:val="20"/>
          <w:szCs w:val="20"/>
        </w:rPr>
        <w:t>a</w:t>
      </w:r>
      <w:r w:rsidRPr="004D2611">
        <w:rPr>
          <w:rFonts w:asciiTheme="majorHAnsi" w:eastAsiaTheme="minorHAnsi" w:hAnsiTheme="majorHAnsi"/>
          <w:sz w:val="20"/>
          <w:szCs w:val="20"/>
        </w:rPr>
        <w:t xml:space="preserve">nd this year was estimated with average </w:t>
      </w:r>
      <w:r w:rsidR="00EE1DC2">
        <w:rPr>
          <w:rFonts w:asciiTheme="majorHAnsi" w:eastAsiaTheme="minorHAnsi" w:hAnsiTheme="majorHAnsi"/>
          <w:sz w:val="20"/>
          <w:szCs w:val="20"/>
        </w:rPr>
        <w:t xml:space="preserve">1997 </w:t>
      </w:r>
      <w:r w:rsidRPr="004D2611">
        <w:rPr>
          <w:rFonts w:asciiTheme="majorHAnsi" w:eastAsiaTheme="minorHAnsi" w:hAnsiTheme="majorHAnsi"/>
          <w:sz w:val="20"/>
          <w:szCs w:val="20"/>
        </w:rPr>
        <w:t>weight at age from the commercial seine</w:t>
      </w:r>
      <w:r>
        <w:rPr>
          <w:rFonts w:asciiTheme="majorHAnsi" w:hAnsiTheme="majorHAnsi"/>
          <w:sz w:val="20"/>
          <w:szCs w:val="20"/>
        </w:rPr>
        <w:t xml:space="preserve"> </w:t>
      </w:r>
      <w:r w:rsidRPr="004D2611">
        <w:rPr>
          <w:rFonts w:asciiTheme="majorHAnsi" w:eastAsiaTheme="minorHAnsi" w:hAnsiTheme="majorHAnsi"/>
          <w:sz w:val="20"/>
          <w:szCs w:val="20"/>
        </w:rPr>
        <w:t>harvest.</w:t>
      </w:r>
      <w:r>
        <w:rPr>
          <w:rFonts w:asciiTheme="majorHAnsi" w:hAnsiTheme="majorHAnsi"/>
          <w:sz w:val="20"/>
          <w:szCs w:val="20"/>
        </w:rPr>
        <w:t xml:space="preserve"> </w:t>
      </w:r>
      <w:r w:rsidRPr="004D2611">
        <w:rPr>
          <w:rFonts w:asciiTheme="majorHAnsi" w:eastAsiaTheme="minorHAnsi" w:hAnsiTheme="majorHAnsi"/>
          <w:sz w:val="20"/>
          <w:szCs w:val="20"/>
        </w:rPr>
        <w:t xml:space="preserve">This difference affects only this graph </w:t>
      </w:r>
      <w:r>
        <w:rPr>
          <w:rFonts w:asciiTheme="majorHAnsi" w:hAnsiTheme="majorHAnsi"/>
          <w:sz w:val="20"/>
          <w:szCs w:val="20"/>
        </w:rPr>
        <w:t xml:space="preserve">and </w:t>
      </w:r>
      <w:r w:rsidRPr="004D2611">
        <w:rPr>
          <w:rFonts w:asciiTheme="majorHAnsi" w:eastAsiaTheme="minorHAnsi" w:hAnsiTheme="majorHAnsi"/>
          <w:sz w:val="20"/>
          <w:szCs w:val="20"/>
        </w:rPr>
        <w:t xml:space="preserve">not any calculations that affect the forecast and GHL. </w:t>
      </w:r>
    </w:p>
    <w:p w:rsidR="00743361" w:rsidRPr="006B33A7" w:rsidRDefault="00054777" w:rsidP="00743361">
      <w:pPr>
        <w:rPr>
          <w:rFonts w:asciiTheme="majorHAnsi" w:hAnsiTheme="majorHAnsi"/>
          <w:i/>
          <w:sz w:val="20"/>
          <w:szCs w:val="20"/>
        </w:rPr>
      </w:pPr>
      <w:r>
        <w:rPr>
          <w:noProof/>
        </w:rPr>
        <w:drawing>
          <wp:inline distT="0" distB="0" distL="0" distR="0" wp14:anchorId="39D6B443" wp14:editId="1A67BA9F">
            <wp:extent cx="5943600" cy="2700020"/>
            <wp:effectExtent l="0" t="0" r="0" b="5080"/>
            <wp:docPr id="5" name="Picture 1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Pictur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361" w:rsidRPr="00743361">
        <w:rPr>
          <w:rFonts w:asciiTheme="majorHAnsi" w:hAnsiTheme="majorHAnsi"/>
          <w:b/>
          <w:sz w:val="20"/>
          <w:szCs w:val="20"/>
        </w:rPr>
        <w:t>Figure 3:</w:t>
      </w:r>
      <w:r w:rsidR="00743361" w:rsidRPr="006B33A7">
        <w:rPr>
          <w:rFonts w:asciiTheme="majorHAnsi" w:hAnsiTheme="majorHAnsi"/>
          <w:sz w:val="20"/>
          <w:szCs w:val="20"/>
        </w:rPr>
        <w:t xml:space="preserve"> Comparison of past and current survey-estimated </w:t>
      </w:r>
      <w:r w:rsidR="00743361">
        <w:rPr>
          <w:rFonts w:asciiTheme="majorHAnsi" w:hAnsiTheme="majorHAnsi"/>
          <w:sz w:val="20"/>
          <w:szCs w:val="20"/>
        </w:rPr>
        <w:t xml:space="preserve">mature biomass (survey-estimated spawning </w:t>
      </w:r>
      <w:r w:rsidR="00743361">
        <w:rPr>
          <w:rFonts w:asciiTheme="majorHAnsi" w:hAnsiTheme="majorHAnsi"/>
          <w:sz w:val="20"/>
          <w:szCs w:val="20"/>
        </w:rPr>
        <w:lastRenderedPageBreak/>
        <w:t>biomass plus catch)</w:t>
      </w:r>
      <w:r w:rsidR="00743361" w:rsidRPr="006B33A7">
        <w:rPr>
          <w:rFonts w:asciiTheme="majorHAnsi" w:hAnsiTheme="majorHAnsi"/>
          <w:sz w:val="20"/>
          <w:szCs w:val="20"/>
        </w:rPr>
        <w:t>, model-estimated</w:t>
      </w:r>
      <w:r w:rsidR="00743361">
        <w:rPr>
          <w:rFonts w:asciiTheme="majorHAnsi" w:hAnsiTheme="majorHAnsi"/>
          <w:sz w:val="20"/>
          <w:szCs w:val="20"/>
        </w:rPr>
        <w:t xml:space="preserve"> mature biomass</w:t>
      </w:r>
      <w:r w:rsidR="00743361" w:rsidRPr="006B33A7">
        <w:rPr>
          <w:rFonts w:asciiTheme="majorHAnsi" w:hAnsiTheme="majorHAnsi"/>
          <w:sz w:val="20"/>
          <w:szCs w:val="20"/>
        </w:rPr>
        <w:t>,</w:t>
      </w:r>
      <w:r w:rsidR="00743361">
        <w:rPr>
          <w:rFonts w:asciiTheme="majorHAnsi" w:hAnsiTheme="majorHAnsi"/>
          <w:sz w:val="20"/>
          <w:szCs w:val="20"/>
        </w:rPr>
        <w:t xml:space="preserve"> and model-estimated mature biomass</w:t>
      </w:r>
      <w:r w:rsidR="00743361" w:rsidRPr="006B33A7">
        <w:rPr>
          <w:rFonts w:asciiTheme="majorHAnsi" w:hAnsiTheme="majorHAnsi"/>
          <w:sz w:val="20"/>
          <w:szCs w:val="20"/>
        </w:rPr>
        <w:t xml:space="preserve"> forecasts</w:t>
      </w:r>
      <w:r w:rsidR="00743361">
        <w:rPr>
          <w:rFonts w:asciiTheme="majorHAnsi" w:hAnsiTheme="majorHAnsi"/>
          <w:sz w:val="20"/>
          <w:szCs w:val="20"/>
        </w:rPr>
        <w:t xml:space="preserve"> (tons)</w:t>
      </w:r>
      <w:r w:rsidR="00743361" w:rsidRPr="006B33A7">
        <w:rPr>
          <w:rFonts w:asciiTheme="majorHAnsi" w:hAnsiTheme="majorHAnsi"/>
          <w:sz w:val="20"/>
          <w:szCs w:val="20"/>
        </w:rPr>
        <w:t>.</w:t>
      </w:r>
    </w:p>
    <w:p w:rsidR="00743361" w:rsidRDefault="00743361" w:rsidP="005B7243"/>
    <w:p w:rsidR="0010677B" w:rsidRDefault="0010677B" w:rsidP="005B7243"/>
    <w:p w:rsidR="0010677B" w:rsidRDefault="0010677B" w:rsidP="005B7243">
      <w:r>
        <w:rPr>
          <w:noProof/>
        </w:rPr>
        <w:drawing>
          <wp:inline distT="0" distB="0" distL="0" distR="0" wp14:anchorId="2BA21A2F" wp14:editId="04D359EA">
            <wp:extent cx="5943600" cy="5943600"/>
            <wp:effectExtent l="0" t="0" r="0" b="0"/>
            <wp:docPr id="6" name="Picture 1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Pictur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77B" w:rsidRDefault="0010677B" w:rsidP="005B7243"/>
    <w:p w:rsidR="0010677B" w:rsidRPr="00D70924" w:rsidRDefault="0010677B" w:rsidP="0010677B">
      <w:pPr>
        <w:rPr>
          <w:rFonts w:asciiTheme="majorHAnsi" w:hAnsiTheme="majorHAnsi"/>
          <w:sz w:val="20"/>
          <w:szCs w:val="20"/>
        </w:rPr>
      </w:pPr>
      <w:r>
        <w:t xml:space="preserve"> </w:t>
      </w:r>
      <w:r w:rsidRPr="00743361">
        <w:rPr>
          <w:rFonts w:asciiTheme="majorHAnsi" w:hAnsiTheme="majorHAnsi"/>
          <w:b/>
          <w:sz w:val="20"/>
          <w:szCs w:val="20"/>
        </w:rPr>
        <w:t>Figure 4:</w:t>
      </w:r>
      <w:r w:rsidRPr="00D70924">
        <w:rPr>
          <w:rFonts w:asciiTheme="majorHAnsi" w:hAnsiTheme="majorHAnsi"/>
          <w:sz w:val="20"/>
          <w:szCs w:val="20"/>
        </w:rPr>
        <w:t xml:space="preserve"> Observed cast net (</w:t>
      </w:r>
      <w:r>
        <w:rPr>
          <w:rFonts w:asciiTheme="majorHAnsi" w:hAnsiTheme="majorHAnsi"/>
          <w:sz w:val="20"/>
          <w:szCs w:val="20"/>
        </w:rPr>
        <w:t>blue bars</w:t>
      </w:r>
      <w:r w:rsidRPr="00D70924">
        <w:rPr>
          <w:rFonts w:asciiTheme="majorHAnsi" w:hAnsiTheme="majorHAnsi"/>
          <w:sz w:val="20"/>
          <w:szCs w:val="20"/>
        </w:rPr>
        <w:t>) and model-estimated</w:t>
      </w:r>
      <w:r>
        <w:rPr>
          <w:rFonts w:asciiTheme="majorHAnsi" w:hAnsiTheme="majorHAnsi"/>
          <w:sz w:val="20"/>
          <w:szCs w:val="20"/>
        </w:rPr>
        <w:t xml:space="preserve"> (yellow bars</w:t>
      </w:r>
      <w:r w:rsidRPr="00D70924">
        <w:rPr>
          <w:rFonts w:asciiTheme="majorHAnsi" w:hAnsiTheme="majorHAnsi"/>
          <w:sz w:val="20"/>
          <w:szCs w:val="20"/>
        </w:rPr>
        <w:t xml:space="preserve">) </w:t>
      </w:r>
      <w:r>
        <w:rPr>
          <w:rFonts w:asciiTheme="majorHAnsi" w:hAnsiTheme="majorHAnsi"/>
          <w:sz w:val="20"/>
          <w:szCs w:val="20"/>
        </w:rPr>
        <w:t>spawning</w:t>
      </w:r>
      <w:r w:rsidRPr="00D70924">
        <w:rPr>
          <w:rFonts w:asciiTheme="majorHAnsi" w:hAnsiTheme="majorHAnsi"/>
          <w:sz w:val="20"/>
          <w:szCs w:val="20"/>
        </w:rPr>
        <w:t>-age composition.</w:t>
      </w:r>
    </w:p>
    <w:p w:rsidR="00743361" w:rsidRDefault="00743361" w:rsidP="005B7243"/>
    <w:p w:rsidR="003D75B4" w:rsidRDefault="003D75B4" w:rsidP="003D75B4"/>
    <w:p w:rsidR="00743361" w:rsidRDefault="001558F5" w:rsidP="00743361">
      <w:pPr>
        <w:rPr>
          <w:rFonts w:asciiTheme="majorHAnsi" w:hAnsiTheme="maj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68961CA" wp14:editId="42E9EDCB">
            <wp:extent cx="5943600" cy="3563620"/>
            <wp:effectExtent l="0" t="0" r="0" b="0"/>
            <wp:docPr id="12" name="Picture 1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Pictur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361" w:rsidRPr="00743361">
        <w:rPr>
          <w:rFonts w:asciiTheme="majorHAnsi" w:hAnsiTheme="majorHAnsi"/>
          <w:b/>
          <w:sz w:val="20"/>
          <w:szCs w:val="20"/>
        </w:rPr>
        <w:t>Figure 5:</w:t>
      </w:r>
      <w:r w:rsidR="00743361" w:rsidRPr="006B33A7">
        <w:rPr>
          <w:rFonts w:asciiTheme="majorHAnsi" w:hAnsiTheme="majorHAnsi"/>
          <w:sz w:val="20"/>
          <w:szCs w:val="20"/>
        </w:rPr>
        <w:t xml:space="preserve"> Model estimates of age-3 recruit strength (numbers of age-3 m</w:t>
      </w:r>
      <w:r w:rsidR="00743361">
        <w:rPr>
          <w:rFonts w:asciiTheme="majorHAnsi" w:hAnsiTheme="majorHAnsi"/>
          <w:sz w:val="20"/>
          <w:szCs w:val="20"/>
        </w:rPr>
        <w:t>ature and immature fish).</w:t>
      </w:r>
    </w:p>
    <w:p w:rsidR="00830DB2" w:rsidRDefault="001558F5" w:rsidP="00743361">
      <w:pPr>
        <w:rPr>
          <w:rFonts w:asciiTheme="majorHAnsi" w:hAnsiTheme="majorHAnsi"/>
          <w:b/>
          <w:sz w:val="20"/>
          <w:szCs w:val="20"/>
        </w:rPr>
      </w:pPr>
      <w:r>
        <w:rPr>
          <w:noProof/>
        </w:rPr>
        <w:drawing>
          <wp:inline distT="0" distB="0" distL="0" distR="0" wp14:anchorId="57B24762" wp14:editId="6D69623A">
            <wp:extent cx="5505457" cy="3667125"/>
            <wp:effectExtent l="0" t="0" r="0" b="0"/>
            <wp:docPr id="11" name="Picture 1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Pictur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7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361" w:rsidRPr="0071678E" w:rsidRDefault="00743361" w:rsidP="00743361">
      <w:pPr>
        <w:rPr>
          <w:rFonts w:asciiTheme="majorHAnsi" w:hAnsiTheme="majorHAnsi"/>
          <w:sz w:val="20"/>
          <w:szCs w:val="20"/>
        </w:rPr>
      </w:pPr>
      <w:r w:rsidRPr="00743361">
        <w:rPr>
          <w:rFonts w:asciiTheme="majorHAnsi" w:hAnsiTheme="majorHAnsi"/>
          <w:b/>
          <w:sz w:val="20"/>
          <w:szCs w:val="20"/>
        </w:rPr>
        <w:t>Figure 6:</w:t>
      </w:r>
      <w:r>
        <w:rPr>
          <w:rFonts w:asciiTheme="majorHAnsi" w:hAnsiTheme="majorHAnsi"/>
          <w:sz w:val="20"/>
          <w:szCs w:val="20"/>
        </w:rPr>
        <w:t xml:space="preserve"> Forecasted</w:t>
      </w:r>
      <w:r w:rsidRPr="006B33A7">
        <w:rPr>
          <w:rFonts w:asciiTheme="majorHAnsi" w:hAnsiTheme="majorHAnsi"/>
          <w:sz w:val="20"/>
          <w:szCs w:val="20"/>
        </w:rPr>
        <w:t xml:space="preserve"> percentage of mature numbers at age for forecast year</w:t>
      </w:r>
      <w:r>
        <w:rPr>
          <w:rFonts w:asciiTheme="majorHAnsi" w:hAnsiTheme="majorHAnsi"/>
          <w:sz w:val="20"/>
          <w:szCs w:val="20"/>
        </w:rPr>
        <w:t>. The percent of a</w:t>
      </w:r>
      <w:r w:rsidRPr="0071678E">
        <w:rPr>
          <w:rFonts w:asciiTheme="majorHAnsi" w:hAnsiTheme="majorHAnsi"/>
          <w:sz w:val="20"/>
          <w:szCs w:val="20"/>
        </w:rPr>
        <w:t>ge</w:t>
      </w:r>
      <w:r>
        <w:rPr>
          <w:rFonts w:asciiTheme="majorHAnsi" w:hAnsiTheme="majorHAnsi"/>
          <w:sz w:val="20"/>
          <w:szCs w:val="20"/>
        </w:rPr>
        <w:t>-</w:t>
      </w:r>
      <w:r w:rsidRPr="0071678E">
        <w:rPr>
          <w:rFonts w:asciiTheme="majorHAnsi" w:hAnsiTheme="majorHAnsi"/>
          <w:sz w:val="20"/>
          <w:szCs w:val="20"/>
        </w:rPr>
        <w:t xml:space="preserve">3 </w:t>
      </w:r>
      <w:r>
        <w:rPr>
          <w:rFonts w:asciiTheme="majorHAnsi" w:hAnsiTheme="majorHAnsi"/>
          <w:sz w:val="20"/>
          <w:szCs w:val="20"/>
        </w:rPr>
        <w:t xml:space="preserve">fish </w:t>
      </w:r>
      <w:r w:rsidRPr="0071678E">
        <w:rPr>
          <w:rFonts w:asciiTheme="majorHAnsi" w:hAnsiTheme="majorHAnsi"/>
          <w:sz w:val="20"/>
          <w:szCs w:val="20"/>
        </w:rPr>
        <w:t xml:space="preserve">was estimated with a Ricker </w:t>
      </w:r>
      <w:proofErr w:type="spellStart"/>
      <w:r w:rsidRPr="0071678E">
        <w:rPr>
          <w:rFonts w:asciiTheme="majorHAnsi" w:hAnsiTheme="majorHAnsi"/>
          <w:sz w:val="20"/>
          <w:szCs w:val="20"/>
        </w:rPr>
        <w:t>spawner</w:t>
      </w:r>
      <w:proofErr w:type="spellEnd"/>
      <w:r w:rsidRPr="0071678E">
        <w:rPr>
          <w:rFonts w:asciiTheme="majorHAnsi" w:hAnsiTheme="majorHAnsi"/>
          <w:sz w:val="20"/>
          <w:szCs w:val="20"/>
        </w:rPr>
        <w:t>-recruit function (red bar).</w:t>
      </w:r>
    </w:p>
    <w:p w:rsidR="00743361" w:rsidRDefault="00743361" w:rsidP="00743361">
      <w:pPr>
        <w:rPr>
          <w:rFonts w:asciiTheme="majorHAnsi" w:hAnsiTheme="majorHAnsi"/>
          <w:sz w:val="20"/>
          <w:szCs w:val="20"/>
        </w:rPr>
      </w:pPr>
    </w:p>
    <w:p w:rsidR="000A6920" w:rsidRDefault="001558F5" w:rsidP="00743361">
      <w:pPr>
        <w:rPr>
          <w:rFonts w:asciiTheme="majorHAnsi" w:hAnsiTheme="majorHAnsi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5458D7C" wp14:editId="0851CDF4">
            <wp:extent cx="5505457" cy="3667125"/>
            <wp:effectExtent l="0" t="0" r="0" b="0"/>
            <wp:docPr id="9" name="Picture 1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Pictur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7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361" w:rsidRPr="006B33A7" w:rsidRDefault="00743361" w:rsidP="00743361">
      <w:pPr>
        <w:rPr>
          <w:rFonts w:asciiTheme="majorHAnsi" w:hAnsiTheme="majorHAnsi"/>
          <w:sz w:val="20"/>
          <w:szCs w:val="20"/>
        </w:rPr>
      </w:pPr>
      <w:r w:rsidRPr="00743361">
        <w:rPr>
          <w:rFonts w:asciiTheme="majorHAnsi" w:hAnsiTheme="majorHAnsi"/>
          <w:b/>
          <w:sz w:val="20"/>
          <w:szCs w:val="20"/>
        </w:rPr>
        <w:t>Figure 7:</w:t>
      </w:r>
      <w:r w:rsidRPr="006B33A7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Forecasted</w:t>
      </w:r>
      <w:r w:rsidRPr="006B33A7">
        <w:rPr>
          <w:rFonts w:asciiTheme="majorHAnsi" w:hAnsiTheme="majorHAnsi"/>
          <w:sz w:val="20"/>
          <w:szCs w:val="20"/>
        </w:rPr>
        <w:t xml:space="preserve"> mature biomass at age (tons) for forecast year.</w:t>
      </w:r>
      <w:r w:rsidR="001558F5" w:rsidRPr="001558F5">
        <w:rPr>
          <w:noProof/>
        </w:rPr>
        <w:t xml:space="preserve"> </w:t>
      </w:r>
    </w:p>
    <w:p w:rsidR="00C56C2F" w:rsidRDefault="00054777" w:rsidP="00C56C2F">
      <w:pPr>
        <w:rPr>
          <w:rFonts w:asciiTheme="majorHAnsi" w:hAnsiTheme="majorHAnsi"/>
          <w:sz w:val="20"/>
          <w:szCs w:val="20"/>
        </w:rPr>
      </w:pPr>
      <w:r>
        <w:rPr>
          <w:noProof/>
        </w:rPr>
        <w:drawing>
          <wp:inline distT="0" distB="0" distL="0" distR="0" wp14:anchorId="7C33CB68" wp14:editId="6A0F6145">
            <wp:extent cx="5943600" cy="2967990"/>
            <wp:effectExtent l="0" t="0" r="0" b="3810"/>
            <wp:docPr id="4" name="Picture 1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Pictur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361" w:rsidRPr="00743361">
        <w:rPr>
          <w:rFonts w:asciiTheme="majorHAnsi" w:hAnsiTheme="majorHAnsi"/>
          <w:b/>
          <w:sz w:val="20"/>
          <w:szCs w:val="20"/>
        </w:rPr>
        <w:t>Figure 8:</w:t>
      </w:r>
      <w:r w:rsidR="00743361" w:rsidRPr="006B33A7">
        <w:rPr>
          <w:rFonts w:asciiTheme="majorHAnsi" w:hAnsiTheme="majorHAnsi"/>
          <w:sz w:val="20"/>
          <w:szCs w:val="20"/>
        </w:rPr>
        <w:t xml:space="preserve"> </w:t>
      </w:r>
      <w:r w:rsidR="00743361">
        <w:rPr>
          <w:rFonts w:asciiTheme="majorHAnsi" w:hAnsiTheme="majorHAnsi"/>
          <w:sz w:val="20"/>
          <w:szCs w:val="20"/>
        </w:rPr>
        <w:t>Survey-</w:t>
      </w:r>
      <w:r w:rsidR="00743361" w:rsidRPr="006B33A7">
        <w:rPr>
          <w:rFonts w:asciiTheme="majorHAnsi" w:hAnsiTheme="majorHAnsi"/>
          <w:sz w:val="20"/>
          <w:szCs w:val="20"/>
        </w:rPr>
        <w:t>and model-estimated egg deposition.</w:t>
      </w:r>
      <w:r w:rsidR="00743361">
        <w:rPr>
          <w:rFonts w:asciiTheme="majorHAnsi" w:hAnsiTheme="majorHAnsi"/>
          <w:sz w:val="20"/>
          <w:szCs w:val="20"/>
        </w:rPr>
        <w:t xml:space="preserve"> Survey estimates have 95% confidence limits. Confidence limits from 1991-2015 are based on bootstrap an</w:t>
      </w:r>
      <w:r w:rsidR="0010677B">
        <w:rPr>
          <w:rFonts w:asciiTheme="majorHAnsi" w:hAnsiTheme="majorHAnsi"/>
          <w:sz w:val="20"/>
          <w:szCs w:val="20"/>
        </w:rPr>
        <w:t>alysis. Standard deviations for</w:t>
      </w:r>
      <w:r w:rsidR="00743361">
        <w:rPr>
          <w:rFonts w:asciiTheme="majorHAnsi" w:hAnsiTheme="majorHAnsi"/>
          <w:sz w:val="20"/>
          <w:szCs w:val="20"/>
        </w:rPr>
        <w:t xml:space="preserve"> 1980-1990 are estimated based on a linear regression of </w:t>
      </w:r>
      <w:proofErr w:type="gramStart"/>
      <w:r w:rsidR="00743361">
        <w:rPr>
          <w:rFonts w:asciiTheme="majorHAnsi" w:hAnsiTheme="majorHAnsi"/>
          <w:sz w:val="20"/>
          <w:szCs w:val="20"/>
        </w:rPr>
        <w:t>ln(</w:t>
      </w:r>
      <w:proofErr w:type="gramEnd"/>
      <w:r w:rsidR="00743361">
        <w:rPr>
          <w:rFonts w:asciiTheme="majorHAnsi" w:hAnsiTheme="majorHAnsi"/>
          <w:sz w:val="20"/>
          <w:szCs w:val="20"/>
        </w:rPr>
        <w:t>egg numbers) to ln(standard deviation) of 1991-2</w:t>
      </w:r>
      <w:r w:rsidR="0010677B">
        <w:rPr>
          <w:rFonts w:asciiTheme="majorHAnsi" w:hAnsiTheme="majorHAnsi"/>
          <w:sz w:val="20"/>
          <w:szCs w:val="20"/>
        </w:rPr>
        <w:t>015 data. Confidence limits for</w:t>
      </w:r>
      <w:r w:rsidR="00743361">
        <w:rPr>
          <w:rFonts w:asciiTheme="majorHAnsi" w:hAnsiTheme="majorHAnsi"/>
          <w:sz w:val="20"/>
          <w:szCs w:val="20"/>
        </w:rPr>
        <w:t xml:space="preserve"> 1980-1990 are based on two standard deviations around the mean</w:t>
      </w:r>
      <w:r w:rsidR="00533789">
        <w:rPr>
          <w:rFonts w:asciiTheme="majorHAnsi" w:hAnsiTheme="majorHAnsi"/>
          <w:sz w:val="20"/>
          <w:szCs w:val="20"/>
        </w:rPr>
        <w:t>. The upper confidence limit for the 2008 survey-estimated egg deposition (29.06 trillion eggs) is not shown to better view the other years.</w:t>
      </w:r>
      <w:r w:rsidR="00C56C2F">
        <w:rPr>
          <w:noProof/>
        </w:rPr>
        <w:lastRenderedPageBreak/>
        <w:drawing>
          <wp:inline distT="0" distB="0" distL="0" distR="0" wp14:anchorId="6B138415" wp14:editId="66BF08AC">
            <wp:extent cx="5943600" cy="3957955"/>
            <wp:effectExtent l="0" t="0" r="0" b="4445"/>
            <wp:docPr id="15" name="Picture 1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Pictur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C2F" w:rsidRPr="00C56C2F">
        <w:rPr>
          <w:rFonts w:asciiTheme="majorHAnsi" w:hAnsiTheme="majorHAnsi"/>
          <w:b/>
          <w:sz w:val="20"/>
          <w:szCs w:val="20"/>
        </w:rPr>
        <w:t xml:space="preserve"> </w:t>
      </w:r>
      <w:r w:rsidR="00C56C2F">
        <w:rPr>
          <w:rFonts w:asciiTheme="majorHAnsi" w:hAnsiTheme="majorHAnsi"/>
          <w:b/>
          <w:sz w:val="20"/>
          <w:szCs w:val="20"/>
        </w:rPr>
        <w:t>Figure 9a</w:t>
      </w:r>
      <w:r w:rsidR="00C56C2F" w:rsidRPr="00460908">
        <w:rPr>
          <w:rFonts w:asciiTheme="majorHAnsi" w:hAnsiTheme="majorHAnsi"/>
          <w:b/>
          <w:sz w:val="20"/>
          <w:szCs w:val="20"/>
        </w:rPr>
        <w:t>:</w:t>
      </w:r>
      <w:r w:rsidR="00C56C2F">
        <w:rPr>
          <w:rFonts w:asciiTheme="majorHAnsi" w:hAnsiTheme="majorHAnsi"/>
          <w:sz w:val="20"/>
          <w:szCs w:val="20"/>
        </w:rPr>
        <w:t xml:space="preserve"> Model estimates of survival by year.</w:t>
      </w:r>
      <w:r w:rsidR="00C56C2F">
        <w:rPr>
          <w:noProof/>
        </w:rPr>
        <w:drawing>
          <wp:inline distT="0" distB="0" distL="0" distR="0" wp14:anchorId="49BC8FAB" wp14:editId="61E05D26">
            <wp:extent cx="5943600" cy="3957955"/>
            <wp:effectExtent l="0" t="0" r="0" b="4445"/>
            <wp:docPr id="16" name="Picture 1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Pictur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C2F" w:rsidRPr="00C56C2F">
        <w:rPr>
          <w:rFonts w:asciiTheme="majorHAnsi" w:hAnsiTheme="majorHAnsi"/>
          <w:b/>
          <w:sz w:val="20"/>
          <w:szCs w:val="20"/>
        </w:rPr>
        <w:t xml:space="preserve"> </w:t>
      </w:r>
      <w:r w:rsidR="00C56C2F">
        <w:rPr>
          <w:rFonts w:asciiTheme="majorHAnsi" w:hAnsiTheme="majorHAnsi"/>
          <w:b/>
          <w:sz w:val="20"/>
          <w:szCs w:val="20"/>
        </w:rPr>
        <w:t>Figure 9</w:t>
      </w:r>
      <w:r w:rsidR="00C56C2F" w:rsidRPr="00460908">
        <w:rPr>
          <w:rFonts w:asciiTheme="majorHAnsi" w:hAnsiTheme="majorHAnsi"/>
          <w:b/>
          <w:sz w:val="20"/>
          <w:szCs w:val="20"/>
        </w:rPr>
        <w:t>b:</w:t>
      </w:r>
      <w:r w:rsidR="00C56C2F" w:rsidRPr="00FD6829">
        <w:rPr>
          <w:rFonts w:asciiTheme="majorHAnsi" w:hAnsiTheme="majorHAnsi"/>
          <w:sz w:val="20"/>
          <w:szCs w:val="20"/>
        </w:rPr>
        <w:t xml:space="preserve"> Model estimates of maturity at age by year.</w:t>
      </w:r>
      <w:r w:rsidR="00C56C2F">
        <w:rPr>
          <w:rFonts w:asciiTheme="majorHAnsi" w:hAnsiTheme="majorHAnsi"/>
          <w:sz w:val="20"/>
          <w:szCs w:val="20"/>
        </w:rPr>
        <w:t xml:space="preserve"> </w:t>
      </w:r>
      <w:r w:rsidR="00C56C2F">
        <w:rPr>
          <w:noProof/>
        </w:rPr>
        <w:lastRenderedPageBreak/>
        <w:drawing>
          <wp:inline distT="0" distB="0" distL="0" distR="0" wp14:anchorId="77626653" wp14:editId="14FC7118">
            <wp:extent cx="5943600" cy="3957955"/>
            <wp:effectExtent l="0" t="0" r="0" b="4445"/>
            <wp:docPr id="17" name="Picture 1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Pictur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C2F" w:rsidRPr="00C56C2F">
        <w:rPr>
          <w:rFonts w:asciiTheme="majorHAnsi" w:hAnsiTheme="majorHAnsi"/>
          <w:b/>
          <w:sz w:val="20"/>
          <w:szCs w:val="20"/>
        </w:rPr>
        <w:t xml:space="preserve"> </w:t>
      </w:r>
      <w:r w:rsidR="00C56C2F">
        <w:rPr>
          <w:rFonts w:asciiTheme="majorHAnsi" w:hAnsiTheme="majorHAnsi"/>
          <w:b/>
          <w:sz w:val="20"/>
          <w:szCs w:val="20"/>
        </w:rPr>
        <w:t>Figure 9c</w:t>
      </w:r>
      <w:r w:rsidR="00C56C2F" w:rsidRPr="00460908">
        <w:rPr>
          <w:rFonts w:asciiTheme="majorHAnsi" w:hAnsiTheme="majorHAnsi"/>
          <w:b/>
          <w:sz w:val="20"/>
          <w:szCs w:val="20"/>
        </w:rPr>
        <w:t>:</w:t>
      </w:r>
      <w:r w:rsidR="00C56C2F">
        <w:rPr>
          <w:rFonts w:asciiTheme="majorHAnsi" w:hAnsiTheme="majorHAnsi"/>
          <w:sz w:val="20"/>
          <w:szCs w:val="20"/>
        </w:rPr>
        <w:t xml:space="preserve"> Model estimates of seine gear selectivity at age by year.</w:t>
      </w:r>
    </w:p>
    <w:p w:rsidR="00743361" w:rsidRPr="006B33A7" w:rsidRDefault="00743361" w:rsidP="00743361">
      <w:pPr>
        <w:rPr>
          <w:rFonts w:asciiTheme="majorHAnsi" w:hAnsiTheme="majorHAnsi"/>
          <w:sz w:val="20"/>
          <w:szCs w:val="20"/>
        </w:rPr>
      </w:pPr>
    </w:p>
    <w:p w:rsidR="00054777" w:rsidRPr="00E5421D" w:rsidRDefault="00054777" w:rsidP="00743361">
      <w:pPr>
        <w:rPr>
          <w:rFonts w:asciiTheme="majorHAnsi" w:hAnsiTheme="majorHAnsi"/>
          <w:b/>
          <w:i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42D03A6D" wp14:editId="495E4EA0">
            <wp:extent cx="5505457" cy="3667125"/>
            <wp:effectExtent l="0" t="0" r="0" b="0"/>
            <wp:docPr id="3" name="Picture 1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Pictur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7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C2F" w:rsidRDefault="00743361" w:rsidP="00C56C2F">
      <w:pPr>
        <w:rPr>
          <w:rFonts w:asciiTheme="majorHAnsi" w:hAnsiTheme="majorHAnsi"/>
          <w:i/>
          <w:sz w:val="20"/>
          <w:szCs w:val="20"/>
        </w:rPr>
      </w:pPr>
      <w:r w:rsidRPr="00743361">
        <w:rPr>
          <w:rFonts w:asciiTheme="majorHAnsi" w:hAnsiTheme="majorHAnsi"/>
          <w:b/>
          <w:sz w:val="20"/>
          <w:szCs w:val="20"/>
        </w:rPr>
        <w:lastRenderedPageBreak/>
        <w:t>Figure 10:</w:t>
      </w:r>
      <w:r w:rsidRPr="006B33A7">
        <w:rPr>
          <w:rFonts w:asciiTheme="majorHAnsi" w:hAnsiTheme="majorHAnsi"/>
          <w:sz w:val="20"/>
          <w:szCs w:val="20"/>
        </w:rPr>
        <w:t xml:space="preserve"> Forecasted weight at age</w:t>
      </w:r>
      <w:r w:rsidR="0010677B">
        <w:rPr>
          <w:rFonts w:asciiTheme="majorHAnsi" w:hAnsiTheme="majorHAnsi"/>
          <w:sz w:val="20"/>
          <w:szCs w:val="20"/>
        </w:rPr>
        <w:t xml:space="preserve"> (</w:t>
      </w:r>
      <w:r>
        <w:rPr>
          <w:rFonts w:asciiTheme="majorHAnsi" w:hAnsiTheme="majorHAnsi"/>
          <w:sz w:val="20"/>
          <w:szCs w:val="20"/>
        </w:rPr>
        <w:t xml:space="preserve">weight at age from </w:t>
      </w:r>
      <w:r w:rsidR="0010677B">
        <w:rPr>
          <w:rFonts w:asciiTheme="majorHAnsi" w:hAnsiTheme="majorHAnsi"/>
          <w:sz w:val="20"/>
          <w:szCs w:val="20"/>
        </w:rPr>
        <w:t xml:space="preserve">the </w:t>
      </w:r>
      <w:r>
        <w:rPr>
          <w:rFonts w:asciiTheme="majorHAnsi" w:hAnsiTheme="majorHAnsi"/>
          <w:sz w:val="20"/>
          <w:szCs w:val="20"/>
        </w:rPr>
        <w:t xml:space="preserve">2015 winter test fishery). </w:t>
      </w:r>
      <w:r w:rsidR="00C56C2F">
        <w:rPr>
          <w:noProof/>
        </w:rPr>
        <w:drawing>
          <wp:inline distT="0" distB="0" distL="0" distR="0" wp14:anchorId="4F37B1A4" wp14:editId="26A6C715">
            <wp:extent cx="5943600" cy="4244340"/>
            <wp:effectExtent l="0" t="0" r="0" b="3810"/>
            <wp:docPr id="10" name="Picture 1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Pictur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C2F" w:rsidRPr="00743361">
        <w:rPr>
          <w:rFonts w:asciiTheme="majorHAnsi" w:hAnsiTheme="majorHAnsi"/>
          <w:b/>
          <w:sz w:val="20"/>
          <w:szCs w:val="20"/>
        </w:rPr>
        <w:t xml:space="preserve">Figure </w:t>
      </w:r>
      <w:r w:rsidR="00C56C2F">
        <w:rPr>
          <w:rFonts w:asciiTheme="majorHAnsi" w:hAnsiTheme="majorHAnsi"/>
          <w:b/>
          <w:sz w:val="20"/>
          <w:szCs w:val="20"/>
        </w:rPr>
        <w:t>11</w:t>
      </w:r>
      <w:r w:rsidR="00C56C2F" w:rsidRPr="00743361">
        <w:rPr>
          <w:rFonts w:asciiTheme="majorHAnsi" w:hAnsiTheme="majorHAnsi"/>
          <w:b/>
          <w:sz w:val="20"/>
          <w:szCs w:val="20"/>
        </w:rPr>
        <w:t>:</w:t>
      </w:r>
      <w:r w:rsidR="00C56C2F" w:rsidRPr="00D70924">
        <w:rPr>
          <w:rFonts w:asciiTheme="majorHAnsi" w:hAnsiTheme="majorHAnsi"/>
          <w:sz w:val="20"/>
          <w:szCs w:val="20"/>
        </w:rPr>
        <w:t xml:space="preserve"> Spawning biomass (tons) versus age-3 abundance (millions of mature and immature fish) (blue circles) with Ricker-estimated age-3 abundance (red </w:t>
      </w:r>
      <w:r w:rsidR="00C56C2F">
        <w:rPr>
          <w:rFonts w:asciiTheme="majorHAnsi" w:hAnsiTheme="majorHAnsi"/>
          <w:sz w:val="20"/>
          <w:szCs w:val="20"/>
        </w:rPr>
        <w:t>triangles</w:t>
      </w:r>
      <w:r w:rsidR="00C56C2F" w:rsidRPr="00D70924">
        <w:rPr>
          <w:rFonts w:asciiTheme="majorHAnsi" w:hAnsiTheme="majorHAnsi"/>
          <w:sz w:val="20"/>
          <w:szCs w:val="20"/>
        </w:rPr>
        <w:t>)</w:t>
      </w:r>
      <w:r w:rsidR="00C56C2F" w:rsidRPr="00E5421D">
        <w:rPr>
          <w:rFonts w:asciiTheme="majorHAnsi" w:hAnsiTheme="majorHAnsi"/>
          <w:i/>
          <w:sz w:val="20"/>
          <w:szCs w:val="20"/>
        </w:rPr>
        <w:t xml:space="preserve">. </w:t>
      </w:r>
    </w:p>
    <w:p w:rsidR="00743361" w:rsidRPr="00E5421D" w:rsidRDefault="00743361" w:rsidP="00743361">
      <w:pPr>
        <w:rPr>
          <w:rFonts w:asciiTheme="majorHAnsi" w:hAnsiTheme="majorHAnsi"/>
          <w:i/>
          <w:sz w:val="20"/>
          <w:szCs w:val="20"/>
        </w:rPr>
      </w:pPr>
    </w:p>
    <w:p w:rsidR="00054777" w:rsidRPr="00D70924" w:rsidRDefault="001558F5" w:rsidP="00054777">
      <w:pPr>
        <w:rPr>
          <w:rFonts w:asciiTheme="majorHAnsi" w:hAnsiTheme="majorHAnsi"/>
          <w:i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8F2C13A" wp14:editId="43EBC8F4">
            <wp:extent cx="5943600" cy="5943600"/>
            <wp:effectExtent l="0" t="0" r="0" b="0"/>
            <wp:docPr id="7" name="Picture 1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Pictur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777" w:rsidRPr="00054777">
        <w:rPr>
          <w:rFonts w:asciiTheme="majorHAnsi" w:hAnsiTheme="majorHAnsi"/>
          <w:b/>
          <w:sz w:val="20"/>
          <w:szCs w:val="20"/>
        </w:rPr>
        <w:t>Figure 1</w:t>
      </w:r>
      <w:r w:rsidR="00C56C2F">
        <w:rPr>
          <w:rFonts w:asciiTheme="majorHAnsi" w:hAnsiTheme="majorHAnsi"/>
          <w:b/>
          <w:sz w:val="20"/>
          <w:szCs w:val="20"/>
        </w:rPr>
        <w:t>2</w:t>
      </w:r>
      <w:r w:rsidR="00054777" w:rsidRPr="00054777">
        <w:rPr>
          <w:rFonts w:asciiTheme="majorHAnsi" w:hAnsiTheme="majorHAnsi"/>
          <w:b/>
          <w:sz w:val="20"/>
          <w:szCs w:val="20"/>
        </w:rPr>
        <w:t>:</w:t>
      </w:r>
      <w:r w:rsidR="00054777" w:rsidRPr="00D70924">
        <w:rPr>
          <w:rFonts w:asciiTheme="majorHAnsi" w:hAnsiTheme="majorHAnsi"/>
          <w:sz w:val="20"/>
          <w:szCs w:val="20"/>
        </w:rPr>
        <w:t xml:space="preserve"> Observed s</w:t>
      </w:r>
      <w:r w:rsidR="00054777">
        <w:rPr>
          <w:rFonts w:asciiTheme="majorHAnsi" w:hAnsiTheme="majorHAnsi"/>
          <w:sz w:val="20"/>
          <w:szCs w:val="20"/>
        </w:rPr>
        <w:t>eine</w:t>
      </w:r>
      <w:r w:rsidR="00054777" w:rsidRPr="00D70924">
        <w:rPr>
          <w:rFonts w:asciiTheme="majorHAnsi" w:hAnsiTheme="majorHAnsi"/>
          <w:sz w:val="20"/>
          <w:szCs w:val="20"/>
        </w:rPr>
        <w:t xml:space="preserve"> </w:t>
      </w:r>
      <w:r w:rsidR="00054777">
        <w:rPr>
          <w:rFonts w:asciiTheme="majorHAnsi" w:hAnsiTheme="majorHAnsi"/>
          <w:sz w:val="20"/>
          <w:szCs w:val="20"/>
        </w:rPr>
        <w:t>(blue bars</w:t>
      </w:r>
      <w:r w:rsidR="00054777" w:rsidRPr="00D70924">
        <w:rPr>
          <w:rFonts w:asciiTheme="majorHAnsi" w:hAnsiTheme="majorHAnsi"/>
          <w:sz w:val="20"/>
          <w:szCs w:val="20"/>
        </w:rPr>
        <w:t>) and model-estimated (</w:t>
      </w:r>
      <w:r w:rsidR="00054777">
        <w:rPr>
          <w:rFonts w:asciiTheme="majorHAnsi" w:hAnsiTheme="majorHAnsi"/>
          <w:sz w:val="20"/>
          <w:szCs w:val="20"/>
        </w:rPr>
        <w:t xml:space="preserve">yellow </w:t>
      </w:r>
      <w:r w:rsidR="00054777" w:rsidRPr="00D70924">
        <w:rPr>
          <w:rFonts w:asciiTheme="majorHAnsi" w:hAnsiTheme="majorHAnsi"/>
          <w:sz w:val="20"/>
          <w:szCs w:val="20"/>
        </w:rPr>
        <w:t>bar</w:t>
      </w:r>
      <w:r w:rsidR="00054777">
        <w:rPr>
          <w:rFonts w:asciiTheme="majorHAnsi" w:hAnsiTheme="majorHAnsi"/>
          <w:sz w:val="20"/>
          <w:szCs w:val="20"/>
        </w:rPr>
        <w:t>s</w:t>
      </w:r>
      <w:r w:rsidR="00054777" w:rsidRPr="00D70924">
        <w:rPr>
          <w:rFonts w:asciiTheme="majorHAnsi" w:hAnsiTheme="majorHAnsi"/>
          <w:sz w:val="20"/>
          <w:szCs w:val="20"/>
        </w:rPr>
        <w:t>) catch-age composition.</w:t>
      </w:r>
      <w:r w:rsidRPr="001558F5">
        <w:rPr>
          <w:noProof/>
        </w:rPr>
        <w:t xml:space="preserve"> </w:t>
      </w:r>
    </w:p>
    <w:p w:rsidR="00743361" w:rsidRPr="006B33A7" w:rsidRDefault="00743361" w:rsidP="00743361">
      <w:pPr>
        <w:rPr>
          <w:rFonts w:asciiTheme="majorHAnsi" w:hAnsiTheme="majorHAnsi"/>
          <w:sz w:val="20"/>
          <w:szCs w:val="20"/>
        </w:rPr>
      </w:pPr>
    </w:p>
    <w:p w:rsidR="00054777" w:rsidRPr="006B33A7" w:rsidRDefault="001558F5" w:rsidP="00054777">
      <w:pPr>
        <w:rPr>
          <w:rFonts w:asciiTheme="majorHAnsi" w:hAnsiTheme="majorHAnsi"/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E42D4DD" wp14:editId="24C98679">
            <wp:extent cx="5943600" cy="4568825"/>
            <wp:effectExtent l="0" t="0" r="0" b="3175"/>
            <wp:docPr id="13" name="Picture 1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Pictur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777" w:rsidRPr="00054777">
        <w:rPr>
          <w:rFonts w:asciiTheme="majorHAnsi" w:hAnsiTheme="majorHAnsi"/>
          <w:b/>
          <w:color w:val="000000" w:themeColor="text1"/>
          <w:sz w:val="20"/>
          <w:szCs w:val="20"/>
        </w:rPr>
        <w:t xml:space="preserve">Figure </w:t>
      </w:r>
      <w:r>
        <w:rPr>
          <w:rFonts w:asciiTheme="majorHAnsi" w:hAnsiTheme="majorHAnsi"/>
          <w:b/>
          <w:color w:val="000000" w:themeColor="text1"/>
          <w:sz w:val="20"/>
          <w:szCs w:val="20"/>
        </w:rPr>
        <w:t>1</w:t>
      </w:r>
      <w:r w:rsidR="00C56C2F">
        <w:rPr>
          <w:rFonts w:asciiTheme="majorHAnsi" w:hAnsiTheme="majorHAnsi"/>
          <w:b/>
          <w:color w:val="000000" w:themeColor="text1"/>
          <w:sz w:val="20"/>
          <w:szCs w:val="20"/>
        </w:rPr>
        <w:t>3</w:t>
      </w:r>
      <w:r w:rsidR="00054777" w:rsidRPr="00054777">
        <w:rPr>
          <w:rFonts w:asciiTheme="majorHAnsi" w:hAnsiTheme="majorHAnsi"/>
          <w:b/>
          <w:color w:val="000000" w:themeColor="text1"/>
          <w:sz w:val="20"/>
          <w:szCs w:val="20"/>
        </w:rPr>
        <w:t>:</w:t>
      </w:r>
      <w:r w:rsidR="00054777" w:rsidRPr="006B33A7">
        <w:rPr>
          <w:rFonts w:asciiTheme="majorHAnsi" w:hAnsiTheme="majorHAnsi"/>
          <w:color w:val="000000" w:themeColor="text1"/>
          <w:sz w:val="20"/>
          <w:szCs w:val="20"/>
        </w:rPr>
        <w:t xml:space="preserve"> Spawning </w:t>
      </w:r>
      <w:r w:rsidR="00054777">
        <w:rPr>
          <w:rFonts w:asciiTheme="majorHAnsi" w:hAnsiTheme="majorHAnsi"/>
          <w:color w:val="000000" w:themeColor="text1"/>
          <w:sz w:val="20"/>
          <w:szCs w:val="20"/>
        </w:rPr>
        <w:t xml:space="preserve">population biomass (blue bars; </w:t>
      </w:r>
      <w:r w:rsidR="00054777" w:rsidRPr="006B33A7">
        <w:rPr>
          <w:rFonts w:asciiTheme="majorHAnsi" w:hAnsiTheme="majorHAnsi"/>
          <w:color w:val="000000" w:themeColor="text1"/>
          <w:sz w:val="20"/>
          <w:szCs w:val="20"/>
        </w:rPr>
        <w:t xml:space="preserve">top figure), </w:t>
      </w:r>
      <w:r w:rsidR="00054777">
        <w:rPr>
          <w:rFonts w:asciiTheme="majorHAnsi" w:hAnsiTheme="majorHAnsi"/>
          <w:color w:val="000000" w:themeColor="text1"/>
          <w:sz w:val="20"/>
          <w:szCs w:val="20"/>
        </w:rPr>
        <w:t>spawning</w:t>
      </w:r>
      <w:r w:rsidR="00054777" w:rsidRPr="006B33A7">
        <w:rPr>
          <w:rFonts w:asciiTheme="majorHAnsi" w:hAnsiTheme="majorHAnsi"/>
          <w:color w:val="000000" w:themeColor="text1"/>
          <w:sz w:val="20"/>
          <w:szCs w:val="20"/>
        </w:rPr>
        <w:t xml:space="preserve"> p</w:t>
      </w:r>
      <w:r w:rsidR="00054777">
        <w:rPr>
          <w:rFonts w:asciiTheme="majorHAnsi" w:hAnsiTheme="majorHAnsi"/>
          <w:color w:val="000000" w:themeColor="text1"/>
          <w:sz w:val="20"/>
          <w:szCs w:val="20"/>
        </w:rPr>
        <w:t xml:space="preserve">opulation abundance (blue bars; </w:t>
      </w:r>
      <w:r w:rsidR="00054777" w:rsidRPr="006B33A7">
        <w:rPr>
          <w:rFonts w:asciiTheme="majorHAnsi" w:hAnsiTheme="majorHAnsi"/>
          <w:color w:val="000000" w:themeColor="text1"/>
          <w:sz w:val="20"/>
          <w:szCs w:val="20"/>
        </w:rPr>
        <w:t xml:space="preserve">middle figure), </w:t>
      </w:r>
      <w:r w:rsidR="00054777">
        <w:rPr>
          <w:rFonts w:asciiTheme="majorHAnsi" w:hAnsiTheme="majorHAnsi"/>
          <w:color w:val="000000" w:themeColor="text1"/>
          <w:sz w:val="20"/>
          <w:szCs w:val="20"/>
        </w:rPr>
        <w:t xml:space="preserve">total </w:t>
      </w:r>
      <w:r w:rsidR="00054777" w:rsidRPr="006B33A7">
        <w:rPr>
          <w:rFonts w:asciiTheme="majorHAnsi" w:hAnsiTheme="majorHAnsi"/>
          <w:color w:val="000000" w:themeColor="text1"/>
          <w:sz w:val="20"/>
          <w:szCs w:val="20"/>
        </w:rPr>
        <w:t>population abundance</w:t>
      </w:r>
      <w:r w:rsidR="00054777">
        <w:rPr>
          <w:rFonts w:asciiTheme="majorHAnsi" w:hAnsiTheme="majorHAnsi"/>
          <w:color w:val="000000" w:themeColor="text1"/>
          <w:sz w:val="20"/>
          <w:szCs w:val="20"/>
        </w:rPr>
        <w:t xml:space="preserve"> (immature and spawning abundance) (blue bars; </w:t>
      </w:r>
      <w:r w:rsidR="00054777" w:rsidRPr="006B33A7">
        <w:rPr>
          <w:rFonts w:asciiTheme="majorHAnsi" w:hAnsiTheme="majorHAnsi"/>
          <w:color w:val="000000" w:themeColor="text1"/>
          <w:sz w:val="20"/>
          <w:szCs w:val="20"/>
        </w:rPr>
        <w:t xml:space="preserve">bottom figure), and commercial fishery harvest (yellow bars) over time. The combination of the blue and yellow bars (total height of each bar) is the </w:t>
      </w:r>
      <w:r w:rsidR="00054777">
        <w:rPr>
          <w:rFonts w:asciiTheme="majorHAnsi" w:hAnsiTheme="majorHAnsi"/>
          <w:color w:val="000000" w:themeColor="text1"/>
          <w:sz w:val="20"/>
          <w:szCs w:val="20"/>
        </w:rPr>
        <w:t>mature</w:t>
      </w:r>
      <w:r w:rsidR="00054777" w:rsidRPr="006B33A7">
        <w:rPr>
          <w:rFonts w:asciiTheme="majorHAnsi" w:hAnsiTheme="majorHAnsi"/>
          <w:color w:val="000000" w:themeColor="text1"/>
          <w:sz w:val="20"/>
          <w:szCs w:val="20"/>
        </w:rPr>
        <w:t xml:space="preserve"> biomass, </w:t>
      </w:r>
      <w:r w:rsidR="00054777">
        <w:rPr>
          <w:rFonts w:asciiTheme="majorHAnsi" w:hAnsiTheme="majorHAnsi"/>
          <w:color w:val="000000" w:themeColor="text1"/>
          <w:sz w:val="20"/>
          <w:szCs w:val="20"/>
        </w:rPr>
        <w:t>mature</w:t>
      </w:r>
      <w:r w:rsidR="00054777" w:rsidRPr="006B33A7">
        <w:rPr>
          <w:rFonts w:asciiTheme="majorHAnsi" w:hAnsiTheme="majorHAnsi"/>
          <w:color w:val="000000" w:themeColor="text1"/>
          <w:sz w:val="20"/>
          <w:szCs w:val="20"/>
        </w:rPr>
        <w:t xml:space="preserve"> population abundance</w:t>
      </w:r>
      <w:r w:rsidR="00054777">
        <w:rPr>
          <w:rFonts w:asciiTheme="majorHAnsi" w:hAnsiTheme="majorHAnsi"/>
          <w:color w:val="000000" w:themeColor="text1"/>
          <w:sz w:val="20"/>
          <w:szCs w:val="20"/>
        </w:rPr>
        <w:t>, or total population abundance.</w:t>
      </w:r>
    </w:p>
    <w:p w:rsidR="00743361" w:rsidRPr="006B33A7" w:rsidRDefault="00743361" w:rsidP="00743361">
      <w:pPr>
        <w:rPr>
          <w:rFonts w:asciiTheme="majorHAnsi" w:hAnsiTheme="majorHAnsi"/>
          <w:sz w:val="20"/>
          <w:szCs w:val="20"/>
        </w:rPr>
      </w:pPr>
    </w:p>
    <w:p w:rsidR="001558F5" w:rsidRPr="006B33A7" w:rsidRDefault="00C56C2F" w:rsidP="001558F5">
      <w:pPr>
        <w:rPr>
          <w:rFonts w:asciiTheme="majorHAnsi" w:hAnsiTheme="maj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76713C4" wp14:editId="4D4722EF">
            <wp:extent cx="5943600" cy="3467735"/>
            <wp:effectExtent l="0" t="0" r="0" b="0"/>
            <wp:docPr id="14" name="Picture 1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Picture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8F5" w:rsidRPr="00054777">
        <w:rPr>
          <w:rFonts w:asciiTheme="majorHAnsi" w:hAnsiTheme="majorHAnsi"/>
          <w:b/>
          <w:sz w:val="20"/>
          <w:szCs w:val="20"/>
        </w:rPr>
        <w:t>Figure 1</w:t>
      </w:r>
      <w:r>
        <w:rPr>
          <w:rFonts w:asciiTheme="majorHAnsi" w:hAnsiTheme="majorHAnsi"/>
          <w:b/>
          <w:sz w:val="20"/>
          <w:szCs w:val="20"/>
        </w:rPr>
        <w:t>4</w:t>
      </w:r>
      <w:r w:rsidR="001558F5" w:rsidRPr="00054777">
        <w:rPr>
          <w:rFonts w:asciiTheme="majorHAnsi" w:hAnsiTheme="majorHAnsi"/>
          <w:b/>
          <w:sz w:val="20"/>
          <w:szCs w:val="20"/>
        </w:rPr>
        <w:t>:</w:t>
      </w:r>
      <w:r w:rsidR="001558F5" w:rsidRPr="006B33A7">
        <w:rPr>
          <w:rFonts w:asciiTheme="majorHAnsi" w:hAnsiTheme="majorHAnsi"/>
          <w:sz w:val="20"/>
          <w:szCs w:val="20"/>
        </w:rPr>
        <w:t xml:space="preserve"> Residua</w:t>
      </w:r>
      <w:r w:rsidR="001558F5">
        <w:rPr>
          <w:rFonts w:asciiTheme="majorHAnsi" w:hAnsiTheme="majorHAnsi"/>
          <w:sz w:val="20"/>
          <w:szCs w:val="20"/>
        </w:rPr>
        <w:t xml:space="preserve">ls from model fits to survey egg deposition (top) and Ricker </w:t>
      </w:r>
      <w:proofErr w:type="spellStart"/>
      <w:r w:rsidR="001558F5">
        <w:rPr>
          <w:rFonts w:asciiTheme="majorHAnsi" w:hAnsiTheme="majorHAnsi"/>
          <w:sz w:val="20"/>
          <w:szCs w:val="20"/>
        </w:rPr>
        <w:t>spawner</w:t>
      </w:r>
      <w:proofErr w:type="spellEnd"/>
      <w:r w:rsidR="001558F5">
        <w:rPr>
          <w:rFonts w:asciiTheme="majorHAnsi" w:hAnsiTheme="majorHAnsi"/>
          <w:sz w:val="20"/>
          <w:szCs w:val="20"/>
        </w:rPr>
        <w:t>-recruit function (bottom)</w:t>
      </w:r>
      <w:r w:rsidR="001558F5" w:rsidRPr="006B33A7">
        <w:rPr>
          <w:rFonts w:asciiTheme="majorHAnsi" w:hAnsiTheme="majorHAnsi"/>
          <w:sz w:val="20"/>
          <w:szCs w:val="20"/>
        </w:rPr>
        <w:t>.</w:t>
      </w:r>
    </w:p>
    <w:p w:rsidR="00BC60F2" w:rsidRDefault="00BC60F2" w:rsidP="003D75B4"/>
    <w:sectPr w:rsidR="00BC60F2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6D3" w:rsidRDefault="002036D3" w:rsidP="0090042E">
      <w:r>
        <w:separator/>
      </w:r>
    </w:p>
  </w:endnote>
  <w:endnote w:type="continuationSeparator" w:id="0">
    <w:p w:rsidR="002036D3" w:rsidRDefault="002036D3" w:rsidP="00900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ida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S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MI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AdvPS94B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2" w:space="0" w:color="BFBFBF" w:themeColor="background1" w:themeShade="BF"/>
        <w:insideH w:val="single" w:sz="2" w:space="0" w:color="BFBFBF" w:themeColor="background1" w:themeShade="BF"/>
        <w:insideV w:val="single" w:sz="2" w:space="0" w:color="BFBFBF" w:themeColor="background1" w:themeShade="BF"/>
      </w:tblBorders>
      <w:tblLook w:val="04A0" w:firstRow="1" w:lastRow="0" w:firstColumn="1" w:lastColumn="0" w:noHBand="0" w:noVBand="1"/>
    </w:tblPr>
    <w:tblGrid>
      <w:gridCol w:w="993"/>
      <w:gridCol w:w="8583"/>
    </w:tblGrid>
    <w:tr w:rsidR="0090042E" w:rsidTr="004F70F5">
      <w:tc>
        <w:tcPr>
          <w:tcW w:w="918" w:type="dxa"/>
        </w:tcPr>
        <w:p w:rsidR="0090042E" w:rsidRDefault="0090042E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 w:rsidRPr="004F70F5">
            <w:rPr>
              <w14:numForm w14:val="oldStyle"/>
            </w:rPr>
            <w:fldChar w:fldCharType="begin"/>
          </w:r>
          <w:r w:rsidRPr="004F70F5">
            <w:rPr>
              <w14:numForm w14:val="oldStyle"/>
            </w:rPr>
            <w:instrText xml:space="preserve"> PAGE   \* MERGEFORMAT </w:instrText>
          </w:r>
          <w:r w:rsidRPr="004F70F5">
            <w:rPr>
              <w14:numForm w14:val="oldStyle"/>
            </w:rPr>
            <w:fldChar w:fldCharType="separate"/>
          </w:r>
          <w:r w:rsidR="00DE63C1" w:rsidRPr="00DE63C1">
            <w:rPr>
              <w:b/>
              <w:bCs/>
              <w:noProof/>
              <w:sz w:val="32"/>
              <w:szCs w:val="32"/>
              <w14:numForm w14:val="oldStyle"/>
            </w:rPr>
            <w:t>1</w:t>
          </w:r>
          <w:r w:rsidRPr="004F70F5">
            <w:rPr>
              <w:b/>
              <w:bCs/>
              <w:noProof/>
              <w:sz w:val="32"/>
              <w:szCs w:val="32"/>
              <w14:numForm w14:val="oldStyle"/>
            </w:rPr>
            <w:fldChar w:fldCharType="end"/>
          </w:r>
        </w:p>
      </w:tc>
      <w:tc>
        <w:tcPr>
          <w:tcW w:w="7938" w:type="dxa"/>
        </w:tcPr>
        <w:p w:rsidR="0090042E" w:rsidRPr="004F70F5" w:rsidRDefault="004F70F5" w:rsidP="004F70F5">
          <w:pPr>
            <w:pStyle w:val="Footer"/>
            <w:spacing w:before="120"/>
            <w:rPr>
              <w:rFonts w:ascii="Arial" w:hAnsi="Arial" w:cs="Arial"/>
              <w:color w:val="808080" w:themeColor="background1" w:themeShade="80"/>
              <w:sz w:val="24"/>
              <w:szCs w:val="24"/>
            </w:rPr>
          </w:pPr>
          <w:r w:rsidRPr="004F70F5"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>Page</w:t>
          </w:r>
        </w:p>
      </w:tc>
    </w:tr>
  </w:tbl>
  <w:p w:rsidR="0090042E" w:rsidRDefault="009004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6D3" w:rsidRDefault="002036D3" w:rsidP="0090042E">
      <w:r>
        <w:separator/>
      </w:r>
    </w:p>
  </w:footnote>
  <w:footnote w:type="continuationSeparator" w:id="0">
    <w:p w:rsidR="002036D3" w:rsidRDefault="002036D3" w:rsidP="009004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64612"/>
    <w:multiLevelType w:val="hybridMultilevel"/>
    <w:tmpl w:val="C9B4AFAA"/>
    <w:lvl w:ilvl="0" w:tplc="FC645400">
      <w:start w:val="1"/>
      <w:numFmt w:val="decimal"/>
      <w:lvlText w:val="%1)"/>
      <w:lvlJc w:val="left"/>
      <w:pPr>
        <w:ind w:left="720" w:hanging="360"/>
      </w:pPr>
      <w:rPr>
        <w:rFonts w:asciiTheme="majorHAnsi" w:eastAsiaTheme="minorHAnsi" w:hAnsiTheme="maj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C07489"/>
    <w:multiLevelType w:val="hybridMultilevel"/>
    <w:tmpl w:val="7BC23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020"/>
    <w:rsid w:val="0002797B"/>
    <w:rsid w:val="00054777"/>
    <w:rsid w:val="000A6920"/>
    <w:rsid w:val="000A722C"/>
    <w:rsid w:val="0010677B"/>
    <w:rsid w:val="0013333E"/>
    <w:rsid w:val="001558F5"/>
    <w:rsid w:val="001676BC"/>
    <w:rsid w:val="001A234E"/>
    <w:rsid w:val="001A6D33"/>
    <w:rsid w:val="001B2656"/>
    <w:rsid w:val="001F74C2"/>
    <w:rsid w:val="002036D3"/>
    <w:rsid w:val="00215241"/>
    <w:rsid w:val="002A48EE"/>
    <w:rsid w:val="002A61B0"/>
    <w:rsid w:val="003052FA"/>
    <w:rsid w:val="0033556D"/>
    <w:rsid w:val="003B34A8"/>
    <w:rsid w:val="003D75B4"/>
    <w:rsid w:val="00424ACA"/>
    <w:rsid w:val="004365EA"/>
    <w:rsid w:val="00452EE6"/>
    <w:rsid w:val="004727B6"/>
    <w:rsid w:val="004B5A21"/>
    <w:rsid w:val="004C2B9D"/>
    <w:rsid w:val="004D248B"/>
    <w:rsid w:val="004F70F5"/>
    <w:rsid w:val="00517CA8"/>
    <w:rsid w:val="005312F4"/>
    <w:rsid w:val="00533789"/>
    <w:rsid w:val="00542370"/>
    <w:rsid w:val="005438B0"/>
    <w:rsid w:val="0057226F"/>
    <w:rsid w:val="005904FB"/>
    <w:rsid w:val="005B7243"/>
    <w:rsid w:val="00621C4F"/>
    <w:rsid w:val="00625020"/>
    <w:rsid w:val="006420E2"/>
    <w:rsid w:val="006473B3"/>
    <w:rsid w:val="0065776E"/>
    <w:rsid w:val="006719DF"/>
    <w:rsid w:val="00743361"/>
    <w:rsid w:val="00746CF3"/>
    <w:rsid w:val="007A4F3E"/>
    <w:rsid w:val="00830DB2"/>
    <w:rsid w:val="0087517D"/>
    <w:rsid w:val="008B5CB3"/>
    <w:rsid w:val="008C6549"/>
    <w:rsid w:val="0090042E"/>
    <w:rsid w:val="00933F04"/>
    <w:rsid w:val="009A4DBD"/>
    <w:rsid w:val="009C2A8F"/>
    <w:rsid w:val="009C7F0F"/>
    <w:rsid w:val="009E2029"/>
    <w:rsid w:val="00A60EE4"/>
    <w:rsid w:val="00A9773B"/>
    <w:rsid w:val="00AC2A2A"/>
    <w:rsid w:val="00AE03F6"/>
    <w:rsid w:val="00B139AF"/>
    <w:rsid w:val="00BC60F2"/>
    <w:rsid w:val="00BE346E"/>
    <w:rsid w:val="00C12149"/>
    <w:rsid w:val="00C56C2F"/>
    <w:rsid w:val="00CA4E0A"/>
    <w:rsid w:val="00CD5220"/>
    <w:rsid w:val="00D16EC6"/>
    <w:rsid w:val="00D37574"/>
    <w:rsid w:val="00DE63C1"/>
    <w:rsid w:val="00E5043E"/>
    <w:rsid w:val="00EA0748"/>
    <w:rsid w:val="00EB639B"/>
    <w:rsid w:val="00EB652E"/>
    <w:rsid w:val="00EE1DC2"/>
    <w:rsid w:val="00EF0CAA"/>
    <w:rsid w:val="00F13813"/>
    <w:rsid w:val="00F83385"/>
    <w:rsid w:val="00FC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020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502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0042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9004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42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004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42E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3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361"/>
    <w:rPr>
      <w:rFonts w:ascii="Tahoma" w:eastAsia="Calibri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A07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07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0748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07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0748"/>
    <w:rPr>
      <w:rFonts w:ascii="Calibri" w:eastAsia="Calibri" w:hAnsi="Calibri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020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502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0042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9004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42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004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42E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3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361"/>
    <w:rPr>
      <w:rFonts w:ascii="Tahoma" w:eastAsia="Calibri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A07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07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0748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07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0748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6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1610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Alaska Dept of Fish and Game</Company>
  <LinksUpToDate>false</LinksUpToDate>
  <CharactersWithSpaces>10772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Sherri Dressel</dc:creator>
  <cp:lastModifiedBy>Dressel, Sherri C (DFG)</cp:lastModifiedBy>
  <cp:revision>4</cp:revision>
  <dcterms:created xsi:type="dcterms:W3CDTF">2015-11-24T06:41:00Z</dcterms:created>
  <dcterms:modified xsi:type="dcterms:W3CDTF">2015-11-24T08:17:00Z</dcterms:modified>
</cp:coreProperties>
</file>