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933C" w14:textId="103DD8A7" w:rsidR="00FD096F" w:rsidRPr="00FD096F" w:rsidRDefault="00FD096F" w:rsidP="00FD096F">
      <w:pPr>
        <w:rPr>
          <w:b/>
          <w:bCs/>
          <w:sz w:val="28"/>
          <w:szCs w:val="28"/>
        </w:rPr>
      </w:pPr>
      <w:bookmarkStart w:id="0" w:name="_Toc405557072"/>
      <w:r w:rsidRPr="00FD096F">
        <w:rPr>
          <w:b/>
          <w:bCs/>
          <w:sz w:val="28"/>
          <w:szCs w:val="28"/>
        </w:rPr>
        <w:t>Speel Lake Sockeye Salmon</w:t>
      </w:r>
      <w:bookmarkEnd w:id="0"/>
      <w:r w:rsidRPr="00FD096F">
        <w:rPr>
          <w:b/>
          <w:bCs/>
          <w:sz w:val="28"/>
          <w:szCs w:val="28"/>
        </w:rPr>
        <w:t xml:space="preserve"> Escapement Goal Review</w:t>
      </w:r>
      <w:r w:rsidR="002B136E">
        <w:rPr>
          <w:b/>
          <w:bCs/>
          <w:sz w:val="28"/>
          <w:szCs w:val="28"/>
        </w:rPr>
        <w:t xml:space="preserve"> 2019</w:t>
      </w:r>
    </w:p>
    <w:p w14:paraId="59305D4B" w14:textId="50645A51" w:rsidR="00D17BAE" w:rsidRDefault="00D17BAE" w:rsidP="00FD096F">
      <w:pPr>
        <w:rPr>
          <w:b/>
          <w:bCs/>
        </w:rPr>
      </w:pPr>
      <w:r>
        <w:rPr>
          <w:b/>
          <w:bCs/>
        </w:rPr>
        <w:t>2</w:t>
      </w:r>
      <w:r w:rsidR="00D95A54">
        <w:rPr>
          <w:b/>
          <w:bCs/>
        </w:rPr>
        <w:t>9</w:t>
      </w:r>
      <w:r>
        <w:rPr>
          <w:b/>
          <w:bCs/>
        </w:rPr>
        <w:t xml:space="preserve"> January 2020</w:t>
      </w:r>
    </w:p>
    <w:p w14:paraId="468450D8" w14:textId="2C79D568" w:rsidR="00FD096F" w:rsidRPr="00FD096F" w:rsidRDefault="00FD096F" w:rsidP="00FD096F">
      <w:pPr>
        <w:rPr>
          <w:b/>
          <w:bCs/>
        </w:rPr>
      </w:pPr>
      <w:r w:rsidRPr="00FD096F">
        <w:rPr>
          <w:b/>
          <w:bCs/>
        </w:rPr>
        <w:t>Sara Miller, Steve Heinl, Julie Bednarski</w:t>
      </w:r>
      <w:r w:rsidR="00D17BAE">
        <w:rPr>
          <w:b/>
          <w:bCs/>
        </w:rPr>
        <w:t>, Rich Brenner</w:t>
      </w:r>
    </w:p>
    <w:p w14:paraId="5D1E4576" w14:textId="2E1CE5F6" w:rsidR="00E412DA" w:rsidRDefault="00E412DA" w:rsidP="00FD096F">
      <w:r w:rsidRPr="00E412DA">
        <w:t>Speel Lake is located on mainland Alaska, in Speel Arm</w:t>
      </w:r>
      <w:r>
        <w:t>,</w:t>
      </w:r>
      <w:r w:rsidRPr="00E412DA">
        <w:t xml:space="preserve"> Port Snettisham, approximately 50 km southeast of Juneau. </w:t>
      </w:r>
      <w:r>
        <w:t xml:space="preserve">The lake supports </w:t>
      </w:r>
      <w:r w:rsidR="00FD096F" w:rsidRPr="005A75B9">
        <w:t xml:space="preserve">a small run of sockeye salmon, which is harvested primarily in the District 11 commercial drift gillnet </w:t>
      </w:r>
      <w:r w:rsidR="000B11EA" w:rsidRPr="005A75B9">
        <w:t>fisher</w:t>
      </w:r>
      <w:r w:rsidR="000B11EA">
        <w:t>y</w:t>
      </w:r>
      <w:r w:rsidR="000B11EA" w:rsidRPr="005A75B9">
        <w:t xml:space="preserve"> </w:t>
      </w:r>
      <w:r w:rsidR="00FD096F" w:rsidRPr="005A75B9">
        <w:t xml:space="preserve">in Taku Inlet, Stephens Passage, and Port Snettisham. </w:t>
      </w:r>
      <w:r w:rsidR="002B136E">
        <w:t>Management of t</w:t>
      </w:r>
      <w:r w:rsidR="00224041">
        <w:t xml:space="preserve">he District 11 fishery is </w:t>
      </w:r>
      <w:r w:rsidR="002B136E">
        <w:t>based</w:t>
      </w:r>
      <w:r w:rsidR="00224041">
        <w:t xml:space="preserve"> </w:t>
      </w:r>
      <w:r w:rsidR="000B11EA">
        <w:t xml:space="preserve">primarily </w:t>
      </w:r>
      <w:r w:rsidR="00224041">
        <w:t>on the abundance of wild Taku River sockeye and coho salmon, as specified in the Pacific Salmon Treaty, and the Speel Lake sockeye salmon run accounts for a very small portion of the harvest.</w:t>
      </w:r>
      <w:r w:rsidR="00FD096F" w:rsidRPr="005A75B9">
        <w:t xml:space="preserve"> Since the late 1990s, wild Speel Lake sockeye salmon have also been harvested in terminal hatchery fisheries conducted in Speel Arm to harvest </w:t>
      </w:r>
      <w:r w:rsidR="004E4AD0">
        <w:t xml:space="preserve">Snettisham Hatchery </w:t>
      </w:r>
      <w:r w:rsidR="00FD096F" w:rsidRPr="005A75B9">
        <w:t xml:space="preserve">sockeye salmon </w:t>
      </w:r>
      <w:r w:rsidR="004E4AD0">
        <w:t>runs</w:t>
      </w:r>
      <w:r w:rsidR="00FD096F" w:rsidRPr="005A75B9">
        <w:t xml:space="preserve">. Hatchery production is managed in accordance with the </w:t>
      </w:r>
      <w:r w:rsidR="00FD096F" w:rsidRPr="005A75B9">
        <w:rPr>
          <w:i/>
        </w:rPr>
        <w:t xml:space="preserve">District 11: Snettisham Hatchery Salmon Management Plan </w:t>
      </w:r>
      <w:r w:rsidR="00FD096F" w:rsidRPr="005A75B9">
        <w:t>(5 AAC 33.378), which requires ADF&amp;G to conduct common property harvests in the special harvest area (in Speel Arm) by limiting time and area through emergency order authority to protect and sustain production of wild sockeye salmon runs.</w:t>
      </w:r>
      <w:r>
        <w:t xml:space="preserve"> </w:t>
      </w:r>
      <w:r w:rsidR="00BD2A51" w:rsidRPr="00BD2A51">
        <w:t xml:space="preserve">Speel Lake sockeye salmon harvests have been estimated annually </w:t>
      </w:r>
      <w:r w:rsidR="000B11EA">
        <w:t xml:space="preserve">since 1986 (except 1991) </w:t>
      </w:r>
      <w:r w:rsidR="00BD2A51" w:rsidRPr="00BD2A51">
        <w:t xml:space="preserve">in conjunction with U.S./Canada stock identification programs to allocate harvests in the District 11 drift gillnet </w:t>
      </w:r>
      <w:r w:rsidR="000B11EA" w:rsidRPr="00BD2A51">
        <w:t>fisher</w:t>
      </w:r>
      <w:r w:rsidR="000B11EA">
        <w:t>y</w:t>
      </w:r>
      <w:r w:rsidR="00BD2A51" w:rsidRPr="00BD2A51">
        <w:t>.</w:t>
      </w:r>
      <w:r w:rsidR="00BD2A51">
        <w:t xml:space="preserve"> </w:t>
      </w:r>
      <w:r w:rsidRPr="00E412DA">
        <w:t>Escapements have been enumerated annually at an adult counting weir at the outlet of the lake in all but two years since 1983 (the weir has been operated by Douglas Island Pink and Chum, Inc. since 1996). Weir counts during most of the 1980s and 1990s underestimated the escapement, however, due to early removal of the weir</w:t>
      </w:r>
      <w:r w:rsidR="000B11EA">
        <w:t xml:space="preserve"> (</w:t>
      </w:r>
      <w:r w:rsidR="004B41BF">
        <w:t>Heinl et al</w:t>
      </w:r>
      <w:r w:rsidR="00FB0C57">
        <w:t xml:space="preserve"> 2014</w:t>
      </w:r>
      <w:r w:rsidR="000B11EA">
        <w:t>)</w:t>
      </w:r>
      <w:r w:rsidRPr="00E412DA">
        <w:t xml:space="preserve">. </w:t>
      </w:r>
    </w:p>
    <w:p w14:paraId="6D5B9548" w14:textId="4CE04C6E" w:rsidR="005D683D" w:rsidRDefault="002B136E" w:rsidP="00595E62">
      <w:r>
        <w:t>The Speel Lake sockeye salmon run</w:t>
      </w:r>
      <w:r w:rsidR="00383C35" w:rsidRPr="00383C35">
        <w:t xml:space="preserve"> was managed for informal escapement goals of 10,000 sockeye salmon in the 1980s</w:t>
      </w:r>
      <w:r w:rsidR="00FB0C57">
        <w:t xml:space="preserve"> and </w:t>
      </w:r>
      <w:r w:rsidR="00383C35" w:rsidRPr="00383C35">
        <w:t xml:space="preserve">5,000 sockeye salmon starting in 1992. In 2003, ADF&amp;G established a biological escapement goal of 4,000–13,000 sockeye salmon, the range of escapements estimated to provide </w:t>
      </w:r>
      <w:r w:rsidR="00C35A42">
        <w:t>at least</w:t>
      </w:r>
      <w:r w:rsidR="00383C35" w:rsidRPr="00383C35">
        <w:t xml:space="preserve"> 80% of maximum sustained yield </w:t>
      </w:r>
      <w:r w:rsidR="00383C35">
        <w:t xml:space="preserve">(MSY) </w:t>
      </w:r>
      <w:r w:rsidR="00383C35" w:rsidRPr="00383C35">
        <w:t>(</w:t>
      </w:r>
      <w:proofErr w:type="spellStart"/>
      <w:r w:rsidR="00383C35" w:rsidRPr="00383C35">
        <w:t>Riffe</w:t>
      </w:r>
      <w:proofErr w:type="spellEnd"/>
      <w:r w:rsidR="00383C35" w:rsidRPr="00383C35">
        <w:t xml:space="preserve"> and Clark 2003). </w:t>
      </w:r>
      <w:r w:rsidR="00FD096F" w:rsidRPr="005A75B9">
        <w:t xml:space="preserve">The current </w:t>
      </w:r>
      <w:r w:rsidR="000B42EA">
        <w:t>sustainable</w:t>
      </w:r>
      <w:r w:rsidR="00FD096F" w:rsidRPr="005A75B9">
        <w:t xml:space="preserve"> escapement goal </w:t>
      </w:r>
      <w:r w:rsidR="000B42EA">
        <w:t xml:space="preserve">range </w:t>
      </w:r>
      <w:r w:rsidR="00FD096F" w:rsidRPr="005A75B9">
        <w:t>of 4,000–</w:t>
      </w:r>
      <w:r w:rsidR="007A14B9">
        <w:t>9</w:t>
      </w:r>
      <w:r w:rsidR="00FD096F" w:rsidRPr="005A75B9">
        <w:t xml:space="preserve">,000 </w:t>
      </w:r>
      <w:r w:rsidR="004E4AD0">
        <w:t>sockeye salmon</w:t>
      </w:r>
      <w:r w:rsidR="00FD096F" w:rsidRPr="005A75B9">
        <w:t xml:space="preserve"> was established in 20</w:t>
      </w:r>
      <w:r w:rsidR="007A14B9">
        <w:t>15</w:t>
      </w:r>
      <w:r w:rsidR="004E4AD0">
        <w:t xml:space="preserve"> </w:t>
      </w:r>
      <w:r w:rsidR="00E53D20" w:rsidRPr="00E53D20">
        <w:t xml:space="preserve">based on a spawner-recruit analysis </w:t>
      </w:r>
      <w:r w:rsidR="00E53D20">
        <w:t xml:space="preserve">of total runs from 1983 to 2011 </w:t>
      </w:r>
      <w:r w:rsidR="004E4AD0">
        <w:t>(Heinl et al. 2014).</w:t>
      </w:r>
      <w:r w:rsidR="00FD096F" w:rsidRPr="005A75B9">
        <w:t xml:space="preserve"> </w:t>
      </w:r>
      <w:r w:rsidR="005D683D">
        <w:t xml:space="preserve">A </w:t>
      </w:r>
      <w:r w:rsidR="00E412DA" w:rsidRPr="00E412DA">
        <w:t xml:space="preserve">Bayesian </w:t>
      </w:r>
      <w:r w:rsidR="005D683D" w:rsidRPr="005D683D">
        <w:t xml:space="preserve">age-structured state-space model </w:t>
      </w:r>
      <w:r w:rsidR="005D683D">
        <w:t xml:space="preserve">was used to assess uncertainty introduced </w:t>
      </w:r>
      <w:r w:rsidR="00E53D20">
        <w:t xml:space="preserve">by serial correlation, measurement error in escapement estimates (expanded historical weir counts), and missing data (two years of missing escapement data </w:t>
      </w:r>
      <w:r w:rsidR="00D35B62">
        <w:t xml:space="preserve">(1993, 1994); </w:t>
      </w:r>
      <w:r w:rsidR="00E53D20">
        <w:t>four years of missing harvest data</w:t>
      </w:r>
      <w:r w:rsidR="00D35B62">
        <w:t xml:space="preserve"> (1983–1985, 1991</w:t>
      </w:r>
      <w:r w:rsidR="00E53D20">
        <w:t>)</w:t>
      </w:r>
      <w:r w:rsidR="00D35B62">
        <w:t>; six years of missing age composition data (1983–1985, 1991, 1993, 1994))</w:t>
      </w:r>
      <w:r w:rsidR="00E53D20">
        <w:t xml:space="preserve">. </w:t>
      </w:r>
      <w:r w:rsidR="00383C35">
        <w:t>The</w:t>
      </w:r>
      <w:r w:rsidR="00E53D20">
        <w:t xml:space="preserve"> escapement </w:t>
      </w:r>
      <w:r w:rsidR="00383C35">
        <w:t xml:space="preserve">expected to produce </w:t>
      </w:r>
      <w:r w:rsidR="00E53D20">
        <w:t>maximum sustained yield</w:t>
      </w:r>
      <w:r w:rsidR="00383C35">
        <w:t xml:space="preserve"> (</w:t>
      </w:r>
      <w:r w:rsidR="0099144D" w:rsidRPr="0099144D">
        <w:rPr>
          <w:i/>
          <w:iCs/>
        </w:rPr>
        <w:t>S</w:t>
      </w:r>
      <w:r w:rsidR="0099144D">
        <w:rPr>
          <w:vertAlign w:val="subscript"/>
        </w:rPr>
        <w:t>MSY</w:t>
      </w:r>
      <w:r w:rsidR="00383C35">
        <w:t>)</w:t>
      </w:r>
      <w:r w:rsidR="0099144D">
        <w:t xml:space="preserve"> </w:t>
      </w:r>
      <w:r w:rsidR="00383C35">
        <w:t>was estimated to be</w:t>
      </w:r>
      <w:r w:rsidR="00E53D20">
        <w:t xml:space="preserve"> 6,</w:t>
      </w:r>
      <w:r w:rsidR="00F71055">
        <w:t>2</w:t>
      </w:r>
      <w:r w:rsidR="00E53D20">
        <w:t>00 spawners</w:t>
      </w:r>
      <w:r w:rsidR="0099144D">
        <w:t xml:space="preserve"> (95% </w:t>
      </w:r>
      <w:r w:rsidR="00F925B6">
        <w:t xml:space="preserve">credible interval </w:t>
      </w:r>
      <w:r w:rsidR="00D17BAE">
        <w:t>[</w:t>
      </w:r>
      <w:r w:rsidR="00F925B6">
        <w:t>CI</w:t>
      </w:r>
      <w:r w:rsidR="00D17BAE">
        <w:t>]</w:t>
      </w:r>
      <w:r w:rsidR="0099144D">
        <w:t xml:space="preserve"> 3,900–21,000 spawners)</w:t>
      </w:r>
      <w:r w:rsidR="00383C35">
        <w:t xml:space="preserve">, and </w:t>
      </w:r>
      <w:r w:rsidR="004A7BB5">
        <w:t xml:space="preserve">at </w:t>
      </w:r>
      <w:r w:rsidR="00383C35">
        <w:t xml:space="preserve">the </w:t>
      </w:r>
      <w:r w:rsidR="007B76C4">
        <w:t xml:space="preserve">lower bound of the </w:t>
      </w:r>
      <w:r w:rsidR="0099144D" w:rsidRPr="0099144D">
        <w:t xml:space="preserve">escapement goal range </w:t>
      </w:r>
      <w:r w:rsidR="004A7BB5">
        <w:t>(4,000</w:t>
      </w:r>
      <w:r w:rsidR="00173D57">
        <w:t xml:space="preserve"> spawners</w:t>
      </w:r>
      <w:r w:rsidR="004A7BB5">
        <w:t xml:space="preserve">), there </w:t>
      </w:r>
      <w:r w:rsidR="0099144D" w:rsidRPr="0099144D">
        <w:t xml:space="preserve">was </w:t>
      </w:r>
      <w:r w:rsidR="004A7BB5">
        <w:t>an estimated</w:t>
      </w:r>
      <w:r w:rsidR="0099144D" w:rsidRPr="0099144D">
        <w:t xml:space="preserve"> </w:t>
      </w:r>
      <w:r w:rsidR="00F71055">
        <w:t>73</w:t>
      </w:r>
      <w:r w:rsidR="00D30D3C">
        <w:t>–</w:t>
      </w:r>
      <w:r w:rsidR="005E15F2">
        <w:t>91</w:t>
      </w:r>
      <w:r w:rsidR="0099144D" w:rsidRPr="0099144D">
        <w:t xml:space="preserve">% probability of achieving </w:t>
      </w:r>
      <w:r w:rsidR="00787B6F">
        <w:t>at least</w:t>
      </w:r>
      <w:r w:rsidR="0027556B">
        <w:t xml:space="preserve"> </w:t>
      </w:r>
      <w:r w:rsidR="0099144D" w:rsidRPr="0099144D">
        <w:t xml:space="preserve">80% </w:t>
      </w:r>
      <w:r w:rsidR="0027556B">
        <w:t>o</w:t>
      </w:r>
      <w:r w:rsidR="0099144D" w:rsidRPr="0099144D">
        <w:t xml:space="preserve">f </w:t>
      </w:r>
      <w:r w:rsidR="00C35A42">
        <w:t>MSY</w:t>
      </w:r>
      <w:r w:rsidR="0099144D" w:rsidRPr="0099144D">
        <w:t>.</w:t>
      </w:r>
    </w:p>
    <w:p w14:paraId="4523E9DE" w14:textId="5059F07B" w:rsidR="00FE72A4" w:rsidRPr="00D41734" w:rsidRDefault="00383C35" w:rsidP="00FD096F">
      <w:commentRangeStart w:id="1"/>
      <w:r>
        <w:rPr>
          <w:b/>
          <w:bCs/>
        </w:rPr>
        <w:t>Escapement Goal</w:t>
      </w:r>
      <w:r w:rsidR="001B1288" w:rsidRPr="001B1288">
        <w:rPr>
          <w:b/>
          <w:bCs/>
        </w:rPr>
        <w:t xml:space="preserve"> Review</w:t>
      </w:r>
      <w:commentRangeEnd w:id="1"/>
      <w:r w:rsidR="00750897">
        <w:rPr>
          <w:rStyle w:val="CommentReference"/>
        </w:rPr>
        <w:commentReference w:id="1"/>
      </w:r>
      <w:r w:rsidR="001B1288" w:rsidRPr="001B1288">
        <w:rPr>
          <w:b/>
          <w:bCs/>
        </w:rPr>
        <w:t>:</w:t>
      </w:r>
      <w:r w:rsidR="006158C5">
        <w:t xml:space="preserve"> </w:t>
      </w:r>
      <w:r w:rsidR="00595E62">
        <w:t xml:space="preserve">For this review, </w:t>
      </w:r>
      <w:r w:rsidR="0099144D">
        <w:t>the model</w:t>
      </w:r>
      <w:r w:rsidR="00595E62" w:rsidRPr="00595E62">
        <w:t xml:space="preserve"> was </w:t>
      </w:r>
      <w:r w:rsidR="00595E62">
        <w:t xml:space="preserve">updated to include </w:t>
      </w:r>
      <w:r w:rsidR="009C5D16">
        <w:t>run years</w:t>
      </w:r>
      <w:r w:rsidR="00595E62" w:rsidRPr="00595E62">
        <w:t xml:space="preserve"> </w:t>
      </w:r>
      <w:r w:rsidR="0099144D">
        <w:t>2012</w:t>
      </w:r>
      <w:r w:rsidR="00D24B70">
        <w:t>–</w:t>
      </w:r>
      <w:r w:rsidR="00595E62" w:rsidRPr="00595E62">
        <w:t>201</w:t>
      </w:r>
      <w:r w:rsidR="00595E62">
        <w:t>9</w:t>
      </w:r>
      <w:r w:rsidR="00D35B62">
        <w:t xml:space="preserve">. </w:t>
      </w:r>
      <w:r w:rsidR="00A57EBC">
        <w:t>Model p</w:t>
      </w:r>
      <w:r w:rsidR="00C35A42">
        <w:t xml:space="preserve">arameter estimates </w:t>
      </w:r>
      <w:r w:rsidR="00A57EBC">
        <w:t>were very similar to</w:t>
      </w:r>
      <w:r w:rsidR="00C35A42">
        <w:t xml:space="preserve"> those reported by Heinl et al. (2014)</w:t>
      </w:r>
      <w:r w:rsidR="00787B6F">
        <w:t xml:space="preserve">; </w:t>
      </w:r>
      <w:r w:rsidR="00910F22">
        <w:t>for example</w:t>
      </w:r>
      <w:r w:rsidR="00A57EBC">
        <w:t>,</w:t>
      </w:r>
      <w:r w:rsidR="009C5D16">
        <w:t xml:space="preserve"> </w:t>
      </w:r>
      <w:r w:rsidR="009C5D16" w:rsidRPr="006158C5">
        <w:rPr>
          <w:i/>
          <w:iCs/>
        </w:rPr>
        <w:t>S</w:t>
      </w:r>
      <w:r w:rsidR="006158C5">
        <w:rPr>
          <w:vertAlign w:val="subscript"/>
        </w:rPr>
        <w:t>MSY</w:t>
      </w:r>
      <w:r w:rsidR="009C5D16">
        <w:t xml:space="preserve"> = </w:t>
      </w:r>
      <w:r w:rsidR="00D35B62">
        <w:t>5,900</w:t>
      </w:r>
      <w:r w:rsidR="006158C5">
        <w:t xml:space="preserve"> fish</w:t>
      </w:r>
      <w:r w:rsidR="00C35A42">
        <w:t xml:space="preserve"> </w:t>
      </w:r>
      <w:r w:rsidR="00910F22">
        <w:t>(</w:t>
      </w:r>
      <w:r w:rsidR="00910F22" w:rsidRPr="00910F22">
        <w:t xml:space="preserve">95% CI = </w:t>
      </w:r>
      <w:r w:rsidR="00D35B62">
        <w:t>3,900</w:t>
      </w:r>
      <w:r w:rsidR="00910F22" w:rsidRPr="00910F22">
        <w:t>–1</w:t>
      </w:r>
      <w:r w:rsidR="00D35B62">
        <w:t>2</w:t>
      </w:r>
      <w:r w:rsidR="00910F22" w:rsidRPr="00910F22">
        <w:t>,</w:t>
      </w:r>
      <w:r w:rsidR="00D35B62">
        <w:t>8</w:t>
      </w:r>
      <w:r w:rsidR="00910F22" w:rsidRPr="00910F22">
        <w:t>00 fish</w:t>
      </w:r>
      <w:r w:rsidR="00910F22">
        <w:t>)</w:t>
      </w:r>
      <w:r w:rsidR="00092985">
        <w:t xml:space="preserve"> for the revised analysis</w:t>
      </w:r>
      <w:r w:rsidR="00910F22" w:rsidRPr="00910F22">
        <w:t xml:space="preserve"> </w:t>
      </w:r>
      <w:r w:rsidR="00C35A42">
        <w:t xml:space="preserve">vs. </w:t>
      </w:r>
      <w:r w:rsidR="00910F22" w:rsidRPr="006158C5">
        <w:rPr>
          <w:i/>
          <w:iCs/>
        </w:rPr>
        <w:t>S</w:t>
      </w:r>
      <w:r w:rsidR="00910F22">
        <w:rPr>
          <w:vertAlign w:val="subscript"/>
        </w:rPr>
        <w:t>MSY</w:t>
      </w:r>
      <w:r w:rsidR="00910F22">
        <w:t xml:space="preserve"> =</w:t>
      </w:r>
      <w:r w:rsidR="00A30951">
        <w:t xml:space="preserve"> </w:t>
      </w:r>
      <w:r w:rsidR="00C35A42">
        <w:t>6,</w:t>
      </w:r>
      <w:r w:rsidR="00A30951">
        <w:t>2</w:t>
      </w:r>
      <w:r w:rsidR="00C35A42">
        <w:t xml:space="preserve">00 fish </w:t>
      </w:r>
      <w:r w:rsidR="00910F22">
        <w:t xml:space="preserve">(95% CI = </w:t>
      </w:r>
      <w:r w:rsidR="00D24B70">
        <w:t>3,900</w:t>
      </w:r>
      <w:bookmarkStart w:id="2" w:name="_Hlk31188188"/>
      <w:r w:rsidR="00D24B70">
        <w:t>–</w:t>
      </w:r>
      <w:bookmarkEnd w:id="2"/>
      <w:r w:rsidR="00D24B70">
        <w:t>21,000 fish</w:t>
      </w:r>
      <w:r w:rsidR="009C5D16">
        <w:t>)</w:t>
      </w:r>
      <w:r w:rsidR="00092985">
        <w:t xml:space="preserve"> for Heinl et al. (2014)</w:t>
      </w:r>
      <w:r w:rsidR="00A57EBC">
        <w:t>.</w:t>
      </w:r>
      <w:r w:rsidR="00787B6F">
        <w:t xml:space="preserve"> </w:t>
      </w:r>
      <w:r w:rsidR="00DB71CF" w:rsidRPr="00DB71CF">
        <w:t xml:space="preserve">The range of escapements estimated to produce at least 90% of MSY is </w:t>
      </w:r>
      <w:r w:rsidR="00027128">
        <w:t>3,792</w:t>
      </w:r>
      <w:r w:rsidR="00DB71CF" w:rsidRPr="00DB71CF">
        <w:t>–8,</w:t>
      </w:r>
      <w:r w:rsidR="00027128">
        <w:t>156</w:t>
      </w:r>
      <w:r w:rsidR="00DB71CF" w:rsidRPr="00DB71CF">
        <w:t xml:space="preserve"> fish, nearly identical to the current escapement goal range of 4,000–9,000 fish</w:t>
      </w:r>
      <w:r w:rsidR="00CF33B0">
        <w:t xml:space="preserve">; although </w:t>
      </w:r>
      <w:r w:rsidR="0067412D">
        <w:t>shifted a bit lower</w:t>
      </w:r>
      <w:r w:rsidR="00DB71CF" w:rsidRPr="00DB71CF">
        <w:t xml:space="preserve">. </w:t>
      </w:r>
      <w:r w:rsidR="00A57EBC">
        <w:t xml:space="preserve">Estimated model parameters and management reference points are imprecise for this stock, as </w:t>
      </w:r>
      <w:r w:rsidR="006158C5" w:rsidRPr="006158C5">
        <w:t xml:space="preserve">indicated by </w:t>
      </w:r>
      <w:r w:rsidR="006158C5">
        <w:t>large</w:t>
      </w:r>
      <w:r w:rsidR="006158C5" w:rsidRPr="006158C5">
        <w:t xml:space="preserve"> </w:t>
      </w:r>
      <w:r w:rsidR="00C0323A">
        <w:t xml:space="preserve">credible </w:t>
      </w:r>
      <w:r w:rsidR="006158C5">
        <w:t>interval</w:t>
      </w:r>
      <w:r w:rsidR="006158C5" w:rsidRPr="006158C5">
        <w:t xml:space="preserve">s </w:t>
      </w:r>
      <w:r>
        <w:t>(</w:t>
      </w:r>
      <w:r w:rsidRPr="00177076">
        <w:t>Table 1)</w:t>
      </w:r>
      <w:r w:rsidR="009C5D16" w:rsidRPr="00177076">
        <w:t xml:space="preserve">. </w:t>
      </w:r>
      <w:r w:rsidR="002858AD" w:rsidRPr="00D41734">
        <w:t>At the current lower bound of 4,000 fish, there is a</w:t>
      </w:r>
      <w:r w:rsidR="005D3A8D">
        <w:t>n</w:t>
      </w:r>
      <w:r w:rsidR="002858AD" w:rsidRPr="00D41734">
        <w:t xml:space="preserve"> </w:t>
      </w:r>
      <w:r w:rsidR="0067412D">
        <w:t>81</w:t>
      </w:r>
      <w:r w:rsidR="002858AD" w:rsidRPr="00D41734">
        <w:t>–9</w:t>
      </w:r>
      <w:r w:rsidR="0067412D">
        <w:t>5</w:t>
      </w:r>
      <w:r w:rsidR="002858AD" w:rsidRPr="00D41734">
        <w:t xml:space="preserve">% probability of achieving </w:t>
      </w:r>
      <w:r w:rsidR="002858AD" w:rsidRPr="00D41734">
        <w:lastRenderedPageBreak/>
        <w:t xml:space="preserve">greater than 80% of MSY </w:t>
      </w:r>
      <w:r w:rsidRPr="00D41734">
        <w:t>(Figure</w:t>
      </w:r>
      <w:r w:rsidR="00BF03DA" w:rsidRPr="00D41734">
        <w:t xml:space="preserve"> 1</w:t>
      </w:r>
      <w:r w:rsidRPr="00D41734">
        <w:t>)</w:t>
      </w:r>
      <w:r w:rsidR="002858AD" w:rsidRPr="00D41734">
        <w:t xml:space="preserve"> and there is a </w:t>
      </w:r>
      <w:r w:rsidR="0067412D">
        <w:t>56</w:t>
      </w:r>
      <w:r w:rsidR="002858AD" w:rsidRPr="00D41734">
        <w:t>–8</w:t>
      </w:r>
      <w:r w:rsidR="0067412D">
        <w:t>5</w:t>
      </w:r>
      <w:r w:rsidR="002858AD" w:rsidRPr="00D41734">
        <w:t>% probability of achieving greater than 90% of MSY</w:t>
      </w:r>
      <w:r w:rsidRPr="00D41734">
        <w:t>.</w:t>
      </w:r>
      <w:r w:rsidR="00897B7D" w:rsidRPr="00D41734">
        <w:t xml:space="preserve"> </w:t>
      </w:r>
    </w:p>
    <w:p w14:paraId="6D7AEE0E" w14:textId="120AE0F0" w:rsidR="000B42EA" w:rsidRPr="00AE3CE9" w:rsidRDefault="00897B7D" w:rsidP="00FD096F">
      <w:r w:rsidRPr="00177076">
        <w:rPr>
          <w:color w:val="000000"/>
        </w:rPr>
        <w:t>The</w:t>
      </w:r>
      <w:r>
        <w:rPr>
          <w:color w:val="000000"/>
        </w:rPr>
        <w:t xml:space="preserve"> median estimate of ln(</w:t>
      </w:r>
      <w:r w:rsidR="00177076" w:rsidRPr="00177076">
        <w:rPr>
          <w:rFonts w:ascii="Symbol" w:eastAsia="Noto Sans Symbols" w:hAnsi="Symbol" w:cs="Noto Sans Symbols"/>
          <w:i/>
          <w:color w:val="000000"/>
        </w:rPr>
        <w:t>a</w:t>
      </w:r>
      <w:r>
        <w:rPr>
          <w:color w:val="000000"/>
        </w:rPr>
        <w:t xml:space="preserve">) was </w:t>
      </w:r>
      <w:r w:rsidR="00F74077">
        <w:rPr>
          <w:color w:val="000000"/>
        </w:rPr>
        <w:t xml:space="preserve">low at </w:t>
      </w:r>
      <w:r w:rsidR="00D41734">
        <w:rPr>
          <w:color w:val="000000"/>
        </w:rPr>
        <w:t>1.</w:t>
      </w:r>
      <w:r w:rsidR="0067412D">
        <w:rPr>
          <w:color w:val="000000"/>
        </w:rPr>
        <w:t>24</w:t>
      </w:r>
      <w:r w:rsidR="005C05FA">
        <w:rPr>
          <w:color w:val="000000"/>
        </w:rPr>
        <w:t xml:space="preserve">, </w:t>
      </w:r>
      <w:r>
        <w:rPr>
          <w:color w:val="000000"/>
        </w:rPr>
        <w:t>corresponding to</w:t>
      </w:r>
      <w:r w:rsidR="005C05FA">
        <w:rPr>
          <w:color w:val="000000"/>
        </w:rPr>
        <w:t xml:space="preserve"> median productivity (recruits per spawner in the absence of density effects)</w:t>
      </w:r>
      <w:r w:rsidR="00F74077">
        <w:rPr>
          <w:color w:val="000000"/>
        </w:rPr>
        <w:t xml:space="preserve"> of</w:t>
      </w:r>
      <w:r w:rsidR="00D17BAE">
        <w:rPr>
          <w:color w:val="000000"/>
        </w:rPr>
        <w:t xml:space="preserve"> </w:t>
      </w:r>
      <w:r w:rsidR="00253929" w:rsidRPr="00253929">
        <w:rPr>
          <w:rFonts w:ascii="Symbol" w:hAnsi="Symbol"/>
          <w:i/>
          <w:iCs/>
          <w:color w:val="000000"/>
        </w:rPr>
        <w:t>a</w:t>
      </w:r>
      <w:r>
        <w:rPr>
          <w:color w:val="000000"/>
        </w:rPr>
        <w:t xml:space="preserve"> = </w:t>
      </w:r>
      <w:r w:rsidR="00B633AA">
        <w:rPr>
          <w:color w:val="000000"/>
        </w:rPr>
        <w:t>3.</w:t>
      </w:r>
      <w:r w:rsidR="0067412D">
        <w:rPr>
          <w:color w:val="000000"/>
        </w:rPr>
        <w:t>45</w:t>
      </w:r>
      <w:r w:rsidR="00F74077">
        <w:rPr>
          <w:color w:val="000000"/>
        </w:rPr>
        <w:t xml:space="preserve">; </w:t>
      </w:r>
      <w:r w:rsidR="005C05FA">
        <w:rPr>
          <w:color w:val="000000"/>
        </w:rPr>
        <w:t>but</w:t>
      </w:r>
      <w:r w:rsidR="00F74077">
        <w:rPr>
          <w:color w:val="000000"/>
        </w:rPr>
        <w:t>,</w:t>
      </w:r>
      <w:r w:rsidR="005C05FA">
        <w:rPr>
          <w:color w:val="000000"/>
        </w:rPr>
        <w:t xml:space="preserve"> the uncertainty was high (</w:t>
      </w:r>
      <w:r w:rsidR="002858AD">
        <w:rPr>
          <w:color w:val="000000"/>
        </w:rPr>
        <w:t xml:space="preserve">CV = </w:t>
      </w:r>
      <w:r w:rsidR="005C05FA">
        <w:rPr>
          <w:color w:val="000000"/>
        </w:rPr>
        <w:t>0.3</w:t>
      </w:r>
      <w:r w:rsidR="0067412D">
        <w:rPr>
          <w:color w:val="000000"/>
        </w:rPr>
        <w:t>9</w:t>
      </w:r>
      <w:r w:rsidR="00D41734">
        <w:rPr>
          <w:color w:val="000000"/>
        </w:rPr>
        <w:t xml:space="preserve"> for</w:t>
      </w:r>
      <w:r w:rsidR="00D41734">
        <w:rPr>
          <w:rStyle w:val="CommentReference"/>
        </w:rPr>
        <w:t xml:space="preserve"> </w:t>
      </w:r>
      <w:r w:rsidR="00D41734" w:rsidRPr="00253929">
        <w:rPr>
          <w:rFonts w:ascii="Symbol" w:hAnsi="Symbol"/>
          <w:i/>
          <w:iCs/>
          <w:color w:val="000000"/>
        </w:rPr>
        <w:t>a</w:t>
      </w:r>
      <w:r w:rsidR="005C05FA">
        <w:rPr>
          <w:color w:val="000000"/>
        </w:rPr>
        <w:t xml:space="preserve">) </w:t>
      </w:r>
      <w:r>
        <w:rPr>
          <w:color w:val="000000"/>
        </w:rPr>
        <w:t>(</w:t>
      </w:r>
      <w:r w:rsidR="00253929">
        <w:rPr>
          <w:color w:val="000000"/>
        </w:rPr>
        <w:t>low</w:t>
      </w:r>
      <w:r>
        <w:rPr>
          <w:color w:val="000000"/>
        </w:rPr>
        <w:t xml:space="preserve"> productivity stock</w:t>
      </w:r>
      <w:r w:rsidR="005C05FA">
        <w:rPr>
          <w:color w:val="000000"/>
        </w:rPr>
        <w:t xml:space="preserve"> defined as</w:t>
      </w:r>
      <w:r>
        <w:rPr>
          <w:color w:val="000000"/>
        </w:rPr>
        <w:t xml:space="preserve"> </w:t>
      </w:r>
      <w:r w:rsidR="00177076" w:rsidRPr="00253929">
        <w:rPr>
          <w:rFonts w:ascii="Symbol" w:hAnsi="Symbol"/>
          <w:i/>
          <w:iCs/>
          <w:color w:val="000000"/>
        </w:rPr>
        <w:t>a</w:t>
      </w:r>
      <w:r>
        <w:rPr>
          <w:color w:val="000000"/>
        </w:rPr>
        <w:t xml:space="preserve"> </w:t>
      </w:r>
      <w:r w:rsidR="00253929">
        <w:rPr>
          <w:color w:val="000000"/>
        </w:rPr>
        <w:t>≤</w:t>
      </w:r>
      <w:r>
        <w:rPr>
          <w:color w:val="000000"/>
        </w:rPr>
        <w:t xml:space="preserve"> 4; </w:t>
      </w:r>
      <w:proofErr w:type="spellStart"/>
      <w:r>
        <w:rPr>
          <w:color w:val="000000"/>
        </w:rPr>
        <w:t>Su</w:t>
      </w:r>
      <w:proofErr w:type="spellEnd"/>
      <w:r>
        <w:rPr>
          <w:color w:val="000000"/>
        </w:rPr>
        <w:t xml:space="preserve"> and Peterman 2012)</w:t>
      </w:r>
      <w:r w:rsidR="005C05FA">
        <w:rPr>
          <w:color w:val="000000"/>
        </w:rPr>
        <w:t>.</w:t>
      </w:r>
      <w:r>
        <w:rPr>
          <w:color w:val="000000"/>
        </w:rPr>
        <w:t xml:space="preserve"> </w:t>
      </w:r>
      <w:r w:rsidR="005C05FA">
        <w:rPr>
          <w:color w:val="000000"/>
        </w:rPr>
        <w:t>T</w:t>
      </w:r>
      <w:r>
        <w:rPr>
          <w:color w:val="000000"/>
        </w:rPr>
        <w:t xml:space="preserve">he median estimate of the density dependent parameter </w:t>
      </w:r>
      <w:r w:rsidRPr="005C513E">
        <w:rPr>
          <w:rFonts w:ascii="Symbol" w:eastAsia="Noto Sans Symbols" w:hAnsi="Symbol" w:cs="Noto Sans Symbols"/>
          <w:i/>
          <w:color w:val="000000"/>
        </w:rPr>
        <w:t></w:t>
      </w:r>
      <w:r>
        <w:rPr>
          <w:color w:val="000000"/>
        </w:rPr>
        <w:t xml:space="preserve"> was </w:t>
      </w:r>
      <w:r w:rsidR="0067412D">
        <w:rPr>
          <w:color w:val="000000"/>
        </w:rPr>
        <w:t>9.38</w:t>
      </w:r>
      <w:r>
        <w:rPr>
          <w:color w:val="000000"/>
        </w:rPr>
        <w:t xml:space="preserve"> x 10</w:t>
      </w:r>
      <w:r w:rsidRPr="00EC2920">
        <w:rPr>
          <w:color w:val="000000"/>
          <w:vertAlign w:val="superscript"/>
        </w:rPr>
        <w:t>-5</w:t>
      </w:r>
      <w:r w:rsidR="005C05FA" w:rsidRPr="000053CB">
        <w:rPr>
          <w:color w:val="000000"/>
        </w:rPr>
        <w:t>, and the uncertainty was also high (</w:t>
      </w:r>
      <w:r w:rsidR="00D41734">
        <w:rPr>
          <w:color w:val="000000"/>
        </w:rPr>
        <w:t xml:space="preserve">CV = </w:t>
      </w:r>
      <w:r w:rsidR="005C05FA" w:rsidRPr="000053CB">
        <w:rPr>
          <w:color w:val="000000"/>
        </w:rPr>
        <w:t>0.4</w:t>
      </w:r>
      <w:r w:rsidR="0067412D">
        <w:rPr>
          <w:color w:val="000000"/>
        </w:rPr>
        <w:t>1</w:t>
      </w:r>
      <w:r w:rsidR="005C05FA" w:rsidRPr="000053CB">
        <w:rPr>
          <w:color w:val="000000"/>
        </w:rPr>
        <w:t>)</w:t>
      </w:r>
      <w:r>
        <w:rPr>
          <w:color w:val="000000"/>
        </w:rPr>
        <w:t xml:space="preserve"> (Table 1). Uncertainty about </w:t>
      </w:r>
      <w:r w:rsidRPr="005C513E">
        <w:rPr>
          <w:rFonts w:ascii="Symbol" w:eastAsia="Noto Sans Symbols" w:hAnsi="Symbol" w:cs="Noto Sans Symbols"/>
          <w:i/>
          <w:color w:val="000000"/>
        </w:rPr>
        <w:t></w:t>
      </w:r>
      <w:r>
        <w:rPr>
          <w:color w:val="000000"/>
        </w:rPr>
        <w:t xml:space="preserve"> is reflected in variability in the values of </w:t>
      </w:r>
      <w:r w:rsidRPr="00104147">
        <w:rPr>
          <w:i/>
          <w:iCs/>
          <w:color w:val="000000"/>
        </w:rPr>
        <w:t>S</w:t>
      </w:r>
      <w:r>
        <w:rPr>
          <w:color w:val="000000"/>
        </w:rPr>
        <w:t xml:space="preserve"> leading to maximum recruitment </w:t>
      </w:r>
      <w:r>
        <w:rPr>
          <w:i/>
          <w:color w:val="000000"/>
        </w:rPr>
        <w:t>S</w:t>
      </w:r>
      <w:r>
        <w:rPr>
          <w:color w:val="000000"/>
          <w:vertAlign w:val="subscript"/>
        </w:rPr>
        <w:t>MAX</w:t>
      </w:r>
      <w:r>
        <w:rPr>
          <w:color w:val="000000"/>
        </w:rPr>
        <w:t xml:space="preserve"> = 1/</w:t>
      </w:r>
      <w:r w:rsidRPr="005C513E">
        <w:rPr>
          <w:rFonts w:ascii="Symbol" w:eastAsia="Noto Sans Symbols" w:hAnsi="Symbol" w:cs="Noto Sans Symbols"/>
          <w:i/>
          <w:color w:val="000000"/>
        </w:rPr>
        <w:t></w:t>
      </w:r>
      <w:r>
        <w:rPr>
          <w:color w:val="000000"/>
        </w:rPr>
        <w:t>, and uncertainty about equilibrium abundance,</w:t>
      </w:r>
      <w:r>
        <w:rPr>
          <w:i/>
          <w:color w:val="000000"/>
        </w:rPr>
        <w:t xml:space="preserve"> S</w:t>
      </w:r>
      <w:r>
        <w:rPr>
          <w:color w:val="000000"/>
          <w:vertAlign w:val="subscript"/>
        </w:rPr>
        <w:t>EQ</w:t>
      </w:r>
      <w:r w:rsidR="00177076" w:rsidRPr="00177076">
        <w:rPr>
          <w:color w:val="000000"/>
        </w:rPr>
        <w:t>,</w:t>
      </w:r>
      <w:r>
        <w:rPr>
          <w:color w:val="000000"/>
        </w:rPr>
        <w:t xml:space="preserve"> is reflected by variability in the values of </w:t>
      </w:r>
      <w:r w:rsidRPr="00104147">
        <w:rPr>
          <w:i/>
          <w:iCs/>
          <w:color w:val="000000"/>
        </w:rPr>
        <w:t>S</w:t>
      </w:r>
      <w:r>
        <w:rPr>
          <w:color w:val="000000"/>
        </w:rPr>
        <w:t xml:space="preserve"> where the curves intersect the </w:t>
      </w:r>
      <w:r w:rsidRPr="00B61422">
        <w:rPr>
          <w:color w:val="000000"/>
        </w:rPr>
        <w:t>replacement line</w:t>
      </w:r>
      <w:r w:rsidR="00111ED7">
        <w:rPr>
          <w:color w:val="000000"/>
        </w:rPr>
        <w:t xml:space="preserve"> (Figure 2)</w:t>
      </w:r>
      <w:r w:rsidRPr="00B61422">
        <w:rPr>
          <w:color w:val="000000"/>
        </w:rPr>
        <w:t xml:space="preserve">. </w:t>
      </w:r>
      <w:r w:rsidR="00111ED7">
        <w:rPr>
          <w:color w:val="000000"/>
        </w:rPr>
        <w:t xml:space="preserve">There is high contrast in the spawner data </w:t>
      </w:r>
      <w:r w:rsidR="00111ED7" w:rsidRPr="000E7F47">
        <w:rPr>
          <w:color w:val="000000"/>
        </w:rPr>
        <w:t>(</w:t>
      </w:r>
      <w:r w:rsidR="00111ED7">
        <w:rPr>
          <w:color w:val="000000"/>
        </w:rPr>
        <w:t xml:space="preserve">contrast = 9; </w:t>
      </w:r>
      <w:r w:rsidR="0067412D">
        <w:rPr>
          <w:color w:val="000000"/>
        </w:rPr>
        <w:t>16,104</w:t>
      </w:r>
      <w:r w:rsidR="00111ED7">
        <w:rPr>
          <w:color w:val="000000"/>
        </w:rPr>
        <w:t xml:space="preserve"> spawners in 1990 and 1,78</w:t>
      </w:r>
      <w:r w:rsidR="0067412D">
        <w:rPr>
          <w:color w:val="000000"/>
        </w:rPr>
        <w:t>8</w:t>
      </w:r>
      <w:r w:rsidR="00111ED7">
        <w:rPr>
          <w:color w:val="000000"/>
        </w:rPr>
        <w:t xml:space="preserve"> spawners in 2008</w:t>
      </w:r>
      <w:r w:rsidR="00111ED7" w:rsidRPr="000E7F47">
        <w:rPr>
          <w:color w:val="000000"/>
        </w:rPr>
        <w:t>)</w:t>
      </w:r>
      <w:r w:rsidR="00111ED7">
        <w:rPr>
          <w:color w:val="000000"/>
        </w:rPr>
        <w:t xml:space="preserve"> and a few production-to-spawner ratios are below </w:t>
      </w:r>
      <w:r w:rsidR="00FB0C57">
        <w:rPr>
          <w:color w:val="000000"/>
        </w:rPr>
        <w:t>1.0</w:t>
      </w:r>
      <w:r w:rsidR="00111ED7">
        <w:rPr>
          <w:color w:val="000000"/>
        </w:rPr>
        <w:t xml:space="preserve"> at high levels of spawning abundance (</w:t>
      </w:r>
      <w:r w:rsidR="005D3A8D">
        <w:rPr>
          <w:color w:val="000000"/>
        </w:rPr>
        <w:t xml:space="preserve">escapements &gt; 10,000 fish; years </w:t>
      </w:r>
      <w:r w:rsidR="00111ED7">
        <w:rPr>
          <w:color w:val="000000"/>
        </w:rPr>
        <w:t>1983, 1990, 1992).</w:t>
      </w:r>
      <w:r w:rsidR="00AE3CE9">
        <w:rPr>
          <w:color w:val="000000"/>
        </w:rPr>
        <w:t xml:space="preserve"> </w:t>
      </w:r>
    </w:p>
    <w:p w14:paraId="0E2CFC43" w14:textId="02C84B48" w:rsidR="00836BA7" w:rsidRPr="005D3A8D" w:rsidRDefault="00836BA7" w:rsidP="00EF244D">
      <w:pPr>
        <w:pStyle w:val="ListParagraph"/>
        <w:numPr>
          <w:ilvl w:val="0"/>
          <w:numId w:val="1"/>
        </w:numPr>
        <w:rPr>
          <w:color w:val="000000" w:themeColor="text1"/>
        </w:rPr>
      </w:pPr>
      <w:r w:rsidRPr="005D3A8D">
        <w:rPr>
          <w:color w:val="000000" w:themeColor="text1"/>
        </w:rPr>
        <w:t xml:space="preserve">Escapements </w:t>
      </w:r>
      <w:r w:rsidR="00EF244D" w:rsidRPr="005D3A8D">
        <w:rPr>
          <w:color w:val="000000" w:themeColor="text1"/>
        </w:rPr>
        <w:t>were</w:t>
      </w:r>
      <w:r w:rsidRPr="005D3A8D">
        <w:rPr>
          <w:color w:val="000000" w:themeColor="text1"/>
        </w:rPr>
        <w:t xml:space="preserve"> within the escapement goal range in 9 of the past 10 years</w:t>
      </w:r>
      <w:r w:rsidR="00177076" w:rsidRPr="005D3A8D">
        <w:rPr>
          <w:color w:val="000000" w:themeColor="text1"/>
        </w:rPr>
        <w:t xml:space="preserve"> (</w:t>
      </w:r>
      <w:r w:rsidR="005D3A8D" w:rsidRPr="005D3A8D">
        <w:rPr>
          <w:color w:val="000000" w:themeColor="text1"/>
        </w:rPr>
        <w:t xml:space="preserve">2010–2019; </w:t>
      </w:r>
      <w:r w:rsidR="005D3A8D" w:rsidRPr="005D3A8D">
        <w:rPr>
          <w:color w:val="000000" w:themeColor="text1"/>
        </w:rPr>
        <w:softHyphen/>
      </w:r>
      <w:r w:rsidR="00177076" w:rsidRPr="005D3A8D">
        <w:rPr>
          <w:color w:val="000000" w:themeColor="text1"/>
        </w:rPr>
        <w:t>2017 was below the range)</w:t>
      </w:r>
      <w:r w:rsidRPr="005D3A8D">
        <w:rPr>
          <w:color w:val="000000" w:themeColor="text1"/>
        </w:rPr>
        <w:t>; however, escapements averaged 5,200 fish</w:t>
      </w:r>
      <w:r w:rsidR="00EF244D" w:rsidRPr="005D3A8D">
        <w:rPr>
          <w:color w:val="000000" w:themeColor="text1"/>
        </w:rPr>
        <w:t xml:space="preserve">, all </w:t>
      </w:r>
      <w:r w:rsidR="009666AD" w:rsidRPr="005D3A8D">
        <w:rPr>
          <w:color w:val="000000" w:themeColor="text1"/>
        </w:rPr>
        <w:t xml:space="preserve">within a narrow range </w:t>
      </w:r>
      <w:r w:rsidR="00EF244D" w:rsidRPr="005D3A8D">
        <w:rPr>
          <w:color w:val="000000" w:themeColor="text1"/>
        </w:rPr>
        <w:t xml:space="preserve">of </w:t>
      </w:r>
      <w:r w:rsidR="009666AD" w:rsidRPr="005D3A8D">
        <w:rPr>
          <w:color w:val="000000" w:themeColor="text1"/>
        </w:rPr>
        <w:t>3,</w:t>
      </w:r>
      <w:r w:rsidR="00177076" w:rsidRPr="005D3A8D">
        <w:rPr>
          <w:color w:val="000000" w:themeColor="text1"/>
        </w:rPr>
        <w:t>5</w:t>
      </w:r>
      <w:r w:rsidR="009666AD" w:rsidRPr="005D3A8D">
        <w:rPr>
          <w:color w:val="000000" w:themeColor="text1"/>
        </w:rPr>
        <w:t>00–6,</w:t>
      </w:r>
      <w:r w:rsidR="00177076" w:rsidRPr="005D3A8D">
        <w:rPr>
          <w:color w:val="000000" w:themeColor="text1"/>
        </w:rPr>
        <w:t>5</w:t>
      </w:r>
      <w:r w:rsidR="009666AD" w:rsidRPr="005D3A8D">
        <w:rPr>
          <w:color w:val="000000" w:themeColor="text1"/>
        </w:rPr>
        <w:t>00 fish</w:t>
      </w:r>
      <w:r w:rsidR="00EF244D" w:rsidRPr="005D3A8D">
        <w:rPr>
          <w:color w:val="000000" w:themeColor="text1"/>
        </w:rPr>
        <w:t>,</w:t>
      </w:r>
      <w:r w:rsidR="009666AD" w:rsidRPr="005D3A8D">
        <w:rPr>
          <w:color w:val="000000" w:themeColor="text1"/>
        </w:rPr>
        <w:t xml:space="preserve"> </w:t>
      </w:r>
      <w:r w:rsidRPr="005D3A8D">
        <w:rPr>
          <w:color w:val="000000" w:themeColor="text1"/>
        </w:rPr>
        <w:t xml:space="preserve">and </w:t>
      </w:r>
      <w:r w:rsidR="00994551" w:rsidRPr="005D3A8D">
        <w:rPr>
          <w:color w:val="000000" w:themeColor="text1"/>
        </w:rPr>
        <w:t xml:space="preserve">all </w:t>
      </w:r>
      <w:r w:rsidR="00787B6F" w:rsidRPr="005D3A8D">
        <w:rPr>
          <w:color w:val="000000" w:themeColor="text1"/>
        </w:rPr>
        <w:t xml:space="preserve">escapements </w:t>
      </w:r>
      <w:r w:rsidRPr="005D3A8D">
        <w:rPr>
          <w:color w:val="000000" w:themeColor="text1"/>
        </w:rPr>
        <w:t xml:space="preserve">were less than the mid-point of the escapement goal range </w:t>
      </w:r>
      <w:r w:rsidR="00177076" w:rsidRPr="005D3A8D">
        <w:rPr>
          <w:color w:val="000000" w:themeColor="text1"/>
        </w:rPr>
        <w:t xml:space="preserve">(6,500 fish) </w:t>
      </w:r>
      <w:r w:rsidRPr="005D3A8D">
        <w:rPr>
          <w:color w:val="000000" w:themeColor="text1"/>
        </w:rPr>
        <w:t xml:space="preserve">in </w:t>
      </w:r>
      <w:r w:rsidR="00994551" w:rsidRPr="005D3A8D">
        <w:rPr>
          <w:color w:val="000000" w:themeColor="text1"/>
        </w:rPr>
        <w:t>the last 10 years</w:t>
      </w:r>
      <w:r w:rsidRPr="005D3A8D">
        <w:rPr>
          <w:color w:val="000000" w:themeColor="text1"/>
        </w:rPr>
        <w:t xml:space="preserve"> </w:t>
      </w:r>
      <w:r w:rsidR="00EF244D" w:rsidRPr="005D3A8D">
        <w:rPr>
          <w:color w:val="000000" w:themeColor="text1"/>
        </w:rPr>
        <w:t>(Figure</w:t>
      </w:r>
      <w:r w:rsidR="003F235A" w:rsidRPr="005D3A8D">
        <w:rPr>
          <w:color w:val="000000" w:themeColor="text1"/>
        </w:rPr>
        <w:t xml:space="preserve"> </w:t>
      </w:r>
      <w:r w:rsidR="00111ED7" w:rsidRPr="005D3A8D">
        <w:rPr>
          <w:color w:val="000000" w:themeColor="text1"/>
        </w:rPr>
        <w:t>3</w:t>
      </w:r>
      <w:r w:rsidR="003F235A" w:rsidRPr="005D3A8D">
        <w:rPr>
          <w:color w:val="000000" w:themeColor="text1"/>
        </w:rPr>
        <w:t>a</w:t>
      </w:r>
      <w:r w:rsidR="00177076" w:rsidRPr="005D3A8D">
        <w:rPr>
          <w:color w:val="000000" w:themeColor="text1"/>
        </w:rPr>
        <w:t>;</w:t>
      </w:r>
      <w:r w:rsidR="000053CB" w:rsidRPr="005D3A8D">
        <w:rPr>
          <w:color w:val="000000" w:themeColor="text1"/>
        </w:rPr>
        <w:t xml:space="preserve"> </w:t>
      </w:r>
      <w:r w:rsidR="00177076" w:rsidRPr="005D3A8D">
        <w:rPr>
          <w:color w:val="000000" w:themeColor="text1"/>
        </w:rPr>
        <w:t>Figure 4</w:t>
      </w:r>
      <w:r w:rsidR="00EF244D" w:rsidRPr="005D3A8D">
        <w:rPr>
          <w:color w:val="000000" w:themeColor="text1"/>
        </w:rPr>
        <w:t>)</w:t>
      </w:r>
      <w:r w:rsidRPr="005D3A8D">
        <w:rPr>
          <w:color w:val="000000" w:themeColor="text1"/>
        </w:rPr>
        <w:t>.</w:t>
      </w:r>
      <w:r w:rsidR="00FB5C29" w:rsidRPr="005D3A8D">
        <w:rPr>
          <w:color w:val="000000" w:themeColor="text1"/>
        </w:rPr>
        <w:t xml:space="preserve"> As a result, the addition of 8 years of spawner–recruit data resulted in little change compared to the previous (Heinl et al. 2014) analysis.</w:t>
      </w:r>
      <w:r w:rsidR="00E723FF" w:rsidRPr="005D3A8D">
        <w:rPr>
          <w:color w:val="000000" w:themeColor="text1"/>
        </w:rPr>
        <w:t xml:space="preserve"> </w:t>
      </w:r>
      <w:r w:rsidR="00F74077" w:rsidRPr="005D3A8D">
        <w:rPr>
          <w:color w:val="000000" w:themeColor="text1"/>
        </w:rPr>
        <w:t xml:space="preserve">It could </w:t>
      </w:r>
      <w:r w:rsidR="00E723FF" w:rsidRPr="005D3A8D">
        <w:rPr>
          <w:color w:val="000000" w:themeColor="text1"/>
        </w:rPr>
        <w:t xml:space="preserve">be beneficial </w:t>
      </w:r>
      <w:r w:rsidR="00F74077" w:rsidRPr="005D3A8D">
        <w:rPr>
          <w:color w:val="000000" w:themeColor="text1"/>
        </w:rPr>
        <w:t xml:space="preserve">to future assessments </w:t>
      </w:r>
      <w:r w:rsidR="00E723FF" w:rsidRPr="005D3A8D">
        <w:rPr>
          <w:color w:val="000000" w:themeColor="text1"/>
        </w:rPr>
        <w:t>if escapements were allowed to reach or exceed the upper bound of the escapement goal range</w:t>
      </w:r>
      <w:r w:rsidR="00F74077" w:rsidRPr="005D3A8D">
        <w:rPr>
          <w:color w:val="000000" w:themeColor="text1"/>
        </w:rPr>
        <w:t xml:space="preserve"> </w:t>
      </w:r>
      <w:r w:rsidR="000A4FC7">
        <w:rPr>
          <w:color w:val="000000" w:themeColor="text1"/>
        </w:rPr>
        <w:t xml:space="preserve">(&gt; 9,000 fish) </w:t>
      </w:r>
      <w:r w:rsidR="00F74077" w:rsidRPr="005D3A8D">
        <w:rPr>
          <w:color w:val="000000" w:themeColor="text1"/>
        </w:rPr>
        <w:t>and provide additional testing of density dependence</w:t>
      </w:r>
    </w:p>
    <w:p w14:paraId="6FB0A750" w14:textId="2FBA0EFD" w:rsidR="00D94625" w:rsidRPr="005D3A8D" w:rsidRDefault="00EF244D" w:rsidP="00D94625">
      <w:pPr>
        <w:pStyle w:val="ListParagraph"/>
        <w:numPr>
          <w:ilvl w:val="0"/>
          <w:numId w:val="1"/>
        </w:numPr>
        <w:rPr>
          <w:color w:val="000000" w:themeColor="text1"/>
        </w:rPr>
      </w:pPr>
      <w:r w:rsidRPr="005D3A8D">
        <w:rPr>
          <w:color w:val="000000" w:themeColor="text1"/>
        </w:rPr>
        <w:t>Productivity</w:t>
      </w:r>
      <w:r w:rsidR="00E723FF" w:rsidRPr="005D3A8D">
        <w:rPr>
          <w:color w:val="000000" w:themeColor="text1"/>
        </w:rPr>
        <w:t>:</w:t>
      </w:r>
    </w:p>
    <w:p w14:paraId="2DFDFB25" w14:textId="3557F0F2" w:rsidR="00D94625" w:rsidRPr="005D3A8D" w:rsidRDefault="00D94625" w:rsidP="00D94625">
      <w:pPr>
        <w:pStyle w:val="ListParagraph"/>
        <w:numPr>
          <w:ilvl w:val="1"/>
          <w:numId w:val="1"/>
        </w:numPr>
        <w:rPr>
          <w:color w:val="000000" w:themeColor="text1"/>
        </w:rPr>
      </w:pPr>
      <w:r w:rsidRPr="005D3A8D">
        <w:rPr>
          <w:color w:val="000000" w:themeColor="text1"/>
        </w:rPr>
        <w:t xml:space="preserve">Ricker recruitment residuals (productivity residuals) are deviations in recruitment from that predicted by the Ricker spawner-recruit relationship. After controlling for density-dependent effects, these deviations reflect time-varying changes in productivity. </w:t>
      </w:r>
      <w:r w:rsidR="004A7BB5" w:rsidRPr="005D3A8D">
        <w:rPr>
          <w:color w:val="000000" w:themeColor="text1"/>
        </w:rPr>
        <w:t>There does not appear to be a</w:t>
      </w:r>
      <w:r w:rsidRPr="005D3A8D">
        <w:rPr>
          <w:color w:val="000000" w:themeColor="text1"/>
        </w:rPr>
        <w:t xml:space="preserve"> decrease in productivity</w:t>
      </w:r>
      <w:r w:rsidR="004A7BB5" w:rsidRPr="005D3A8D">
        <w:rPr>
          <w:color w:val="000000" w:themeColor="text1"/>
        </w:rPr>
        <w:t xml:space="preserve"> in recent years, rather productivity seems to be fluctuating</w:t>
      </w:r>
      <w:r w:rsidRPr="005D3A8D">
        <w:rPr>
          <w:color w:val="000000" w:themeColor="text1"/>
        </w:rPr>
        <w:t xml:space="preserve"> </w:t>
      </w:r>
      <w:r w:rsidR="00F74077" w:rsidRPr="005D3A8D">
        <w:rPr>
          <w:color w:val="000000" w:themeColor="text1"/>
        </w:rPr>
        <w:t xml:space="preserve">in a random manner </w:t>
      </w:r>
      <w:r w:rsidRPr="005D3A8D">
        <w:rPr>
          <w:color w:val="000000" w:themeColor="text1"/>
        </w:rPr>
        <w:t>(</w:t>
      </w:r>
      <w:r w:rsidR="002E4ECB" w:rsidRPr="005D3A8D">
        <w:rPr>
          <w:color w:val="000000" w:themeColor="text1"/>
        </w:rPr>
        <w:t xml:space="preserve">Figure 5 and </w:t>
      </w:r>
      <w:r w:rsidRPr="005D3A8D">
        <w:rPr>
          <w:color w:val="000000" w:themeColor="text1"/>
        </w:rPr>
        <w:t xml:space="preserve">Figure 6b). </w:t>
      </w:r>
    </w:p>
    <w:p w14:paraId="211D7AB5" w14:textId="359D3DF7" w:rsidR="00787B6F" w:rsidRPr="005D3A8D" w:rsidRDefault="00787B6F" w:rsidP="00D94625">
      <w:pPr>
        <w:pStyle w:val="ListParagraph"/>
        <w:numPr>
          <w:ilvl w:val="1"/>
          <w:numId w:val="1"/>
        </w:numPr>
        <w:rPr>
          <w:color w:val="000000" w:themeColor="text1"/>
        </w:rPr>
      </w:pPr>
      <w:r w:rsidRPr="005D3A8D">
        <w:rPr>
          <w:color w:val="000000" w:themeColor="text1"/>
        </w:rPr>
        <w:t>Estimated harvest rate</w:t>
      </w:r>
      <w:r w:rsidR="000053CB" w:rsidRPr="005D3A8D">
        <w:rPr>
          <w:color w:val="000000" w:themeColor="text1"/>
        </w:rPr>
        <w:t>s</w:t>
      </w:r>
      <w:r w:rsidRPr="005D3A8D">
        <w:rPr>
          <w:color w:val="000000" w:themeColor="text1"/>
        </w:rPr>
        <w:t xml:space="preserve"> since 2011 </w:t>
      </w:r>
      <w:r w:rsidR="000053CB" w:rsidRPr="005D3A8D">
        <w:rPr>
          <w:color w:val="000000" w:themeColor="text1"/>
        </w:rPr>
        <w:t>have averaged</w:t>
      </w:r>
      <w:r w:rsidRPr="005D3A8D">
        <w:rPr>
          <w:color w:val="000000" w:themeColor="text1"/>
        </w:rPr>
        <w:t xml:space="preserve"> lower than in the previous decade (Figure </w:t>
      </w:r>
      <w:r w:rsidR="00994551" w:rsidRPr="005D3A8D">
        <w:rPr>
          <w:color w:val="000000" w:themeColor="text1"/>
        </w:rPr>
        <w:t>3</w:t>
      </w:r>
      <w:r w:rsidR="003F235A" w:rsidRPr="005D3A8D">
        <w:rPr>
          <w:color w:val="000000" w:themeColor="text1"/>
        </w:rPr>
        <w:t>b</w:t>
      </w:r>
      <w:r w:rsidRPr="005D3A8D">
        <w:rPr>
          <w:color w:val="000000" w:themeColor="text1"/>
        </w:rPr>
        <w:t>), yet escapement</w:t>
      </w:r>
      <w:r w:rsidR="000053CB" w:rsidRPr="005D3A8D">
        <w:rPr>
          <w:color w:val="000000" w:themeColor="text1"/>
        </w:rPr>
        <w:t>s</w:t>
      </w:r>
      <w:r w:rsidRPr="005D3A8D">
        <w:rPr>
          <w:color w:val="000000" w:themeColor="text1"/>
        </w:rPr>
        <w:t xml:space="preserve"> </w:t>
      </w:r>
      <w:r w:rsidR="000053CB" w:rsidRPr="005D3A8D">
        <w:rPr>
          <w:color w:val="000000" w:themeColor="text1"/>
        </w:rPr>
        <w:t xml:space="preserve">have </w:t>
      </w:r>
      <w:r w:rsidRPr="005D3A8D">
        <w:rPr>
          <w:color w:val="000000" w:themeColor="text1"/>
        </w:rPr>
        <w:t>not improve</w:t>
      </w:r>
      <w:r w:rsidR="000053CB" w:rsidRPr="005D3A8D">
        <w:rPr>
          <w:color w:val="000000" w:themeColor="text1"/>
        </w:rPr>
        <w:t>d</w:t>
      </w:r>
      <w:r w:rsidRPr="005D3A8D">
        <w:rPr>
          <w:color w:val="000000" w:themeColor="text1"/>
        </w:rPr>
        <w:t xml:space="preserve"> (Figure </w:t>
      </w:r>
      <w:r w:rsidR="00111ED7" w:rsidRPr="005D3A8D">
        <w:rPr>
          <w:color w:val="000000" w:themeColor="text1"/>
        </w:rPr>
        <w:t>3</w:t>
      </w:r>
      <w:r w:rsidR="00BF03DA" w:rsidRPr="005D3A8D">
        <w:rPr>
          <w:color w:val="000000" w:themeColor="text1"/>
        </w:rPr>
        <w:t>a</w:t>
      </w:r>
      <w:r w:rsidRPr="005D3A8D">
        <w:rPr>
          <w:color w:val="000000" w:themeColor="text1"/>
        </w:rPr>
        <w:t>).</w:t>
      </w:r>
    </w:p>
    <w:p w14:paraId="0917C6BF" w14:textId="42A29F7D" w:rsidR="002B136E" w:rsidRPr="005D3A8D" w:rsidRDefault="002B136E" w:rsidP="00FD096F">
      <w:pPr>
        <w:rPr>
          <w:color w:val="000000" w:themeColor="text1"/>
        </w:rPr>
      </w:pPr>
      <w:r w:rsidRPr="005D3A8D">
        <w:rPr>
          <w:b/>
          <w:bCs/>
          <w:color w:val="000000" w:themeColor="text1"/>
        </w:rPr>
        <w:t>Escapement Goal Recommendation:</w:t>
      </w:r>
      <w:r w:rsidR="00407174" w:rsidRPr="005D3A8D">
        <w:rPr>
          <w:color w:val="000000" w:themeColor="text1"/>
        </w:rPr>
        <w:t xml:space="preserve"> The escapement goal recommendation is </w:t>
      </w:r>
      <w:r w:rsidR="00EF244D" w:rsidRPr="005D3A8D">
        <w:rPr>
          <w:color w:val="000000" w:themeColor="text1"/>
        </w:rPr>
        <w:t xml:space="preserve">to </w:t>
      </w:r>
      <w:r w:rsidR="00407174" w:rsidRPr="005D3A8D">
        <w:rPr>
          <w:color w:val="000000" w:themeColor="text1"/>
        </w:rPr>
        <w:t>maintain the current sustainable escapement goal range of 4,000–9,000 fish, counted annually at the Speel Lake weir.</w:t>
      </w:r>
    </w:p>
    <w:p w14:paraId="73CD68E1" w14:textId="7879D833" w:rsidR="00416217" w:rsidRDefault="00416217" w:rsidP="00FD096F"/>
    <w:p w14:paraId="75681B9A" w14:textId="66300BCD" w:rsidR="00416217" w:rsidRDefault="00416217" w:rsidP="00FD096F"/>
    <w:p w14:paraId="16B78273" w14:textId="77777777" w:rsidR="00151140" w:rsidRDefault="00151140">
      <w:pPr>
        <w:spacing w:after="160" w:line="259" w:lineRule="auto"/>
        <w:jc w:val="left"/>
        <w:rPr>
          <w:b/>
          <w:bCs/>
        </w:rPr>
      </w:pPr>
      <w:bookmarkStart w:id="3" w:name="_Hlk29383399"/>
      <w:r>
        <w:rPr>
          <w:b/>
          <w:bCs/>
        </w:rPr>
        <w:br w:type="page"/>
      </w:r>
    </w:p>
    <w:p w14:paraId="0C94F8C6" w14:textId="62BD402A" w:rsidR="00416217" w:rsidRPr="00F925B6" w:rsidRDefault="00416217" w:rsidP="00F925B6">
      <w:pPr>
        <w:rPr>
          <w:b/>
          <w:bCs/>
        </w:rPr>
      </w:pPr>
      <w:r>
        <w:rPr>
          <w:b/>
          <w:bCs/>
        </w:rPr>
        <w:lastRenderedPageBreak/>
        <w:t>References</w:t>
      </w:r>
      <w:r w:rsidR="00D17BAE">
        <w:rPr>
          <w:b/>
          <w:bCs/>
        </w:rPr>
        <w:t xml:space="preserve"> Cited</w:t>
      </w:r>
    </w:p>
    <w:p w14:paraId="55FF3B4B" w14:textId="11536E77" w:rsidR="00416217" w:rsidRPr="00D17BAE" w:rsidRDefault="00416217" w:rsidP="00D17BAE">
      <w:pPr>
        <w:pStyle w:val="Lit-Cited"/>
        <w:rPr>
          <w:sz w:val="22"/>
          <w:szCs w:val="22"/>
        </w:rPr>
      </w:pPr>
      <w:r w:rsidRPr="00D17BAE">
        <w:rPr>
          <w:sz w:val="22"/>
          <w:szCs w:val="22"/>
        </w:rPr>
        <w:t>Heinl, S. C., S. E. Miller, and J. A. Bednarski. 2014. Speel Lake sockeye salmon stock status and escapement goal review. Alaska Department of Fish and Game, Fishery Manuscript Series No. 14-04, Anchorage.</w:t>
      </w:r>
    </w:p>
    <w:p w14:paraId="1E70E861" w14:textId="48C19197" w:rsidR="00416217" w:rsidRPr="00D17BAE" w:rsidRDefault="00416217" w:rsidP="00D17BAE">
      <w:pPr>
        <w:pStyle w:val="Lit-Cited"/>
        <w:rPr>
          <w:sz w:val="22"/>
          <w:szCs w:val="22"/>
        </w:rPr>
      </w:pPr>
      <w:proofErr w:type="spellStart"/>
      <w:r w:rsidRPr="00D17BAE">
        <w:rPr>
          <w:sz w:val="22"/>
          <w:szCs w:val="22"/>
        </w:rPr>
        <w:t>Riffe</w:t>
      </w:r>
      <w:proofErr w:type="spellEnd"/>
      <w:r w:rsidRPr="00D17BAE">
        <w:rPr>
          <w:sz w:val="22"/>
          <w:szCs w:val="22"/>
        </w:rPr>
        <w:t>, R., and J. H. Clark. 2003. Biological escapement goal for Speel Lake sockeye salmon. Alaska Department of Fish and Game, Division of Commercial Fisheries, Regional Information Report No. 1J03-04, Juneau.</w:t>
      </w:r>
    </w:p>
    <w:p w14:paraId="39329FA6" w14:textId="44FB16D6" w:rsidR="00416217" w:rsidRPr="00D17BAE" w:rsidRDefault="00416217" w:rsidP="00D17BAE">
      <w:pPr>
        <w:pStyle w:val="Lit-Cited"/>
        <w:rPr>
          <w:sz w:val="22"/>
          <w:szCs w:val="22"/>
        </w:rPr>
      </w:pPr>
      <w:proofErr w:type="spellStart"/>
      <w:r w:rsidRPr="00D17BAE">
        <w:rPr>
          <w:sz w:val="22"/>
          <w:szCs w:val="22"/>
        </w:rPr>
        <w:t>Su</w:t>
      </w:r>
      <w:proofErr w:type="spellEnd"/>
      <w:r w:rsidRPr="00D17BAE">
        <w:rPr>
          <w:sz w:val="22"/>
          <w:szCs w:val="22"/>
        </w:rPr>
        <w:t>, Z. and R. M. Peterman. 2012. Performance of a Bayesian state-space model of semelparous species for stock-recruitment data subject to measurement error. Ecological Modelling 224, 76-89.</w:t>
      </w:r>
    </w:p>
    <w:p w14:paraId="6693CCCA" w14:textId="256EE97C" w:rsidR="00FE72A4" w:rsidRDefault="00FE72A4" w:rsidP="004E4AD0"/>
    <w:p w14:paraId="2AFFFB63" w14:textId="67B39BC0" w:rsidR="00FE72A4" w:rsidRDefault="00FE72A4" w:rsidP="004E4AD0"/>
    <w:p w14:paraId="05EED4A8" w14:textId="62DDBC9A" w:rsidR="00737F3C" w:rsidRDefault="00737F3C" w:rsidP="00206FA5">
      <w:r w:rsidRPr="00910F22">
        <w:rPr>
          <w:b/>
          <w:bCs/>
        </w:rPr>
        <w:t>Table 1.</w:t>
      </w:r>
      <w:r>
        <w:t>–</w:t>
      </w:r>
      <w:r w:rsidRPr="00994551">
        <w:rPr>
          <w:i/>
          <w:iCs/>
          <w:sz w:val="22"/>
          <w:szCs w:val="22"/>
        </w:rPr>
        <w:t xml:space="preserve">Parameter estimates from the state-space model fitted to the Speel Lake sockeye salmon data for calendar years 1983–2019. </w:t>
      </w:r>
      <w:r w:rsidR="0032634A" w:rsidRPr="00994551">
        <w:rPr>
          <w:i/>
          <w:iCs/>
          <w:sz w:val="22"/>
          <w:szCs w:val="22"/>
        </w:rPr>
        <w:t xml:space="preserve">Posterior medians are point estimates; the 2.5th and 97.5th percentiles define 95% </w:t>
      </w:r>
      <w:r w:rsidR="00396951" w:rsidRPr="00994551">
        <w:rPr>
          <w:i/>
          <w:iCs/>
          <w:sz w:val="22"/>
          <w:szCs w:val="22"/>
        </w:rPr>
        <w:t xml:space="preserve">credible </w:t>
      </w:r>
      <w:r w:rsidR="0032634A" w:rsidRPr="00994551">
        <w:rPr>
          <w:i/>
          <w:iCs/>
          <w:sz w:val="22"/>
          <w:szCs w:val="22"/>
        </w:rPr>
        <w:t>intervals for the parameters.</w:t>
      </w:r>
      <w:r w:rsidR="0032634A" w:rsidRPr="0032634A">
        <w:t xml:space="preserve"> </w:t>
      </w:r>
    </w:p>
    <w:tbl>
      <w:tblPr>
        <w:tblStyle w:val="TableGrid"/>
        <w:tblW w:w="0" w:type="auto"/>
        <w:jc w:val="center"/>
        <w:tblLook w:val="04A0" w:firstRow="1" w:lastRow="0" w:firstColumn="1" w:lastColumn="0" w:noHBand="0" w:noVBand="1"/>
      </w:tblPr>
      <w:tblGrid>
        <w:gridCol w:w="1884"/>
        <w:gridCol w:w="1882"/>
        <w:gridCol w:w="1872"/>
        <w:gridCol w:w="1881"/>
      </w:tblGrid>
      <w:tr w:rsidR="00FE72A4" w:rsidRPr="00737F3C" w14:paraId="40EFBFB2" w14:textId="77777777" w:rsidTr="0032634A">
        <w:trPr>
          <w:trHeight w:val="302"/>
          <w:jc w:val="center"/>
        </w:trPr>
        <w:tc>
          <w:tcPr>
            <w:tcW w:w="1884" w:type="dxa"/>
            <w:tcBorders>
              <w:left w:val="nil"/>
              <w:bottom w:val="single" w:sz="4" w:space="0" w:color="auto"/>
              <w:right w:val="nil"/>
            </w:tcBorders>
            <w:vAlign w:val="bottom"/>
          </w:tcPr>
          <w:p w14:paraId="3660D5D2" w14:textId="77777777" w:rsidR="00FE72A4" w:rsidRPr="00737F3C" w:rsidRDefault="00FE72A4" w:rsidP="00AF2DDC">
            <w:pPr>
              <w:keepNext/>
              <w:keepLines/>
              <w:spacing w:after="0"/>
              <w:jc w:val="left"/>
              <w:rPr>
                <w:b/>
                <w:sz w:val="22"/>
                <w:szCs w:val="22"/>
              </w:rPr>
            </w:pPr>
            <w:r w:rsidRPr="00737F3C">
              <w:rPr>
                <w:b/>
                <w:sz w:val="22"/>
                <w:szCs w:val="22"/>
              </w:rPr>
              <w:t>Parameter</w:t>
            </w:r>
          </w:p>
        </w:tc>
        <w:tc>
          <w:tcPr>
            <w:tcW w:w="1882" w:type="dxa"/>
            <w:tcBorders>
              <w:left w:val="nil"/>
              <w:bottom w:val="single" w:sz="4" w:space="0" w:color="auto"/>
              <w:right w:val="nil"/>
            </w:tcBorders>
            <w:vAlign w:val="bottom"/>
          </w:tcPr>
          <w:p w14:paraId="3BF7BA3F" w14:textId="77777777" w:rsidR="00FE72A4" w:rsidRPr="00737F3C" w:rsidRDefault="00FE72A4" w:rsidP="0032634A">
            <w:pPr>
              <w:keepNext/>
              <w:keepLines/>
              <w:spacing w:after="0"/>
              <w:jc w:val="center"/>
              <w:rPr>
                <w:b/>
                <w:sz w:val="22"/>
                <w:szCs w:val="22"/>
              </w:rPr>
            </w:pPr>
            <w:r w:rsidRPr="00737F3C">
              <w:rPr>
                <w:b/>
                <w:sz w:val="22"/>
                <w:szCs w:val="22"/>
              </w:rPr>
              <w:t>2.5</w:t>
            </w:r>
            <w:r>
              <w:rPr>
                <w:b/>
                <w:sz w:val="22"/>
                <w:szCs w:val="22"/>
              </w:rPr>
              <w:t>th</w:t>
            </w:r>
            <w:r w:rsidRPr="00737F3C">
              <w:rPr>
                <w:b/>
                <w:sz w:val="22"/>
                <w:szCs w:val="22"/>
              </w:rPr>
              <w:t xml:space="preserve"> Percentile</w:t>
            </w:r>
          </w:p>
        </w:tc>
        <w:tc>
          <w:tcPr>
            <w:tcW w:w="1872" w:type="dxa"/>
            <w:tcBorders>
              <w:left w:val="nil"/>
              <w:bottom w:val="single" w:sz="4" w:space="0" w:color="auto"/>
              <w:right w:val="nil"/>
            </w:tcBorders>
            <w:vAlign w:val="bottom"/>
          </w:tcPr>
          <w:p w14:paraId="29B0DE60" w14:textId="77777777" w:rsidR="00FE72A4" w:rsidRPr="00737F3C" w:rsidRDefault="00FE72A4" w:rsidP="0032634A">
            <w:pPr>
              <w:keepNext/>
              <w:keepLines/>
              <w:spacing w:after="0"/>
              <w:jc w:val="center"/>
              <w:rPr>
                <w:b/>
                <w:sz w:val="22"/>
                <w:szCs w:val="22"/>
              </w:rPr>
            </w:pPr>
            <w:r w:rsidRPr="00737F3C">
              <w:rPr>
                <w:b/>
                <w:sz w:val="22"/>
                <w:szCs w:val="22"/>
              </w:rPr>
              <w:t>Median</w:t>
            </w:r>
          </w:p>
        </w:tc>
        <w:tc>
          <w:tcPr>
            <w:tcW w:w="1881" w:type="dxa"/>
            <w:tcBorders>
              <w:left w:val="nil"/>
              <w:bottom w:val="single" w:sz="4" w:space="0" w:color="auto"/>
              <w:right w:val="nil"/>
            </w:tcBorders>
            <w:vAlign w:val="bottom"/>
          </w:tcPr>
          <w:p w14:paraId="014FDA67" w14:textId="77777777" w:rsidR="00FE72A4" w:rsidRPr="00737F3C" w:rsidRDefault="00FE72A4" w:rsidP="0032634A">
            <w:pPr>
              <w:keepNext/>
              <w:keepLines/>
              <w:spacing w:after="0"/>
              <w:jc w:val="center"/>
              <w:rPr>
                <w:b/>
                <w:sz w:val="22"/>
                <w:szCs w:val="22"/>
              </w:rPr>
            </w:pPr>
            <w:r w:rsidRPr="00737F3C">
              <w:rPr>
                <w:b/>
                <w:sz w:val="22"/>
                <w:szCs w:val="22"/>
              </w:rPr>
              <w:t>97.5</w:t>
            </w:r>
            <w:r>
              <w:rPr>
                <w:b/>
                <w:sz w:val="22"/>
                <w:szCs w:val="22"/>
              </w:rPr>
              <w:t>th</w:t>
            </w:r>
            <w:r w:rsidRPr="00737F3C">
              <w:rPr>
                <w:b/>
                <w:sz w:val="22"/>
                <w:szCs w:val="22"/>
              </w:rPr>
              <w:t xml:space="preserve"> percentile</w:t>
            </w:r>
          </w:p>
        </w:tc>
      </w:tr>
      <w:tr w:rsidR="00B94DA2" w:rsidRPr="00737F3C" w14:paraId="206E5DA0" w14:textId="77777777" w:rsidTr="00B74D03">
        <w:trPr>
          <w:trHeight w:val="233"/>
          <w:jc w:val="center"/>
        </w:trPr>
        <w:tc>
          <w:tcPr>
            <w:tcW w:w="1884" w:type="dxa"/>
            <w:tcBorders>
              <w:left w:val="nil"/>
              <w:bottom w:val="nil"/>
              <w:right w:val="nil"/>
            </w:tcBorders>
            <w:vAlign w:val="center"/>
          </w:tcPr>
          <w:p w14:paraId="4899E635" w14:textId="77777777" w:rsidR="00B94DA2" w:rsidRPr="00737F3C" w:rsidRDefault="00B94DA2" w:rsidP="00B94DA2">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left w:val="nil"/>
              <w:bottom w:val="nil"/>
              <w:right w:val="nil"/>
            </w:tcBorders>
          </w:tcPr>
          <w:p w14:paraId="5321513A" w14:textId="6BB0876F" w:rsidR="00B94DA2" w:rsidRPr="00B94DA2" w:rsidRDefault="00B94DA2" w:rsidP="00B94DA2">
            <w:pPr>
              <w:spacing w:after="0"/>
              <w:jc w:val="center"/>
              <w:rPr>
                <w:color w:val="000000"/>
                <w:sz w:val="22"/>
                <w:szCs w:val="22"/>
              </w:rPr>
            </w:pPr>
            <w:r w:rsidRPr="00B94DA2">
              <w:rPr>
                <w:rFonts w:eastAsiaTheme="minorHAnsi"/>
                <w:color w:val="000000"/>
                <w:sz w:val="22"/>
                <w:szCs w:val="22"/>
              </w:rPr>
              <w:t>1.95</w:t>
            </w:r>
          </w:p>
        </w:tc>
        <w:tc>
          <w:tcPr>
            <w:tcW w:w="1872" w:type="dxa"/>
            <w:tcBorders>
              <w:left w:val="nil"/>
              <w:bottom w:val="nil"/>
              <w:right w:val="nil"/>
            </w:tcBorders>
          </w:tcPr>
          <w:p w14:paraId="4035ECF8" w14:textId="727E4515" w:rsidR="00B94DA2" w:rsidRPr="00B94DA2" w:rsidRDefault="00B94DA2" w:rsidP="00B94DA2">
            <w:pPr>
              <w:spacing w:after="0"/>
              <w:jc w:val="center"/>
              <w:rPr>
                <w:color w:val="000000"/>
                <w:sz w:val="22"/>
                <w:szCs w:val="22"/>
              </w:rPr>
            </w:pPr>
            <w:r w:rsidRPr="00B94DA2">
              <w:rPr>
                <w:rFonts w:eastAsiaTheme="minorHAnsi"/>
                <w:color w:val="000000"/>
                <w:sz w:val="22"/>
                <w:szCs w:val="22"/>
              </w:rPr>
              <w:t>3.45</w:t>
            </w:r>
          </w:p>
        </w:tc>
        <w:tc>
          <w:tcPr>
            <w:tcW w:w="1881" w:type="dxa"/>
            <w:tcBorders>
              <w:left w:val="nil"/>
              <w:bottom w:val="nil"/>
              <w:right w:val="nil"/>
            </w:tcBorders>
          </w:tcPr>
          <w:p w14:paraId="6FD0CA32" w14:textId="6F949000" w:rsidR="00B94DA2" w:rsidRPr="00B94DA2" w:rsidRDefault="00B94DA2" w:rsidP="00B94DA2">
            <w:pPr>
              <w:spacing w:after="0"/>
              <w:jc w:val="center"/>
              <w:rPr>
                <w:color w:val="000000"/>
                <w:sz w:val="22"/>
                <w:szCs w:val="22"/>
              </w:rPr>
            </w:pPr>
            <w:r w:rsidRPr="00B94DA2">
              <w:rPr>
                <w:rFonts w:eastAsiaTheme="minorHAnsi"/>
                <w:color w:val="000000"/>
                <w:sz w:val="22"/>
                <w:szCs w:val="22"/>
              </w:rPr>
              <w:t>7.31</w:t>
            </w:r>
          </w:p>
        </w:tc>
      </w:tr>
      <w:tr w:rsidR="00B94DA2" w:rsidRPr="00737F3C" w14:paraId="1227DC31" w14:textId="77777777" w:rsidTr="00B74D03">
        <w:trPr>
          <w:trHeight w:val="153"/>
          <w:jc w:val="center"/>
        </w:trPr>
        <w:tc>
          <w:tcPr>
            <w:tcW w:w="1884" w:type="dxa"/>
            <w:tcBorders>
              <w:top w:val="nil"/>
              <w:left w:val="nil"/>
              <w:bottom w:val="nil"/>
              <w:right w:val="nil"/>
            </w:tcBorders>
            <w:vAlign w:val="center"/>
          </w:tcPr>
          <w:p w14:paraId="450A7EEB" w14:textId="77777777" w:rsidR="00B94DA2" w:rsidRPr="00737F3C" w:rsidRDefault="00B94DA2" w:rsidP="00B94DA2">
            <w:pPr>
              <w:spacing w:after="0"/>
              <w:jc w:val="left"/>
              <w:rPr>
                <w:color w:val="000000"/>
                <w:sz w:val="22"/>
                <w:szCs w:val="22"/>
              </w:rPr>
            </w:pPr>
            <w:r w:rsidRPr="00737F3C">
              <w:rPr>
                <w:color w:val="000000"/>
                <w:sz w:val="22"/>
                <w:szCs w:val="22"/>
              </w:rPr>
              <w:t>ln(</w:t>
            </w:r>
            <w:r w:rsidRPr="00737F3C">
              <w:rPr>
                <w:rFonts w:ascii="Symbol" w:hAnsi="Symbol" w:cs="Arial"/>
                <w:i/>
                <w:iCs/>
                <w:color w:val="000000"/>
                <w:sz w:val="22"/>
                <w:szCs w:val="22"/>
              </w:rPr>
              <w:t></w:t>
            </w:r>
            <w:r w:rsidRPr="00737F3C">
              <w:rPr>
                <w:color w:val="000000"/>
                <w:sz w:val="22"/>
                <w:szCs w:val="22"/>
              </w:rPr>
              <w:t>)</w:t>
            </w:r>
          </w:p>
        </w:tc>
        <w:tc>
          <w:tcPr>
            <w:tcW w:w="1882" w:type="dxa"/>
            <w:tcBorders>
              <w:top w:val="nil"/>
              <w:left w:val="nil"/>
              <w:bottom w:val="nil"/>
              <w:right w:val="nil"/>
            </w:tcBorders>
          </w:tcPr>
          <w:p w14:paraId="3EB3D543" w14:textId="1660F10A" w:rsidR="00B94DA2" w:rsidRPr="00B94DA2" w:rsidRDefault="00B94DA2" w:rsidP="00B94DA2">
            <w:pPr>
              <w:spacing w:after="0"/>
              <w:jc w:val="center"/>
              <w:rPr>
                <w:color w:val="000000"/>
                <w:sz w:val="22"/>
                <w:szCs w:val="22"/>
              </w:rPr>
            </w:pPr>
            <w:r w:rsidRPr="00B94DA2">
              <w:rPr>
                <w:rFonts w:eastAsiaTheme="minorHAnsi"/>
                <w:color w:val="000000"/>
                <w:sz w:val="22"/>
                <w:szCs w:val="22"/>
              </w:rPr>
              <w:t>0.67</w:t>
            </w:r>
          </w:p>
        </w:tc>
        <w:tc>
          <w:tcPr>
            <w:tcW w:w="1872" w:type="dxa"/>
            <w:tcBorders>
              <w:top w:val="nil"/>
              <w:left w:val="nil"/>
              <w:bottom w:val="nil"/>
              <w:right w:val="nil"/>
            </w:tcBorders>
          </w:tcPr>
          <w:p w14:paraId="140947A8" w14:textId="7CD02F9C" w:rsidR="00B94DA2" w:rsidRPr="00B94DA2" w:rsidRDefault="00B94DA2" w:rsidP="00B94DA2">
            <w:pPr>
              <w:spacing w:after="0"/>
              <w:jc w:val="center"/>
              <w:rPr>
                <w:color w:val="000000"/>
                <w:sz w:val="22"/>
                <w:szCs w:val="22"/>
              </w:rPr>
            </w:pPr>
            <w:r w:rsidRPr="00B94DA2">
              <w:rPr>
                <w:rFonts w:eastAsiaTheme="minorHAnsi"/>
                <w:color w:val="000000"/>
                <w:sz w:val="22"/>
                <w:szCs w:val="22"/>
              </w:rPr>
              <w:t>1.24</w:t>
            </w:r>
          </w:p>
        </w:tc>
        <w:tc>
          <w:tcPr>
            <w:tcW w:w="1881" w:type="dxa"/>
            <w:tcBorders>
              <w:top w:val="nil"/>
              <w:left w:val="nil"/>
              <w:bottom w:val="nil"/>
              <w:right w:val="nil"/>
            </w:tcBorders>
          </w:tcPr>
          <w:p w14:paraId="430EA31D" w14:textId="1F7159D9" w:rsidR="00B94DA2" w:rsidRPr="00B94DA2" w:rsidRDefault="00B94DA2" w:rsidP="00B94DA2">
            <w:pPr>
              <w:spacing w:after="0"/>
              <w:jc w:val="center"/>
              <w:rPr>
                <w:color w:val="000000"/>
                <w:sz w:val="22"/>
                <w:szCs w:val="22"/>
              </w:rPr>
            </w:pPr>
            <w:r w:rsidRPr="00B94DA2">
              <w:rPr>
                <w:rFonts w:eastAsiaTheme="minorHAnsi"/>
                <w:color w:val="000000"/>
                <w:sz w:val="22"/>
                <w:szCs w:val="22"/>
              </w:rPr>
              <w:t>1.99</w:t>
            </w:r>
          </w:p>
        </w:tc>
      </w:tr>
      <w:tr w:rsidR="00B94DA2" w:rsidRPr="00737F3C" w14:paraId="3087C7D4" w14:textId="77777777" w:rsidTr="00B74D03">
        <w:trPr>
          <w:trHeight w:val="180"/>
          <w:jc w:val="center"/>
        </w:trPr>
        <w:tc>
          <w:tcPr>
            <w:tcW w:w="1884" w:type="dxa"/>
            <w:tcBorders>
              <w:top w:val="nil"/>
              <w:left w:val="nil"/>
              <w:bottom w:val="nil"/>
              <w:right w:val="nil"/>
            </w:tcBorders>
            <w:vAlign w:val="center"/>
          </w:tcPr>
          <w:p w14:paraId="1E370E6F" w14:textId="77777777" w:rsidR="00B94DA2" w:rsidRPr="00737F3C" w:rsidRDefault="00B94DA2" w:rsidP="00B94DA2">
            <w:pPr>
              <w:spacing w:after="0"/>
              <w:jc w:val="left"/>
              <w:rPr>
                <w:color w:val="000000"/>
                <w:sz w:val="22"/>
                <w:szCs w:val="22"/>
              </w:rPr>
            </w:pPr>
            <w:r w:rsidRPr="00737F3C">
              <w:rPr>
                <w:color w:val="000000"/>
                <w:sz w:val="22"/>
                <w:szCs w:val="22"/>
              </w:rPr>
              <w:t>ln(</w:t>
            </w:r>
            <w:r w:rsidRPr="00737F3C">
              <w:rPr>
                <w:rFonts w:ascii="Symbol" w:hAnsi="Symbol" w:cs="Arial"/>
                <w:i/>
                <w:iCs/>
                <w:color w:val="000000"/>
                <w:sz w:val="22"/>
                <w:szCs w:val="22"/>
              </w:rPr>
              <w:t></w:t>
            </w:r>
            <w:r w:rsidRPr="00737F3C">
              <w:rPr>
                <w:color w:val="000000"/>
                <w:sz w:val="22"/>
                <w:szCs w:val="22"/>
              </w:rPr>
              <w:t>)</w:t>
            </w:r>
            <w:r>
              <w:rPr>
                <w:color w:val="000000"/>
                <w:sz w:val="22"/>
                <w:szCs w:val="22"/>
              </w:rPr>
              <w:t>’</w:t>
            </w:r>
          </w:p>
        </w:tc>
        <w:tc>
          <w:tcPr>
            <w:tcW w:w="1882" w:type="dxa"/>
            <w:tcBorders>
              <w:top w:val="nil"/>
              <w:left w:val="nil"/>
              <w:bottom w:val="nil"/>
              <w:right w:val="nil"/>
            </w:tcBorders>
          </w:tcPr>
          <w:p w14:paraId="41316881" w14:textId="788C6A38" w:rsidR="00B94DA2" w:rsidRPr="00B94DA2" w:rsidRDefault="00B94DA2" w:rsidP="00B94DA2">
            <w:pPr>
              <w:spacing w:after="0"/>
              <w:jc w:val="center"/>
              <w:rPr>
                <w:color w:val="000000"/>
                <w:sz w:val="22"/>
                <w:szCs w:val="22"/>
              </w:rPr>
            </w:pPr>
            <w:r w:rsidRPr="00B94DA2">
              <w:rPr>
                <w:rFonts w:eastAsiaTheme="minorHAnsi"/>
                <w:color w:val="000000"/>
                <w:sz w:val="22"/>
                <w:szCs w:val="22"/>
              </w:rPr>
              <w:t>0.80</w:t>
            </w:r>
          </w:p>
        </w:tc>
        <w:tc>
          <w:tcPr>
            <w:tcW w:w="1872" w:type="dxa"/>
            <w:tcBorders>
              <w:top w:val="nil"/>
              <w:left w:val="nil"/>
              <w:bottom w:val="nil"/>
              <w:right w:val="nil"/>
            </w:tcBorders>
          </w:tcPr>
          <w:p w14:paraId="1F82EED6" w14:textId="03DECA71" w:rsidR="00B94DA2" w:rsidRPr="00B94DA2" w:rsidRDefault="00B94DA2" w:rsidP="00B94DA2">
            <w:pPr>
              <w:spacing w:after="0"/>
              <w:jc w:val="center"/>
              <w:rPr>
                <w:color w:val="000000"/>
                <w:sz w:val="22"/>
                <w:szCs w:val="22"/>
              </w:rPr>
            </w:pPr>
            <w:r w:rsidRPr="00B94DA2">
              <w:rPr>
                <w:rFonts w:eastAsiaTheme="minorHAnsi"/>
                <w:color w:val="000000"/>
                <w:sz w:val="22"/>
                <w:szCs w:val="22"/>
              </w:rPr>
              <w:t>1.36</w:t>
            </w:r>
          </w:p>
        </w:tc>
        <w:tc>
          <w:tcPr>
            <w:tcW w:w="1881" w:type="dxa"/>
            <w:tcBorders>
              <w:top w:val="nil"/>
              <w:left w:val="nil"/>
              <w:bottom w:val="nil"/>
              <w:right w:val="nil"/>
            </w:tcBorders>
          </w:tcPr>
          <w:p w14:paraId="7D1156A3" w14:textId="17279366" w:rsidR="00B94DA2" w:rsidRPr="00B94DA2" w:rsidRDefault="00B94DA2" w:rsidP="00B94DA2">
            <w:pPr>
              <w:spacing w:after="0"/>
              <w:jc w:val="center"/>
              <w:rPr>
                <w:color w:val="000000"/>
                <w:sz w:val="22"/>
                <w:szCs w:val="22"/>
              </w:rPr>
            </w:pPr>
            <w:r w:rsidRPr="00B94DA2">
              <w:rPr>
                <w:rFonts w:eastAsiaTheme="minorHAnsi"/>
                <w:color w:val="000000"/>
                <w:sz w:val="22"/>
                <w:szCs w:val="22"/>
              </w:rPr>
              <w:t>2.23</w:t>
            </w:r>
          </w:p>
        </w:tc>
      </w:tr>
      <w:tr w:rsidR="00B94DA2" w:rsidRPr="00737F3C" w14:paraId="5320CCA6" w14:textId="77777777" w:rsidTr="00B74D03">
        <w:trPr>
          <w:trHeight w:val="180"/>
          <w:jc w:val="center"/>
        </w:trPr>
        <w:tc>
          <w:tcPr>
            <w:tcW w:w="1884" w:type="dxa"/>
            <w:tcBorders>
              <w:top w:val="nil"/>
              <w:left w:val="nil"/>
              <w:bottom w:val="nil"/>
              <w:right w:val="nil"/>
            </w:tcBorders>
            <w:vAlign w:val="center"/>
          </w:tcPr>
          <w:p w14:paraId="6409CDE8" w14:textId="77777777" w:rsidR="00B94DA2" w:rsidRPr="00737F3C" w:rsidRDefault="00B94DA2" w:rsidP="00B94DA2">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top w:val="nil"/>
              <w:left w:val="nil"/>
              <w:bottom w:val="nil"/>
              <w:right w:val="nil"/>
            </w:tcBorders>
          </w:tcPr>
          <w:p w14:paraId="672D1878" w14:textId="24238004" w:rsidR="00B94DA2" w:rsidRPr="00B94DA2" w:rsidRDefault="00B94DA2" w:rsidP="00B94DA2">
            <w:pPr>
              <w:spacing w:after="0"/>
              <w:jc w:val="center"/>
              <w:rPr>
                <w:color w:val="000000"/>
                <w:sz w:val="22"/>
                <w:szCs w:val="22"/>
              </w:rPr>
            </w:pPr>
            <w:r w:rsidRPr="00B94DA2">
              <w:rPr>
                <w:rFonts w:eastAsiaTheme="minorHAnsi"/>
                <w:color w:val="000000"/>
                <w:sz w:val="22"/>
                <w:szCs w:val="22"/>
              </w:rPr>
              <w:t>3.08</w:t>
            </w:r>
            <w:r>
              <w:rPr>
                <w:rFonts w:eastAsiaTheme="minorHAnsi"/>
                <w:color w:val="000000"/>
                <w:sz w:val="22"/>
                <w:szCs w:val="22"/>
              </w:rPr>
              <w:t xml:space="preserve"> x 10</w:t>
            </w:r>
            <w:r w:rsidRPr="00B94DA2">
              <w:rPr>
                <w:rFonts w:eastAsiaTheme="minorHAnsi"/>
                <w:color w:val="000000"/>
                <w:sz w:val="22"/>
                <w:szCs w:val="22"/>
                <w:vertAlign w:val="superscript"/>
              </w:rPr>
              <w:t>-5</w:t>
            </w:r>
          </w:p>
        </w:tc>
        <w:tc>
          <w:tcPr>
            <w:tcW w:w="1872" w:type="dxa"/>
            <w:tcBorders>
              <w:top w:val="nil"/>
              <w:left w:val="nil"/>
              <w:bottom w:val="nil"/>
              <w:right w:val="nil"/>
            </w:tcBorders>
          </w:tcPr>
          <w:p w14:paraId="48108F9B" w14:textId="0CC1B2A7" w:rsidR="00B94DA2" w:rsidRPr="00B94DA2" w:rsidRDefault="00B94DA2" w:rsidP="00B94DA2">
            <w:pPr>
              <w:spacing w:after="0"/>
              <w:jc w:val="center"/>
              <w:rPr>
                <w:color w:val="000000"/>
                <w:sz w:val="22"/>
                <w:szCs w:val="22"/>
              </w:rPr>
            </w:pPr>
            <w:r w:rsidRPr="00B94DA2">
              <w:rPr>
                <w:rFonts w:eastAsiaTheme="minorHAnsi"/>
                <w:color w:val="000000"/>
                <w:sz w:val="22"/>
                <w:szCs w:val="22"/>
              </w:rPr>
              <w:t>9.38</w:t>
            </w:r>
            <w:r>
              <w:rPr>
                <w:rFonts w:eastAsiaTheme="minorHAnsi"/>
                <w:color w:val="000000"/>
                <w:sz w:val="22"/>
                <w:szCs w:val="22"/>
              </w:rPr>
              <w:t xml:space="preserve"> x 10</w:t>
            </w:r>
            <w:r w:rsidRPr="00B94DA2">
              <w:rPr>
                <w:rFonts w:eastAsiaTheme="minorHAnsi"/>
                <w:color w:val="000000"/>
                <w:sz w:val="22"/>
                <w:szCs w:val="22"/>
                <w:vertAlign w:val="superscript"/>
              </w:rPr>
              <w:t>-5</w:t>
            </w:r>
          </w:p>
        </w:tc>
        <w:tc>
          <w:tcPr>
            <w:tcW w:w="1881" w:type="dxa"/>
            <w:tcBorders>
              <w:top w:val="nil"/>
              <w:left w:val="nil"/>
              <w:bottom w:val="nil"/>
              <w:right w:val="nil"/>
            </w:tcBorders>
          </w:tcPr>
          <w:p w14:paraId="3E62093F" w14:textId="1DF09603" w:rsidR="00B94DA2" w:rsidRPr="00B94DA2" w:rsidRDefault="00B94DA2" w:rsidP="00B94DA2">
            <w:pPr>
              <w:spacing w:after="0"/>
              <w:jc w:val="center"/>
              <w:rPr>
                <w:color w:val="000000"/>
                <w:sz w:val="22"/>
                <w:szCs w:val="22"/>
              </w:rPr>
            </w:pPr>
            <w:r w:rsidRPr="00B94DA2">
              <w:rPr>
                <w:rFonts w:eastAsiaTheme="minorHAnsi"/>
                <w:color w:val="000000"/>
                <w:sz w:val="22"/>
                <w:szCs w:val="22"/>
              </w:rPr>
              <w:t>1.83</w:t>
            </w:r>
            <w:r>
              <w:rPr>
                <w:rFonts w:eastAsiaTheme="minorHAnsi"/>
                <w:color w:val="000000"/>
                <w:sz w:val="22"/>
                <w:szCs w:val="22"/>
              </w:rPr>
              <w:t xml:space="preserve"> x 10</w:t>
            </w:r>
            <w:r w:rsidRPr="00B94DA2">
              <w:rPr>
                <w:rFonts w:eastAsiaTheme="minorHAnsi"/>
                <w:color w:val="000000"/>
                <w:sz w:val="22"/>
                <w:szCs w:val="22"/>
                <w:vertAlign w:val="superscript"/>
              </w:rPr>
              <w:t>-</w:t>
            </w:r>
            <w:r>
              <w:rPr>
                <w:rFonts w:eastAsiaTheme="minorHAnsi"/>
                <w:color w:val="000000"/>
                <w:sz w:val="22"/>
                <w:szCs w:val="22"/>
                <w:vertAlign w:val="superscript"/>
              </w:rPr>
              <w:t>4</w:t>
            </w:r>
          </w:p>
        </w:tc>
      </w:tr>
      <w:tr w:rsidR="00B94DA2" w:rsidRPr="00737F3C" w14:paraId="201875AA" w14:textId="77777777" w:rsidTr="00B74D03">
        <w:trPr>
          <w:trHeight w:val="180"/>
          <w:jc w:val="center"/>
        </w:trPr>
        <w:tc>
          <w:tcPr>
            <w:tcW w:w="1884" w:type="dxa"/>
            <w:tcBorders>
              <w:top w:val="nil"/>
              <w:left w:val="nil"/>
              <w:bottom w:val="nil"/>
              <w:right w:val="nil"/>
            </w:tcBorders>
            <w:vAlign w:val="center"/>
          </w:tcPr>
          <w:p w14:paraId="2C57D505" w14:textId="77777777" w:rsidR="00B94DA2" w:rsidRPr="00737F3C" w:rsidRDefault="00B94DA2" w:rsidP="00B94DA2">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top w:val="nil"/>
              <w:left w:val="nil"/>
              <w:bottom w:val="nil"/>
              <w:right w:val="nil"/>
            </w:tcBorders>
          </w:tcPr>
          <w:p w14:paraId="4093FD0E" w14:textId="61B20319" w:rsidR="00B94DA2" w:rsidRPr="00B94DA2" w:rsidRDefault="00B94DA2" w:rsidP="00B94DA2">
            <w:pPr>
              <w:spacing w:after="0"/>
              <w:jc w:val="center"/>
              <w:rPr>
                <w:color w:val="000000"/>
                <w:sz w:val="22"/>
                <w:szCs w:val="22"/>
              </w:rPr>
            </w:pPr>
            <w:r w:rsidRPr="00B94DA2">
              <w:rPr>
                <w:rFonts w:eastAsiaTheme="minorHAnsi"/>
                <w:color w:val="000000"/>
                <w:sz w:val="22"/>
                <w:szCs w:val="22"/>
              </w:rPr>
              <w:t>-0.21</w:t>
            </w:r>
          </w:p>
        </w:tc>
        <w:tc>
          <w:tcPr>
            <w:tcW w:w="1872" w:type="dxa"/>
            <w:tcBorders>
              <w:top w:val="nil"/>
              <w:left w:val="nil"/>
              <w:bottom w:val="nil"/>
              <w:right w:val="nil"/>
            </w:tcBorders>
          </w:tcPr>
          <w:p w14:paraId="085FCC92" w14:textId="48381A93" w:rsidR="00B94DA2" w:rsidRPr="00B94DA2" w:rsidRDefault="00B94DA2" w:rsidP="00B94DA2">
            <w:pPr>
              <w:spacing w:after="0"/>
              <w:jc w:val="center"/>
              <w:rPr>
                <w:color w:val="000000"/>
                <w:sz w:val="22"/>
                <w:szCs w:val="22"/>
              </w:rPr>
            </w:pPr>
            <w:r w:rsidRPr="00B94DA2">
              <w:rPr>
                <w:rFonts w:eastAsiaTheme="minorHAnsi"/>
                <w:color w:val="000000"/>
                <w:sz w:val="22"/>
                <w:szCs w:val="22"/>
              </w:rPr>
              <w:t>0.28</w:t>
            </w:r>
          </w:p>
        </w:tc>
        <w:tc>
          <w:tcPr>
            <w:tcW w:w="1881" w:type="dxa"/>
            <w:tcBorders>
              <w:top w:val="nil"/>
              <w:left w:val="nil"/>
              <w:bottom w:val="nil"/>
              <w:right w:val="nil"/>
            </w:tcBorders>
          </w:tcPr>
          <w:p w14:paraId="5E379F48" w14:textId="28D689AA" w:rsidR="00B94DA2" w:rsidRPr="00B94DA2" w:rsidRDefault="00B94DA2" w:rsidP="00B94DA2">
            <w:pPr>
              <w:spacing w:after="0"/>
              <w:jc w:val="center"/>
              <w:rPr>
                <w:color w:val="000000"/>
                <w:sz w:val="22"/>
                <w:szCs w:val="22"/>
              </w:rPr>
            </w:pPr>
            <w:r w:rsidRPr="00B94DA2">
              <w:rPr>
                <w:rFonts w:eastAsiaTheme="minorHAnsi"/>
                <w:color w:val="000000"/>
                <w:sz w:val="22"/>
                <w:szCs w:val="22"/>
              </w:rPr>
              <w:t>0.74</w:t>
            </w:r>
          </w:p>
        </w:tc>
      </w:tr>
      <w:tr w:rsidR="00B94DA2" w:rsidRPr="00737F3C" w14:paraId="227091E3" w14:textId="77777777" w:rsidTr="00B74D03">
        <w:trPr>
          <w:trHeight w:val="153"/>
          <w:jc w:val="center"/>
        </w:trPr>
        <w:tc>
          <w:tcPr>
            <w:tcW w:w="1884" w:type="dxa"/>
            <w:tcBorders>
              <w:top w:val="nil"/>
              <w:left w:val="nil"/>
              <w:bottom w:val="nil"/>
              <w:right w:val="nil"/>
            </w:tcBorders>
            <w:vAlign w:val="center"/>
          </w:tcPr>
          <w:p w14:paraId="6566BF8A" w14:textId="77777777" w:rsidR="00B94DA2" w:rsidRPr="0032634A" w:rsidRDefault="00B94DA2" w:rsidP="00B94DA2">
            <w:pPr>
              <w:spacing w:after="0"/>
              <w:jc w:val="left"/>
              <w:rPr>
                <w:color w:val="000000"/>
                <w:sz w:val="22"/>
                <w:szCs w:val="22"/>
              </w:rPr>
            </w:pPr>
            <w:r w:rsidRPr="00737F3C">
              <w:rPr>
                <w:rFonts w:ascii="Symbol" w:hAnsi="Symbol" w:cs="Arial"/>
                <w:i/>
                <w:iCs/>
                <w:color w:val="000000"/>
                <w:sz w:val="22"/>
                <w:szCs w:val="22"/>
              </w:rPr>
              <w:t></w:t>
            </w:r>
            <w:r w:rsidRPr="0032634A">
              <w:rPr>
                <w:color w:val="000000"/>
                <w:sz w:val="22"/>
                <w:szCs w:val="22"/>
                <w:vertAlign w:val="subscript"/>
              </w:rPr>
              <w:t>R</w:t>
            </w:r>
          </w:p>
        </w:tc>
        <w:tc>
          <w:tcPr>
            <w:tcW w:w="1882" w:type="dxa"/>
            <w:tcBorders>
              <w:top w:val="nil"/>
              <w:left w:val="nil"/>
              <w:bottom w:val="nil"/>
              <w:right w:val="nil"/>
            </w:tcBorders>
          </w:tcPr>
          <w:p w14:paraId="31CF0798" w14:textId="4F49A1AC" w:rsidR="00B94DA2" w:rsidRPr="00B94DA2" w:rsidRDefault="00B94DA2" w:rsidP="00B94DA2">
            <w:pPr>
              <w:spacing w:after="0"/>
              <w:jc w:val="center"/>
              <w:rPr>
                <w:color w:val="000000"/>
                <w:sz w:val="22"/>
                <w:szCs w:val="22"/>
              </w:rPr>
            </w:pPr>
            <w:r w:rsidRPr="00B94DA2">
              <w:rPr>
                <w:rFonts w:eastAsiaTheme="minorHAnsi"/>
                <w:color w:val="000000"/>
                <w:sz w:val="22"/>
                <w:szCs w:val="22"/>
              </w:rPr>
              <w:t>0.35</w:t>
            </w:r>
          </w:p>
        </w:tc>
        <w:tc>
          <w:tcPr>
            <w:tcW w:w="1872" w:type="dxa"/>
            <w:tcBorders>
              <w:top w:val="nil"/>
              <w:left w:val="nil"/>
              <w:bottom w:val="nil"/>
              <w:right w:val="nil"/>
            </w:tcBorders>
          </w:tcPr>
          <w:p w14:paraId="6E6332B9" w14:textId="70D57C14" w:rsidR="00B94DA2" w:rsidRPr="00B94DA2" w:rsidRDefault="00B94DA2" w:rsidP="00B94DA2">
            <w:pPr>
              <w:spacing w:after="0"/>
              <w:jc w:val="center"/>
              <w:rPr>
                <w:color w:val="000000"/>
                <w:sz w:val="22"/>
                <w:szCs w:val="22"/>
              </w:rPr>
            </w:pPr>
            <w:r w:rsidRPr="00B94DA2">
              <w:rPr>
                <w:rFonts w:eastAsiaTheme="minorHAnsi"/>
                <w:color w:val="000000"/>
                <w:sz w:val="22"/>
                <w:szCs w:val="22"/>
              </w:rPr>
              <w:t>0.46</w:t>
            </w:r>
          </w:p>
        </w:tc>
        <w:tc>
          <w:tcPr>
            <w:tcW w:w="1881" w:type="dxa"/>
            <w:tcBorders>
              <w:top w:val="nil"/>
              <w:left w:val="nil"/>
              <w:bottom w:val="nil"/>
              <w:right w:val="nil"/>
            </w:tcBorders>
          </w:tcPr>
          <w:p w14:paraId="6E9DE19C" w14:textId="06775D6A" w:rsidR="00B94DA2" w:rsidRPr="00B94DA2" w:rsidRDefault="00B94DA2" w:rsidP="00B94DA2">
            <w:pPr>
              <w:spacing w:after="0"/>
              <w:jc w:val="center"/>
              <w:rPr>
                <w:color w:val="000000"/>
                <w:sz w:val="22"/>
                <w:szCs w:val="22"/>
              </w:rPr>
            </w:pPr>
            <w:r w:rsidRPr="00B94DA2">
              <w:rPr>
                <w:rFonts w:eastAsiaTheme="minorHAnsi"/>
                <w:color w:val="000000"/>
                <w:sz w:val="22"/>
                <w:szCs w:val="22"/>
              </w:rPr>
              <w:t>0.63</w:t>
            </w:r>
          </w:p>
        </w:tc>
      </w:tr>
      <w:tr w:rsidR="00B94DA2" w:rsidRPr="00737F3C" w14:paraId="7B274363" w14:textId="77777777" w:rsidTr="00B74D03">
        <w:trPr>
          <w:trHeight w:val="270"/>
          <w:jc w:val="center"/>
        </w:trPr>
        <w:tc>
          <w:tcPr>
            <w:tcW w:w="1884" w:type="dxa"/>
            <w:tcBorders>
              <w:top w:val="nil"/>
              <w:left w:val="nil"/>
              <w:bottom w:val="nil"/>
              <w:right w:val="nil"/>
            </w:tcBorders>
            <w:vAlign w:val="center"/>
          </w:tcPr>
          <w:p w14:paraId="5399798C" w14:textId="77777777" w:rsidR="00B94DA2" w:rsidRPr="00737F3C" w:rsidRDefault="00B94DA2" w:rsidP="00B94DA2">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EQ</w:t>
            </w:r>
          </w:p>
        </w:tc>
        <w:tc>
          <w:tcPr>
            <w:tcW w:w="1882" w:type="dxa"/>
            <w:tcBorders>
              <w:top w:val="nil"/>
              <w:left w:val="nil"/>
              <w:bottom w:val="nil"/>
              <w:right w:val="nil"/>
            </w:tcBorders>
          </w:tcPr>
          <w:p w14:paraId="41D8BFA9" w14:textId="4B164412" w:rsidR="00B94DA2" w:rsidRPr="00B94DA2" w:rsidRDefault="00B94DA2" w:rsidP="00B94DA2">
            <w:pPr>
              <w:spacing w:after="0"/>
              <w:jc w:val="center"/>
              <w:rPr>
                <w:color w:val="000000"/>
                <w:sz w:val="22"/>
                <w:szCs w:val="22"/>
              </w:rPr>
            </w:pPr>
            <w:r w:rsidRPr="00B94DA2">
              <w:rPr>
                <w:rFonts w:eastAsiaTheme="minorHAnsi"/>
                <w:color w:val="000000"/>
                <w:sz w:val="22"/>
                <w:szCs w:val="22"/>
              </w:rPr>
              <w:t>10,504</w:t>
            </w:r>
          </w:p>
        </w:tc>
        <w:tc>
          <w:tcPr>
            <w:tcW w:w="1872" w:type="dxa"/>
            <w:tcBorders>
              <w:top w:val="nil"/>
              <w:left w:val="nil"/>
              <w:bottom w:val="nil"/>
              <w:right w:val="nil"/>
            </w:tcBorders>
          </w:tcPr>
          <w:p w14:paraId="333D7B08" w14:textId="5DD70AD1"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14,782</w:t>
            </w:r>
          </w:p>
        </w:tc>
        <w:tc>
          <w:tcPr>
            <w:tcW w:w="1881" w:type="dxa"/>
            <w:tcBorders>
              <w:top w:val="nil"/>
              <w:left w:val="nil"/>
              <w:bottom w:val="nil"/>
              <w:right w:val="nil"/>
            </w:tcBorders>
          </w:tcPr>
          <w:p w14:paraId="58A5A411" w14:textId="6FF8BC8D"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29,740</w:t>
            </w:r>
          </w:p>
        </w:tc>
      </w:tr>
      <w:tr w:rsidR="00B94DA2" w:rsidRPr="00737F3C" w14:paraId="586A576E" w14:textId="77777777" w:rsidTr="00B74D03">
        <w:trPr>
          <w:trHeight w:val="126"/>
          <w:jc w:val="center"/>
        </w:trPr>
        <w:tc>
          <w:tcPr>
            <w:tcW w:w="1884" w:type="dxa"/>
            <w:tcBorders>
              <w:top w:val="nil"/>
              <w:left w:val="nil"/>
              <w:bottom w:val="nil"/>
              <w:right w:val="nil"/>
            </w:tcBorders>
            <w:vAlign w:val="center"/>
          </w:tcPr>
          <w:p w14:paraId="2C511E42" w14:textId="77777777" w:rsidR="00B94DA2" w:rsidRPr="00737F3C" w:rsidRDefault="00B94DA2" w:rsidP="00B94DA2">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MAX</w:t>
            </w:r>
            <w:r>
              <w:rPr>
                <w:color w:val="000000"/>
                <w:sz w:val="22"/>
                <w:szCs w:val="22"/>
                <w:vertAlign w:val="subscript"/>
              </w:rPr>
              <w:t xml:space="preserve"> </w:t>
            </w:r>
          </w:p>
        </w:tc>
        <w:tc>
          <w:tcPr>
            <w:tcW w:w="1882" w:type="dxa"/>
            <w:tcBorders>
              <w:top w:val="nil"/>
              <w:left w:val="nil"/>
              <w:bottom w:val="nil"/>
              <w:right w:val="nil"/>
            </w:tcBorders>
          </w:tcPr>
          <w:p w14:paraId="3F029607" w14:textId="5810A550" w:rsidR="00B94DA2" w:rsidRPr="00B94DA2" w:rsidRDefault="00B94DA2" w:rsidP="00B94DA2">
            <w:pPr>
              <w:spacing w:after="0"/>
              <w:jc w:val="center"/>
              <w:rPr>
                <w:color w:val="000000"/>
                <w:sz w:val="22"/>
                <w:szCs w:val="22"/>
              </w:rPr>
            </w:pPr>
            <w:r w:rsidRPr="00B94DA2">
              <w:rPr>
                <w:rFonts w:eastAsiaTheme="minorHAnsi"/>
                <w:color w:val="000000"/>
                <w:sz w:val="22"/>
                <w:szCs w:val="22"/>
              </w:rPr>
              <w:t>5,452</w:t>
            </w:r>
          </w:p>
        </w:tc>
        <w:tc>
          <w:tcPr>
            <w:tcW w:w="1872" w:type="dxa"/>
            <w:tcBorders>
              <w:top w:val="nil"/>
              <w:left w:val="nil"/>
              <w:bottom w:val="nil"/>
              <w:right w:val="nil"/>
            </w:tcBorders>
          </w:tcPr>
          <w:p w14:paraId="61427264" w14:textId="2DE14ED3"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10,666</w:t>
            </w:r>
          </w:p>
        </w:tc>
        <w:tc>
          <w:tcPr>
            <w:tcW w:w="1881" w:type="dxa"/>
            <w:tcBorders>
              <w:top w:val="nil"/>
              <w:left w:val="nil"/>
              <w:bottom w:val="nil"/>
              <w:right w:val="nil"/>
            </w:tcBorders>
          </w:tcPr>
          <w:p w14:paraId="4D2B5D17" w14:textId="1E0D1D91"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32,515</w:t>
            </w:r>
          </w:p>
        </w:tc>
      </w:tr>
      <w:tr w:rsidR="00B94DA2" w:rsidRPr="00737F3C" w14:paraId="72D8E1DC" w14:textId="77777777" w:rsidTr="00B74D03">
        <w:trPr>
          <w:trHeight w:val="261"/>
          <w:jc w:val="center"/>
        </w:trPr>
        <w:tc>
          <w:tcPr>
            <w:tcW w:w="1884" w:type="dxa"/>
            <w:tcBorders>
              <w:top w:val="nil"/>
              <w:left w:val="nil"/>
              <w:bottom w:val="nil"/>
              <w:right w:val="nil"/>
            </w:tcBorders>
            <w:vAlign w:val="center"/>
          </w:tcPr>
          <w:p w14:paraId="02A902B6" w14:textId="0001B093" w:rsidR="00B94DA2" w:rsidRPr="00737F3C" w:rsidRDefault="00B94DA2" w:rsidP="00B94DA2">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MSY</w:t>
            </w:r>
            <w:r>
              <w:rPr>
                <w:color w:val="000000"/>
                <w:sz w:val="22"/>
                <w:szCs w:val="22"/>
                <w:vertAlign w:val="subscript"/>
              </w:rPr>
              <w:t xml:space="preserve"> </w:t>
            </w:r>
          </w:p>
        </w:tc>
        <w:tc>
          <w:tcPr>
            <w:tcW w:w="1882" w:type="dxa"/>
            <w:tcBorders>
              <w:top w:val="nil"/>
              <w:left w:val="nil"/>
              <w:bottom w:val="nil"/>
              <w:right w:val="nil"/>
            </w:tcBorders>
          </w:tcPr>
          <w:p w14:paraId="28D9BB3D" w14:textId="7E387258" w:rsidR="00B94DA2" w:rsidRPr="00B94DA2" w:rsidRDefault="00B94DA2" w:rsidP="00B94DA2">
            <w:pPr>
              <w:spacing w:after="0"/>
              <w:jc w:val="center"/>
              <w:rPr>
                <w:color w:val="000000"/>
                <w:sz w:val="22"/>
                <w:szCs w:val="22"/>
              </w:rPr>
            </w:pPr>
            <w:r w:rsidRPr="00B94DA2">
              <w:rPr>
                <w:rFonts w:eastAsiaTheme="minorHAnsi"/>
                <w:color w:val="000000"/>
                <w:sz w:val="22"/>
                <w:szCs w:val="22"/>
              </w:rPr>
              <w:t>3,916</w:t>
            </w:r>
          </w:p>
        </w:tc>
        <w:tc>
          <w:tcPr>
            <w:tcW w:w="1872" w:type="dxa"/>
            <w:tcBorders>
              <w:top w:val="nil"/>
              <w:left w:val="nil"/>
              <w:bottom w:val="nil"/>
              <w:right w:val="nil"/>
            </w:tcBorders>
          </w:tcPr>
          <w:p w14:paraId="43F0D2B4" w14:textId="2910344E"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5,946</w:t>
            </w:r>
          </w:p>
        </w:tc>
        <w:tc>
          <w:tcPr>
            <w:tcW w:w="1881" w:type="dxa"/>
            <w:tcBorders>
              <w:top w:val="nil"/>
              <w:left w:val="nil"/>
              <w:bottom w:val="nil"/>
              <w:right w:val="nil"/>
            </w:tcBorders>
          </w:tcPr>
          <w:p w14:paraId="08D00F12" w14:textId="152C81D4"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12,824</w:t>
            </w:r>
          </w:p>
        </w:tc>
      </w:tr>
      <w:tr w:rsidR="00B94DA2" w:rsidRPr="00737F3C" w14:paraId="46B1F1E4" w14:textId="77777777" w:rsidTr="00B74D03">
        <w:trPr>
          <w:trHeight w:val="63"/>
          <w:jc w:val="center"/>
        </w:trPr>
        <w:tc>
          <w:tcPr>
            <w:tcW w:w="1884" w:type="dxa"/>
            <w:tcBorders>
              <w:top w:val="nil"/>
              <w:left w:val="nil"/>
              <w:bottom w:val="nil"/>
              <w:right w:val="nil"/>
            </w:tcBorders>
            <w:vAlign w:val="center"/>
          </w:tcPr>
          <w:p w14:paraId="055DAF6F" w14:textId="5BDFB67E" w:rsidR="00B94DA2" w:rsidRPr="00737F3C" w:rsidRDefault="00B94DA2" w:rsidP="00B94DA2">
            <w:pPr>
              <w:spacing w:after="0"/>
              <w:jc w:val="left"/>
              <w:rPr>
                <w:color w:val="000000"/>
                <w:sz w:val="22"/>
                <w:szCs w:val="22"/>
              </w:rPr>
            </w:pPr>
            <w:r w:rsidRPr="00737F3C">
              <w:rPr>
                <w:i/>
                <w:color w:val="000000"/>
                <w:sz w:val="22"/>
                <w:szCs w:val="22"/>
              </w:rPr>
              <w:t>U</w:t>
            </w:r>
            <w:r w:rsidRPr="00737F3C">
              <w:rPr>
                <w:color w:val="000000"/>
                <w:sz w:val="22"/>
                <w:szCs w:val="22"/>
                <w:vertAlign w:val="subscript"/>
              </w:rPr>
              <w:t>MSY</w:t>
            </w:r>
            <w:r>
              <w:rPr>
                <w:color w:val="000000"/>
                <w:sz w:val="22"/>
                <w:szCs w:val="22"/>
                <w:vertAlign w:val="subscript"/>
              </w:rPr>
              <w:t xml:space="preserve"> </w:t>
            </w:r>
          </w:p>
        </w:tc>
        <w:tc>
          <w:tcPr>
            <w:tcW w:w="1882" w:type="dxa"/>
            <w:tcBorders>
              <w:top w:val="nil"/>
              <w:left w:val="nil"/>
              <w:bottom w:val="nil"/>
              <w:right w:val="nil"/>
            </w:tcBorders>
          </w:tcPr>
          <w:p w14:paraId="761FE833" w14:textId="4EC40EC1" w:rsidR="00B94DA2" w:rsidRPr="00B94DA2" w:rsidRDefault="00B94DA2" w:rsidP="00B94DA2">
            <w:pPr>
              <w:spacing w:after="0"/>
              <w:jc w:val="center"/>
              <w:rPr>
                <w:color w:val="000000"/>
                <w:sz w:val="22"/>
                <w:szCs w:val="22"/>
              </w:rPr>
            </w:pPr>
            <w:r w:rsidRPr="00B94DA2">
              <w:rPr>
                <w:rFonts w:eastAsiaTheme="minorHAnsi"/>
                <w:color w:val="000000"/>
                <w:sz w:val="22"/>
                <w:szCs w:val="22"/>
              </w:rPr>
              <w:t>0.36</w:t>
            </w:r>
          </w:p>
        </w:tc>
        <w:tc>
          <w:tcPr>
            <w:tcW w:w="1872" w:type="dxa"/>
            <w:tcBorders>
              <w:top w:val="nil"/>
              <w:left w:val="nil"/>
              <w:bottom w:val="nil"/>
              <w:right w:val="nil"/>
            </w:tcBorders>
          </w:tcPr>
          <w:p w14:paraId="411BD32E" w14:textId="36621FFC"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0.55</w:t>
            </w:r>
          </w:p>
        </w:tc>
        <w:tc>
          <w:tcPr>
            <w:tcW w:w="1881" w:type="dxa"/>
            <w:tcBorders>
              <w:top w:val="nil"/>
              <w:left w:val="nil"/>
              <w:bottom w:val="nil"/>
              <w:right w:val="nil"/>
            </w:tcBorders>
          </w:tcPr>
          <w:p w14:paraId="63815FDB" w14:textId="42642289"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0.77</w:t>
            </w:r>
          </w:p>
        </w:tc>
      </w:tr>
      <w:tr w:rsidR="00B94DA2" w:rsidRPr="00737F3C" w14:paraId="1DF1A460" w14:textId="77777777" w:rsidTr="00B74D03">
        <w:trPr>
          <w:trHeight w:val="63"/>
          <w:jc w:val="center"/>
        </w:trPr>
        <w:tc>
          <w:tcPr>
            <w:tcW w:w="1884" w:type="dxa"/>
            <w:tcBorders>
              <w:top w:val="nil"/>
              <w:left w:val="nil"/>
              <w:bottom w:val="nil"/>
              <w:right w:val="nil"/>
            </w:tcBorders>
            <w:vAlign w:val="center"/>
          </w:tcPr>
          <w:p w14:paraId="33999005" w14:textId="77777777" w:rsidR="00B94DA2" w:rsidRPr="0032634A" w:rsidRDefault="00B94DA2" w:rsidP="00B94DA2">
            <w:pPr>
              <w:spacing w:after="0"/>
              <w:jc w:val="left"/>
              <w:rPr>
                <w:iCs/>
                <w:color w:val="000000"/>
                <w:sz w:val="22"/>
                <w:szCs w:val="22"/>
              </w:rPr>
            </w:pPr>
            <w:proofErr w:type="spellStart"/>
            <w:r>
              <w:rPr>
                <w:iCs/>
                <w:color w:val="000000"/>
                <w:sz w:val="22"/>
                <w:szCs w:val="22"/>
              </w:rPr>
              <w:t>D.sum</w:t>
            </w:r>
            <w:proofErr w:type="spellEnd"/>
          </w:p>
        </w:tc>
        <w:tc>
          <w:tcPr>
            <w:tcW w:w="1882" w:type="dxa"/>
            <w:tcBorders>
              <w:top w:val="nil"/>
              <w:left w:val="nil"/>
              <w:bottom w:val="nil"/>
              <w:right w:val="nil"/>
            </w:tcBorders>
          </w:tcPr>
          <w:p w14:paraId="2536E1A4" w14:textId="58518B19" w:rsidR="00B94DA2" w:rsidRPr="00B94DA2" w:rsidRDefault="00B94DA2" w:rsidP="00B94DA2">
            <w:pPr>
              <w:spacing w:after="0"/>
              <w:jc w:val="center"/>
              <w:rPr>
                <w:color w:val="000000"/>
                <w:sz w:val="22"/>
                <w:szCs w:val="22"/>
              </w:rPr>
            </w:pPr>
            <w:r w:rsidRPr="00B94DA2">
              <w:rPr>
                <w:rFonts w:eastAsiaTheme="minorHAnsi"/>
                <w:color w:val="000000"/>
                <w:sz w:val="22"/>
                <w:szCs w:val="22"/>
              </w:rPr>
              <w:t>10</w:t>
            </w:r>
          </w:p>
        </w:tc>
        <w:tc>
          <w:tcPr>
            <w:tcW w:w="1872" w:type="dxa"/>
            <w:tcBorders>
              <w:top w:val="nil"/>
              <w:left w:val="nil"/>
              <w:bottom w:val="nil"/>
              <w:right w:val="nil"/>
            </w:tcBorders>
          </w:tcPr>
          <w:p w14:paraId="457B118A" w14:textId="2A5DA886"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17</w:t>
            </w:r>
          </w:p>
        </w:tc>
        <w:tc>
          <w:tcPr>
            <w:tcW w:w="1881" w:type="dxa"/>
            <w:tcBorders>
              <w:top w:val="nil"/>
              <w:left w:val="nil"/>
              <w:bottom w:val="nil"/>
              <w:right w:val="nil"/>
            </w:tcBorders>
          </w:tcPr>
          <w:p w14:paraId="1D5CC77B" w14:textId="19162856"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28</w:t>
            </w:r>
          </w:p>
        </w:tc>
      </w:tr>
      <w:tr w:rsidR="00B94DA2" w:rsidRPr="00737F3C" w14:paraId="313D6516" w14:textId="77777777" w:rsidTr="00B74D03">
        <w:trPr>
          <w:trHeight w:val="63"/>
          <w:jc w:val="center"/>
        </w:trPr>
        <w:tc>
          <w:tcPr>
            <w:tcW w:w="1884" w:type="dxa"/>
            <w:tcBorders>
              <w:top w:val="nil"/>
              <w:left w:val="nil"/>
              <w:bottom w:val="nil"/>
              <w:right w:val="nil"/>
            </w:tcBorders>
            <w:vAlign w:val="center"/>
          </w:tcPr>
          <w:p w14:paraId="5A3BAE8C" w14:textId="77777777" w:rsidR="00B94DA2" w:rsidRPr="0032634A" w:rsidRDefault="00B94DA2" w:rsidP="00B94DA2">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4</w:t>
            </w:r>
          </w:p>
        </w:tc>
        <w:tc>
          <w:tcPr>
            <w:tcW w:w="1882" w:type="dxa"/>
            <w:tcBorders>
              <w:top w:val="nil"/>
              <w:left w:val="nil"/>
              <w:bottom w:val="nil"/>
              <w:right w:val="nil"/>
            </w:tcBorders>
          </w:tcPr>
          <w:p w14:paraId="3EA40920" w14:textId="28FDE3FA" w:rsidR="00B94DA2" w:rsidRPr="00B94DA2" w:rsidRDefault="00B94DA2" w:rsidP="00B94DA2">
            <w:pPr>
              <w:spacing w:after="0"/>
              <w:jc w:val="center"/>
              <w:rPr>
                <w:color w:val="000000"/>
                <w:sz w:val="22"/>
                <w:szCs w:val="22"/>
              </w:rPr>
            </w:pPr>
            <w:r w:rsidRPr="00B94DA2">
              <w:rPr>
                <w:rFonts w:eastAsiaTheme="minorHAnsi"/>
                <w:color w:val="000000"/>
                <w:sz w:val="22"/>
                <w:szCs w:val="22"/>
              </w:rPr>
              <w:t>0.32</w:t>
            </w:r>
          </w:p>
        </w:tc>
        <w:tc>
          <w:tcPr>
            <w:tcW w:w="1872" w:type="dxa"/>
            <w:tcBorders>
              <w:top w:val="nil"/>
              <w:left w:val="nil"/>
              <w:bottom w:val="nil"/>
              <w:right w:val="nil"/>
            </w:tcBorders>
          </w:tcPr>
          <w:p w14:paraId="35FEE96A" w14:textId="7119089E"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0.37</w:t>
            </w:r>
          </w:p>
        </w:tc>
        <w:tc>
          <w:tcPr>
            <w:tcW w:w="1881" w:type="dxa"/>
            <w:tcBorders>
              <w:top w:val="nil"/>
              <w:left w:val="nil"/>
              <w:bottom w:val="nil"/>
              <w:right w:val="nil"/>
            </w:tcBorders>
          </w:tcPr>
          <w:p w14:paraId="0F4D6AB7" w14:textId="28F063E7"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0.41</w:t>
            </w:r>
          </w:p>
        </w:tc>
      </w:tr>
      <w:tr w:rsidR="00B94DA2" w:rsidRPr="00737F3C" w14:paraId="5C2B09DE" w14:textId="77777777" w:rsidTr="00B74D03">
        <w:trPr>
          <w:trHeight w:val="63"/>
          <w:jc w:val="center"/>
        </w:trPr>
        <w:tc>
          <w:tcPr>
            <w:tcW w:w="1884" w:type="dxa"/>
            <w:tcBorders>
              <w:top w:val="nil"/>
              <w:left w:val="nil"/>
              <w:bottom w:val="nil"/>
              <w:right w:val="nil"/>
            </w:tcBorders>
            <w:vAlign w:val="center"/>
          </w:tcPr>
          <w:p w14:paraId="1B5BD3B0" w14:textId="77777777" w:rsidR="00B94DA2" w:rsidRPr="0032634A" w:rsidRDefault="00B94DA2" w:rsidP="00B94DA2">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5</w:t>
            </w:r>
          </w:p>
        </w:tc>
        <w:tc>
          <w:tcPr>
            <w:tcW w:w="1882" w:type="dxa"/>
            <w:tcBorders>
              <w:top w:val="nil"/>
              <w:left w:val="nil"/>
              <w:bottom w:val="nil"/>
              <w:right w:val="nil"/>
            </w:tcBorders>
          </w:tcPr>
          <w:p w14:paraId="2CD4C07C" w14:textId="005D0BDF" w:rsidR="00B94DA2" w:rsidRPr="00B94DA2" w:rsidRDefault="00B94DA2" w:rsidP="00B94DA2">
            <w:pPr>
              <w:spacing w:after="0"/>
              <w:jc w:val="center"/>
              <w:rPr>
                <w:color w:val="000000"/>
                <w:sz w:val="22"/>
                <w:szCs w:val="22"/>
              </w:rPr>
            </w:pPr>
            <w:r w:rsidRPr="00B94DA2">
              <w:rPr>
                <w:rFonts w:eastAsiaTheme="minorHAnsi"/>
                <w:color w:val="000000"/>
                <w:sz w:val="22"/>
                <w:szCs w:val="22"/>
              </w:rPr>
              <w:t>0.56</w:t>
            </w:r>
          </w:p>
        </w:tc>
        <w:tc>
          <w:tcPr>
            <w:tcW w:w="1872" w:type="dxa"/>
            <w:tcBorders>
              <w:top w:val="nil"/>
              <w:left w:val="nil"/>
              <w:bottom w:val="nil"/>
              <w:right w:val="nil"/>
            </w:tcBorders>
          </w:tcPr>
          <w:p w14:paraId="78E91BB3" w14:textId="00CF099E"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0.60</w:t>
            </w:r>
          </w:p>
        </w:tc>
        <w:tc>
          <w:tcPr>
            <w:tcW w:w="1881" w:type="dxa"/>
            <w:tcBorders>
              <w:top w:val="nil"/>
              <w:left w:val="nil"/>
              <w:bottom w:val="nil"/>
              <w:right w:val="nil"/>
            </w:tcBorders>
          </w:tcPr>
          <w:p w14:paraId="21D8AD3F" w14:textId="0E73B39D"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0.65</w:t>
            </w:r>
          </w:p>
        </w:tc>
      </w:tr>
      <w:tr w:rsidR="00B94DA2" w:rsidRPr="00737F3C" w14:paraId="1F24E1A9" w14:textId="77777777" w:rsidTr="00B74D03">
        <w:trPr>
          <w:trHeight w:val="63"/>
          <w:jc w:val="center"/>
        </w:trPr>
        <w:tc>
          <w:tcPr>
            <w:tcW w:w="1884" w:type="dxa"/>
            <w:tcBorders>
              <w:top w:val="nil"/>
              <w:left w:val="nil"/>
              <w:bottom w:val="nil"/>
              <w:right w:val="nil"/>
            </w:tcBorders>
            <w:vAlign w:val="center"/>
          </w:tcPr>
          <w:p w14:paraId="7A266056" w14:textId="77777777" w:rsidR="00B94DA2" w:rsidRPr="0032634A" w:rsidRDefault="00B94DA2" w:rsidP="00B94DA2">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6</w:t>
            </w:r>
          </w:p>
        </w:tc>
        <w:tc>
          <w:tcPr>
            <w:tcW w:w="1882" w:type="dxa"/>
            <w:tcBorders>
              <w:top w:val="nil"/>
              <w:left w:val="nil"/>
              <w:bottom w:val="nil"/>
              <w:right w:val="nil"/>
            </w:tcBorders>
          </w:tcPr>
          <w:p w14:paraId="2D4AC984" w14:textId="2AA8CBE5" w:rsidR="00B94DA2" w:rsidRPr="00B94DA2" w:rsidRDefault="00B94DA2" w:rsidP="00B94DA2">
            <w:pPr>
              <w:spacing w:after="0"/>
              <w:jc w:val="center"/>
              <w:rPr>
                <w:color w:val="000000"/>
                <w:sz w:val="22"/>
                <w:szCs w:val="22"/>
              </w:rPr>
            </w:pPr>
            <w:r w:rsidRPr="00B94DA2">
              <w:rPr>
                <w:rFonts w:eastAsiaTheme="minorHAnsi"/>
                <w:color w:val="000000"/>
                <w:sz w:val="22"/>
                <w:szCs w:val="22"/>
              </w:rPr>
              <w:t>0.02</w:t>
            </w:r>
          </w:p>
        </w:tc>
        <w:tc>
          <w:tcPr>
            <w:tcW w:w="1872" w:type="dxa"/>
            <w:tcBorders>
              <w:top w:val="nil"/>
              <w:left w:val="nil"/>
              <w:bottom w:val="nil"/>
              <w:right w:val="nil"/>
            </w:tcBorders>
          </w:tcPr>
          <w:p w14:paraId="2921939D" w14:textId="0A7F3319"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0.03</w:t>
            </w:r>
          </w:p>
        </w:tc>
        <w:tc>
          <w:tcPr>
            <w:tcW w:w="1881" w:type="dxa"/>
            <w:tcBorders>
              <w:top w:val="nil"/>
              <w:left w:val="nil"/>
              <w:bottom w:val="nil"/>
              <w:right w:val="nil"/>
            </w:tcBorders>
          </w:tcPr>
          <w:p w14:paraId="0828AC87" w14:textId="158EF90D"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0.04</w:t>
            </w:r>
          </w:p>
        </w:tc>
      </w:tr>
      <w:tr w:rsidR="00B94DA2" w:rsidRPr="00737F3C" w14:paraId="58C1D42A" w14:textId="77777777" w:rsidTr="00B74D03">
        <w:trPr>
          <w:trHeight w:val="63"/>
          <w:jc w:val="center"/>
        </w:trPr>
        <w:tc>
          <w:tcPr>
            <w:tcW w:w="1884" w:type="dxa"/>
            <w:tcBorders>
              <w:top w:val="nil"/>
              <w:left w:val="nil"/>
              <w:bottom w:val="single" w:sz="4" w:space="0" w:color="auto"/>
              <w:right w:val="nil"/>
            </w:tcBorders>
            <w:vAlign w:val="center"/>
          </w:tcPr>
          <w:p w14:paraId="64F1C8F7" w14:textId="77777777" w:rsidR="00B94DA2" w:rsidRPr="0032634A" w:rsidRDefault="00B94DA2" w:rsidP="00B94DA2">
            <w:pPr>
              <w:spacing w:after="0"/>
              <w:jc w:val="left"/>
              <w:rPr>
                <w:iCs/>
                <w:color w:val="000000"/>
                <w:sz w:val="22"/>
                <w:szCs w:val="22"/>
              </w:rPr>
            </w:pPr>
            <w:proofErr w:type="spellStart"/>
            <w:r>
              <w:rPr>
                <w:iCs/>
                <w:color w:val="000000"/>
                <w:sz w:val="22"/>
                <w:szCs w:val="22"/>
              </w:rPr>
              <w:t>B.sum</w:t>
            </w:r>
            <w:proofErr w:type="spellEnd"/>
          </w:p>
        </w:tc>
        <w:tc>
          <w:tcPr>
            <w:tcW w:w="1882" w:type="dxa"/>
            <w:tcBorders>
              <w:top w:val="nil"/>
              <w:left w:val="nil"/>
              <w:bottom w:val="single" w:sz="4" w:space="0" w:color="auto"/>
              <w:right w:val="nil"/>
            </w:tcBorders>
          </w:tcPr>
          <w:p w14:paraId="2AB78AE4" w14:textId="5D666D9B" w:rsidR="00B94DA2" w:rsidRPr="00B94DA2" w:rsidRDefault="00B94DA2" w:rsidP="00B94DA2">
            <w:pPr>
              <w:spacing w:after="0"/>
              <w:jc w:val="center"/>
              <w:rPr>
                <w:color w:val="000000"/>
                <w:sz w:val="22"/>
                <w:szCs w:val="22"/>
              </w:rPr>
            </w:pPr>
            <w:r w:rsidRPr="00B94DA2">
              <w:rPr>
                <w:rFonts w:eastAsiaTheme="minorHAnsi"/>
                <w:color w:val="000000"/>
                <w:sz w:val="22"/>
                <w:szCs w:val="22"/>
              </w:rPr>
              <w:t>4</w:t>
            </w:r>
          </w:p>
        </w:tc>
        <w:tc>
          <w:tcPr>
            <w:tcW w:w="1872" w:type="dxa"/>
            <w:tcBorders>
              <w:top w:val="nil"/>
              <w:left w:val="nil"/>
              <w:bottom w:val="single" w:sz="4" w:space="0" w:color="auto"/>
              <w:right w:val="nil"/>
            </w:tcBorders>
          </w:tcPr>
          <w:p w14:paraId="5E581A87" w14:textId="18DF3E6B"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7</w:t>
            </w:r>
          </w:p>
        </w:tc>
        <w:tc>
          <w:tcPr>
            <w:tcW w:w="1881" w:type="dxa"/>
            <w:tcBorders>
              <w:top w:val="nil"/>
              <w:left w:val="nil"/>
              <w:bottom w:val="single" w:sz="4" w:space="0" w:color="auto"/>
              <w:right w:val="nil"/>
            </w:tcBorders>
          </w:tcPr>
          <w:p w14:paraId="74FE94BE" w14:textId="55F29A4D" w:rsidR="00B94DA2" w:rsidRPr="00B94DA2" w:rsidRDefault="00B94DA2" w:rsidP="00B94DA2">
            <w:pPr>
              <w:spacing w:after="0"/>
              <w:jc w:val="center"/>
              <w:rPr>
                <w:color w:val="000000" w:themeColor="text1"/>
                <w:sz w:val="22"/>
                <w:szCs w:val="22"/>
              </w:rPr>
            </w:pPr>
            <w:r w:rsidRPr="00B94DA2">
              <w:rPr>
                <w:rFonts w:eastAsiaTheme="minorHAnsi"/>
                <w:color w:val="000000"/>
                <w:sz w:val="22"/>
                <w:szCs w:val="22"/>
              </w:rPr>
              <w:t>12</w:t>
            </w:r>
          </w:p>
        </w:tc>
      </w:tr>
    </w:tbl>
    <w:p w14:paraId="371C12FE" w14:textId="4B1163DA" w:rsidR="002B136E" w:rsidRPr="002B136E" w:rsidRDefault="002B136E" w:rsidP="004E4AD0"/>
    <w:p w14:paraId="75308A45" w14:textId="2FF75476" w:rsidR="002B136E" w:rsidRDefault="00750897" w:rsidP="00DA64EB">
      <w:pPr>
        <w:jc w:val="center"/>
      </w:pPr>
      <w:r>
        <w:rPr>
          <w:noProof/>
        </w:rPr>
        <w:lastRenderedPageBreak/>
        <w:drawing>
          <wp:inline distT="0" distB="0" distL="0" distR="0" wp14:anchorId="68FBD9DB" wp14:editId="0FA92528">
            <wp:extent cx="5943600"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7C439879" w14:textId="22530FEC" w:rsidR="002B136E" w:rsidRDefault="002B136E" w:rsidP="00206FA5">
      <w:pPr>
        <w:rPr>
          <w:i/>
          <w:iCs/>
          <w:sz w:val="22"/>
          <w:szCs w:val="22"/>
        </w:rPr>
      </w:pPr>
      <w:r w:rsidRPr="00910F22">
        <w:rPr>
          <w:b/>
          <w:bCs/>
        </w:rPr>
        <w:t>Figure</w:t>
      </w:r>
      <w:r w:rsidR="00BF03DA" w:rsidRPr="00910F22">
        <w:rPr>
          <w:b/>
          <w:bCs/>
        </w:rPr>
        <w:t xml:space="preserve"> 1</w:t>
      </w:r>
      <w:r w:rsidRPr="00910F22">
        <w:rPr>
          <w:b/>
          <w:bCs/>
        </w:rPr>
        <w:t>.</w:t>
      </w:r>
      <w:r w:rsidR="00910F22">
        <w:t>–</w:t>
      </w:r>
      <w:r w:rsidR="00347507" w:rsidRPr="0089076E">
        <w:rPr>
          <w:i/>
          <w:iCs/>
          <w:sz w:val="22"/>
          <w:szCs w:val="22"/>
        </w:rPr>
        <w:t xml:space="preserve">Overfishing profiles (OFPs), optimal recruitment profiles (ORPs), and optimal yield profiles (OYPs) for Speel 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sustainable escapement goal range of 4,000 to 9,000 spawners and the solid vertical line is the posterior median of spawning abundance at maximum sustained yield </w:t>
      </w:r>
      <w:r w:rsidR="00787B6F" w:rsidRPr="0089076E">
        <w:rPr>
          <w:i/>
          <w:iCs/>
          <w:sz w:val="22"/>
          <w:szCs w:val="22"/>
        </w:rPr>
        <w:t>(S</w:t>
      </w:r>
      <w:r w:rsidR="00787B6F" w:rsidRPr="0089076E">
        <w:rPr>
          <w:i/>
          <w:iCs/>
          <w:sz w:val="22"/>
          <w:szCs w:val="22"/>
          <w:vertAlign w:val="subscript"/>
        </w:rPr>
        <w:t>MSY</w:t>
      </w:r>
      <w:r w:rsidR="00787B6F" w:rsidRPr="0089076E">
        <w:rPr>
          <w:i/>
          <w:iCs/>
          <w:sz w:val="22"/>
          <w:szCs w:val="22"/>
        </w:rPr>
        <w:t xml:space="preserve">) </w:t>
      </w:r>
      <w:r w:rsidR="00347507" w:rsidRPr="0089076E">
        <w:rPr>
          <w:i/>
          <w:iCs/>
          <w:sz w:val="22"/>
          <w:szCs w:val="22"/>
        </w:rPr>
        <w:t>obtained from the state-space model.</w:t>
      </w:r>
    </w:p>
    <w:p w14:paraId="6796A27B" w14:textId="1A220FBA" w:rsidR="00750897" w:rsidRDefault="00750897" w:rsidP="00206FA5">
      <w:r>
        <w:rPr>
          <w:noProof/>
        </w:rPr>
        <w:lastRenderedPageBreak/>
        <w:drawing>
          <wp:inline distT="0" distB="0" distL="0" distR="0" wp14:anchorId="3DFC0AE6" wp14:editId="15E06393">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64E2F3" w14:textId="5F5EF009" w:rsidR="00BF03DA" w:rsidRDefault="00111ED7" w:rsidP="00347507">
      <w:r w:rsidRPr="00910F22">
        <w:rPr>
          <w:b/>
          <w:bCs/>
        </w:rPr>
        <w:t>Figure</w:t>
      </w:r>
      <w:r>
        <w:rPr>
          <w:b/>
          <w:bCs/>
        </w:rPr>
        <w:t xml:space="preserve"> 2</w:t>
      </w:r>
      <w:r w:rsidRPr="00910F22">
        <w:rPr>
          <w:b/>
          <w:bCs/>
        </w:rPr>
        <w:t>.</w:t>
      </w:r>
      <w:r>
        <w:t>–</w:t>
      </w:r>
      <w:r w:rsidRPr="0089076E">
        <w:rPr>
          <w:i/>
          <w:iCs/>
          <w:sz w:val="22"/>
          <w:szCs w:val="22"/>
        </w:rPr>
        <w:t xml:space="preserve">Plausible spawner-recruit relationships (shaded regions around the dashed line) for Speel Lake </w:t>
      </w:r>
      <w:r w:rsidR="00994551">
        <w:rPr>
          <w:i/>
          <w:iCs/>
          <w:sz w:val="22"/>
          <w:szCs w:val="22"/>
        </w:rPr>
        <w:t>s</w:t>
      </w:r>
      <w:r w:rsidRPr="0089076E">
        <w:rPr>
          <w:i/>
          <w:iCs/>
          <w:sz w:val="22"/>
          <w:szCs w:val="22"/>
        </w:rPr>
        <w:t>ockeye salmon as derived from a Bayesian state-space model fitted to abundance, harvest, and age data for calendar years 1983–2019. Posterior medians of recruits and spawners are plotted as brood year labels with 95% credible intervals (grey lines). The heavy dashed line is the Ricker relationship constructed from ln(α’) and β posterior medians with 90% and 95% credible intervals (shaded areas). Recruits replace spawners on the solid diagonal line.</w:t>
      </w:r>
    </w:p>
    <w:p w14:paraId="53D53CCB" w14:textId="361C3A02" w:rsidR="00111ED7" w:rsidRDefault="00750897" w:rsidP="00111ED7">
      <w:r>
        <w:rPr>
          <w:noProof/>
        </w:rPr>
        <w:lastRenderedPageBreak/>
        <w:drawing>
          <wp:inline distT="0" distB="0" distL="0" distR="0" wp14:anchorId="00B24AD3" wp14:editId="62082C9C">
            <wp:extent cx="5943600" cy="52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368A13E9" w14:textId="2406DE93" w:rsidR="00111ED7" w:rsidRDefault="00111ED7" w:rsidP="00206FA5">
      <w:r w:rsidRPr="00DA64EB">
        <w:rPr>
          <w:b/>
          <w:bCs/>
        </w:rPr>
        <w:t xml:space="preserve">Figure </w:t>
      </w:r>
      <w:r>
        <w:rPr>
          <w:b/>
          <w:bCs/>
        </w:rPr>
        <w:t>3</w:t>
      </w:r>
      <w:r w:rsidRPr="00DA64EB">
        <w:rPr>
          <w:b/>
          <w:bCs/>
        </w:rPr>
        <w:t>.</w:t>
      </w:r>
      <w:r>
        <w:t>–</w:t>
      </w:r>
      <w:r w:rsidRPr="0089076E">
        <w:rPr>
          <w:i/>
          <w:iCs/>
          <w:sz w:val="22"/>
          <w:szCs w:val="22"/>
        </w:rPr>
        <w:t>Point estimates (posterior medians; circles with solid lines) and 95% credible intervals (gray shading) of (a) spawning escapement, (b) harvest rate, and (c) run abundance from the state-space spawner-recruit model of Speel Lake sockeye salmon, 1983–2019. Posterior medians of optimal escapement, S</w:t>
      </w:r>
      <w:r w:rsidRPr="0089076E">
        <w:rPr>
          <w:i/>
          <w:iCs/>
          <w:sz w:val="22"/>
          <w:szCs w:val="22"/>
          <w:vertAlign w:val="subscript"/>
        </w:rPr>
        <w:t>MSY</w:t>
      </w:r>
      <w:r w:rsidRPr="0089076E">
        <w:rPr>
          <w:i/>
          <w:iCs/>
          <w:sz w:val="22"/>
          <w:szCs w:val="22"/>
        </w:rPr>
        <w:t>, and harvest rate, U</w:t>
      </w:r>
      <w:r w:rsidRPr="0089076E">
        <w:rPr>
          <w:i/>
          <w:iCs/>
          <w:sz w:val="22"/>
          <w:szCs w:val="22"/>
          <w:vertAlign w:val="subscript"/>
        </w:rPr>
        <w:t>MSY</w:t>
      </w:r>
      <w:r w:rsidRPr="0089076E">
        <w:rPr>
          <w:i/>
          <w:iCs/>
          <w:sz w:val="22"/>
          <w:szCs w:val="22"/>
        </w:rPr>
        <w:t>, are plotted as dashed horizontal reference lines in (a) and (b), respectively.</w:t>
      </w:r>
    </w:p>
    <w:p w14:paraId="6C7C100F" w14:textId="45EEA4E9" w:rsidR="0089076E" w:rsidRDefault="002939F2" w:rsidP="00111ED7">
      <w:pPr>
        <w:ind w:firstLine="432"/>
      </w:pPr>
      <w:r>
        <w:rPr>
          <w:noProof/>
        </w:rPr>
        <w:lastRenderedPageBreak/>
        <w:drawing>
          <wp:inline distT="0" distB="0" distL="0" distR="0" wp14:anchorId="12341100" wp14:editId="263CABE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8EC216" w14:textId="44F86328" w:rsidR="00111ED7" w:rsidRDefault="0089076E" w:rsidP="00347507">
      <w:r w:rsidRPr="00DA64EB">
        <w:rPr>
          <w:b/>
          <w:bCs/>
        </w:rPr>
        <w:t xml:space="preserve">Figure </w:t>
      </w:r>
      <w:r>
        <w:rPr>
          <w:b/>
          <w:bCs/>
        </w:rPr>
        <w:t>4</w:t>
      </w:r>
      <w:r w:rsidRPr="00DA64EB">
        <w:rPr>
          <w:b/>
          <w:bCs/>
        </w:rPr>
        <w:t>.</w:t>
      </w:r>
      <w:r>
        <w:t>–</w:t>
      </w:r>
      <w:r w:rsidRPr="0089076E">
        <w:rPr>
          <w:i/>
          <w:color w:val="000000"/>
          <w:sz w:val="22"/>
          <w:szCs w:val="22"/>
        </w:rPr>
        <w:t xml:space="preserve">Posterior medians of escapement estimates (spawners (S)) and 95% credible intervals (vertical lines obtained by fitting a Bayesian state-space model to Speel Lake </w:t>
      </w:r>
      <w:r w:rsidRPr="0089076E">
        <w:rPr>
          <w:i/>
          <w:sz w:val="22"/>
          <w:szCs w:val="22"/>
        </w:rPr>
        <w:t>sockeye</w:t>
      </w:r>
      <w:r w:rsidRPr="0089076E">
        <w:rPr>
          <w:i/>
          <w:color w:val="000000"/>
          <w:sz w:val="22"/>
          <w:szCs w:val="22"/>
        </w:rPr>
        <w:t xml:space="preserve"> salmon data, </w:t>
      </w:r>
      <w:bookmarkStart w:id="4" w:name="_Hlk20668091"/>
      <w:r w:rsidRPr="0089076E">
        <w:rPr>
          <w:i/>
          <w:color w:val="000000"/>
          <w:sz w:val="22"/>
          <w:szCs w:val="22"/>
        </w:rPr>
        <w:t>1983–201</w:t>
      </w:r>
      <w:bookmarkEnd w:id="4"/>
      <w:r w:rsidRPr="0089076E">
        <w:rPr>
          <w:i/>
          <w:color w:val="000000"/>
          <w:sz w:val="22"/>
          <w:szCs w:val="22"/>
        </w:rPr>
        <w:t xml:space="preserve">9. The </w:t>
      </w:r>
      <w:r w:rsidR="00AE3CE9">
        <w:rPr>
          <w:i/>
          <w:color w:val="000000"/>
          <w:sz w:val="22"/>
          <w:szCs w:val="22"/>
        </w:rPr>
        <w:t xml:space="preserve">grey </w:t>
      </w:r>
      <w:r w:rsidRPr="0089076E">
        <w:rPr>
          <w:i/>
          <w:color w:val="000000"/>
          <w:sz w:val="22"/>
          <w:szCs w:val="22"/>
        </w:rPr>
        <w:t>shaded region represents the current escapement goal range of 4,000–9,000 fish.</w:t>
      </w:r>
    </w:p>
    <w:p w14:paraId="654779CD" w14:textId="3F3BFF60" w:rsidR="00BF03DA" w:rsidRDefault="00BF03DA" w:rsidP="00347507"/>
    <w:p w14:paraId="72DC85C7" w14:textId="1FF69276" w:rsidR="00BF03DA" w:rsidRDefault="002939F2" w:rsidP="00BF03DA">
      <w:pPr>
        <w:jc w:val="center"/>
      </w:pPr>
      <w:r>
        <w:rPr>
          <w:noProof/>
        </w:rPr>
        <w:lastRenderedPageBreak/>
        <w:drawing>
          <wp:inline distT="0" distB="0" distL="0" distR="0" wp14:anchorId="36B0D93D" wp14:editId="444A07F2">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1051BDB" w14:textId="0CE59C15" w:rsidR="00BF03DA" w:rsidRDefault="00BF03DA" w:rsidP="00206FA5">
      <w:bookmarkStart w:id="5" w:name="_Hlk28865202"/>
      <w:r w:rsidRPr="00910F22">
        <w:rPr>
          <w:b/>
          <w:bCs/>
        </w:rPr>
        <w:t>Figure</w:t>
      </w:r>
      <w:r w:rsidR="00DA64EB">
        <w:rPr>
          <w:b/>
          <w:bCs/>
        </w:rPr>
        <w:t xml:space="preserve"> </w:t>
      </w:r>
      <w:r w:rsidR="0089076E">
        <w:rPr>
          <w:b/>
          <w:bCs/>
        </w:rPr>
        <w:t>5</w:t>
      </w:r>
      <w:r w:rsidRPr="00910F22">
        <w:rPr>
          <w:b/>
          <w:bCs/>
        </w:rPr>
        <w:t>.</w:t>
      </w:r>
      <w:r>
        <w:t>–</w:t>
      </w:r>
      <w:r w:rsidR="00DA64EB" w:rsidRPr="0089076E">
        <w:rPr>
          <w:i/>
          <w:iCs/>
          <w:sz w:val="22"/>
          <w:szCs w:val="22"/>
        </w:rPr>
        <w:t>Natural logarithm of recruits per spawner vs spawners for Speel Lake sockeye salmon,</w:t>
      </w:r>
      <w:r w:rsidR="00B87DF1">
        <w:rPr>
          <w:i/>
          <w:iCs/>
          <w:sz w:val="22"/>
          <w:szCs w:val="22"/>
        </w:rPr>
        <w:t xml:space="preserve"> </w:t>
      </w:r>
      <w:r w:rsidR="00B87DF1">
        <w:rPr>
          <w:sz w:val="22"/>
          <w:szCs w:val="22"/>
        </w:rPr>
        <w:t>brood years</w:t>
      </w:r>
      <w:r w:rsidR="00DA64EB" w:rsidRPr="0089076E">
        <w:rPr>
          <w:i/>
          <w:iCs/>
          <w:sz w:val="22"/>
          <w:szCs w:val="22"/>
        </w:rPr>
        <w:t xml:space="preserve"> 1983–2015.</w:t>
      </w:r>
    </w:p>
    <w:bookmarkEnd w:id="5"/>
    <w:p w14:paraId="1B340728" w14:textId="41FCC663" w:rsidR="00DA64EB" w:rsidRDefault="00DA64EB" w:rsidP="00BF03DA"/>
    <w:bookmarkEnd w:id="3"/>
    <w:p w14:paraId="19539065" w14:textId="29431C25" w:rsidR="003F235A" w:rsidRDefault="002939F2" w:rsidP="003F235A">
      <w:pPr>
        <w:jc w:val="center"/>
      </w:pPr>
      <w:r>
        <w:rPr>
          <w:noProof/>
        </w:rPr>
        <w:lastRenderedPageBreak/>
        <w:drawing>
          <wp:inline distT="0" distB="0" distL="0" distR="0" wp14:anchorId="5CFCC199" wp14:editId="791EE5DA">
            <wp:extent cx="5943600" cy="52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6440687F" w14:textId="73C19249" w:rsidR="00D94625" w:rsidRPr="00D94625" w:rsidRDefault="003F235A" w:rsidP="00206FA5">
      <w:pPr>
        <w:rPr>
          <w:i/>
          <w:iCs/>
          <w:sz w:val="22"/>
          <w:szCs w:val="22"/>
        </w:rPr>
      </w:pPr>
      <w:r w:rsidRPr="003F235A">
        <w:rPr>
          <w:b/>
          <w:bCs/>
        </w:rPr>
        <w:t xml:space="preserve">Figure </w:t>
      </w:r>
      <w:r w:rsidR="0089076E">
        <w:rPr>
          <w:b/>
          <w:bCs/>
        </w:rPr>
        <w:t>6</w:t>
      </w:r>
      <w:r w:rsidRPr="003F235A">
        <w:rPr>
          <w:b/>
          <w:bCs/>
        </w:rPr>
        <w:t>.</w:t>
      </w:r>
      <w:r>
        <w:t>–</w:t>
      </w:r>
      <w:r w:rsidRPr="0089076E">
        <w:rPr>
          <w:i/>
          <w:iCs/>
          <w:sz w:val="22"/>
          <w:szCs w:val="22"/>
        </w:rPr>
        <w:t>Point estimates (posterior medians; circles with solid lines) and 95% credible intervals (shaded areas) of (a) recruitment and (b) productivity residuals by brood year from the Bayesian state-space model for Speel lake sockeye salmon.</w:t>
      </w:r>
      <w:r w:rsidR="00D94625" w:rsidRPr="00D94625">
        <w:t xml:space="preserve"> </w:t>
      </w:r>
      <w:r w:rsidR="00D94625" w:rsidRPr="00D94625">
        <w:rPr>
          <w:i/>
          <w:iCs/>
          <w:sz w:val="22"/>
          <w:szCs w:val="22"/>
        </w:rPr>
        <w:t xml:space="preserve">A 5-year rolling mean is shown as a solid black line in </w:t>
      </w:r>
      <w:r w:rsidR="0045243C">
        <w:rPr>
          <w:i/>
          <w:iCs/>
          <w:sz w:val="22"/>
          <w:szCs w:val="22"/>
        </w:rPr>
        <w:t>(</w:t>
      </w:r>
      <w:r w:rsidR="00D94625" w:rsidRPr="00D94625">
        <w:rPr>
          <w:i/>
          <w:iCs/>
          <w:sz w:val="22"/>
          <w:szCs w:val="22"/>
        </w:rPr>
        <w:t>b</w:t>
      </w:r>
      <w:r w:rsidR="0045243C">
        <w:rPr>
          <w:i/>
          <w:iCs/>
          <w:sz w:val="22"/>
          <w:szCs w:val="22"/>
        </w:rPr>
        <w:t>)</w:t>
      </w:r>
      <w:r w:rsidR="00D94625" w:rsidRPr="00D94625">
        <w:rPr>
          <w:i/>
          <w:iCs/>
          <w:sz w:val="22"/>
          <w:szCs w:val="22"/>
        </w:rPr>
        <w:t xml:space="preserve">. </w:t>
      </w:r>
    </w:p>
    <w:p w14:paraId="22D886C3" w14:textId="173BE434" w:rsidR="00407174" w:rsidRPr="002B136E" w:rsidRDefault="00407174" w:rsidP="004E4AD0"/>
    <w:sectPr w:rsidR="00407174" w:rsidRPr="002B13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ller, Sara E (DFG)" w:date="2020-01-29T10:40:00Z" w:initials="MSE(">
    <w:p w14:paraId="6C1AEC9E" w14:textId="0D80D409" w:rsidR="00750897" w:rsidRDefault="00750897">
      <w:pPr>
        <w:pStyle w:val="CommentText"/>
      </w:pPr>
      <w:r>
        <w:rPr>
          <w:rStyle w:val="CommentReference"/>
        </w:rPr>
        <w:annotationRef/>
      </w:r>
      <w:r>
        <w:t>Started updates from here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AE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AEC9E" w16cid:durableId="21DBDF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BFA3" w14:textId="77777777" w:rsidR="006C3761" w:rsidRDefault="006C3761" w:rsidP="006C3761">
      <w:pPr>
        <w:spacing w:after="0"/>
      </w:pPr>
      <w:r>
        <w:separator/>
      </w:r>
    </w:p>
  </w:endnote>
  <w:endnote w:type="continuationSeparator" w:id="0">
    <w:p w14:paraId="741C0559" w14:textId="77777777" w:rsidR="006C3761" w:rsidRDefault="006C3761" w:rsidP="006C3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0928" w14:textId="77777777" w:rsidR="006C3761" w:rsidRDefault="006C3761" w:rsidP="006C3761">
      <w:pPr>
        <w:spacing w:after="0"/>
      </w:pPr>
      <w:r>
        <w:separator/>
      </w:r>
    </w:p>
  </w:footnote>
  <w:footnote w:type="continuationSeparator" w:id="0">
    <w:p w14:paraId="0DDC4518" w14:textId="77777777" w:rsidR="006C3761" w:rsidRDefault="006C3761" w:rsidP="006C37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D1326"/>
    <w:multiLevelType w:val="hybridMultilevel"/>
    <w:tmpl w:val="BE3A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179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1-5-21-440283733-3916095660-3029927770-34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F"/>
    <w:rsid w:val="000053CB"/>
    <w:rsid w:val="00027128"/>
    <w:rsid w:val="00086B28"/>
    <w:rsid w:val="00092985"/>
    <w:rsid w:val="000A4FC7"/>
    <w:rsid w:val="000B11EA"/>
    <w:rsid w:val="000B42EA"/>
    <w:rsid w:val="00111ED7"/>
    <w:rsid w:val="001333A7"/>
    <w:rsid w:val="00147467"/>
    <w:rsid w:val="00151140"/>
    <w:rsid w:val="0016695E"/>
    <w:rsid w:val="00173D57"/>
    <w:rsid w:val="00177076"/>
    <w:rsid w:val="001B1288"/>
    <w:rsid w:val="00206FA5"/>
    <w:rsid w:val="00224041"/>
    <w:rsid w:val="00243334"/>
    <w:rsid w:val="00253929"/>
    <w:rsid w:val="0027556B"/>
    <w:rsid w:val="002858AD"/>
    <w:rsid w:val="002939F2"/>
    <w:rsid w:val="002B136E"/>
    <w:rsid w:val="002E4ECB"/>
    <w:rsid w:val="00316AC9"/>
    <w:rsid w:val="0032634A"/>
    <w:rsid w:val="003351F9"/>
    <w:rsid w:val="00347507"/>
    <w:rsid w:val="00383C35"/>
    <w:rsid w:val="00396951"/>
    <w:rsid w:val="003F235A"/>
    <w:rsid w:val="004063B9"/>
    <w:rsid w:val="00407174"/>
    <w:rsid w:val="00416217"/>
    <w:rsid w:val="004163EB"/>
    <w:rsid w:val="00447AF2"/>
    <w:rsid w:val="0045243C"/>
    <w:rsid w:val="004A7BB5"/>
    <w:rsid w:val="004B41BF"/>
    <w:rsid w:val="004C53BF"/>
    <w:rsid w:val="004E4AD0"/>
    <w:rsid w:val="00562654"/>
    <w:rsid w:val="00567273"/>
    <w:rsid w:val="00595E62"/>
    <w:rsid w:val="005A77D6"/>
    <w:rsid w:val="005C05FA"/>
    <w:rsid w:val="005D3A8D"/>
    <w:rsid w:val="005D4BD1"/>
    <w:rsid w:val="005D683D"/>
    <w:rsid w:val="005E15F2"/>
    <w:rsid w:val="005F4D6D"/>
    <w:rsid w:val="0060565D"/>
    <w:rsid w:val="006158C5"/>
    <w:rsid w:val="0064052F"/>
    <w:rsid w:val="0067412D"/>
    <w:rsid w:val="006C3761"/>
    <w:rsid w:val="006F3356"/>
    <w:rsid w:val="006F6B1F"/>
    <w:rsid w:val="00737F3C"/>
    <w:rsid w:val="00750897"/>
    <w:rsid w:val="00787B6F"/>
    <w:rsid w:val="007A14B9"/>
    <w:rsid w:val="007B76C4"/>
    <w:rsid w:val="008028CF"/>
    <w:rsid w:val="0080570D"/>
    <w:rsid w:val="00810938"/>
    <w:rsid w:val="00836BA7"/>
    <w:rsid w:val="0089076E"/>
    <w:rsid w:val="00897B7D"/>
    <w:rsid w:val="00910F22"/>
    <w:rsid w:val="009666AD"/>
    <w:rsid w:val="00985B58"/>
    <w:rsid w:val="0099144D"/>
    <w:rsid w:val="00994551"/>
    <w:rsid w:val="009C5D16"/>
    <w:rsid w:val="00A30951"/>
    <w:rsid w:val="00A57EBC"/>
    <w:rsid w:val="00AC79D3"/>
    <w:rsid w:val="00AE08F3"/>
    <w:rsid w:val="00AE3CE9"/>
    <w:rsid w:val="00B347D1"/>
    <w:rsid w:val="00B633AA"/>
    <w:rsid w:val="00B87DF1"/>
    <w:rsid w:val="00B94DA2"/>
    <w:rsid w:val="00BD2A51"/>
    <w:rsid w:val="00BF03DA"/>
    <w:rsid w:val="00C0323A"/>
    <w:rsid w:val="00C07050"/>
    <w:rsid w:val="00C35A42"/>
    <w:rsid w:val="00C9733E"/>
    <w:rsid w:val="00CF33B0"/>
    <w:rsid w:val="00D17BAE"/>
    <w:rsid w:val="00D24B70"/>
    <w:rsid w:val="00D30D3C"/>
    <w:rsid w:val="00D35B62"/>
    <w:rsid w:val="00D41734"/>
    <w:rsid w:val="00D5211B"/>
    <w:rsid w:val="00D80B90"/>
    <w:rsid w:val="00D86305"/>
    <w:rsid w:val="00D94625"/>
    <w:rsid w:val="00D95A54"/>
    <w:rsid w:val="00DA64EB"/>
    <w:rsid w:val="00DB5CE6"/>
    <w:rsid w:val="00DB71CF"/>
    <w:rsid w:val="00DD73F8"/>
    <w:rsid w:val="00E37776"/>
    <w:rsid w:val="00E412DA"/>
    <w:rsid w:val="00E445D7"/>
    <w:rsid w:val="00E53D20"/>
    <w:rsid w:val="00E71426"/>
    <w:rsid w:val="00E723FF"/>
    <w:rsid w:val="00EF244D"/>
    <w:rsid w:val="00F71055"/>
    <w:rsid w:val="00F74077"/>
    <w:rsid w:val="00F925B6"/>
    <w:rsid w:val="00FB0C57"/>
    <w:rsid w:val="00FB5C29"/>
    <w:rsid w:val="00FD096F"/>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761F"/>
  <w15:chartTrackingRefBased/>
  <w15:docId w15:val="{29E1981D-B926-4ACF-B7F6-1276E43A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6F"/>
    <w:pPr>
      <w:spacing w:after="120" w:line="24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096F"/>
    <w:pPr>
      <w:keepNext/>
      <w:suppressAutoHyphens/>
      <w:jc w:val="left"/>
      <w:outlineLvl w:val="2"/>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96F"/>
    <w:rPr>
      <w:rFonts w:ascii="Times New Roman" w:eastAsia="Times New Roman" w:hAnsi="Times New Roman" w:cs="Times New Roman"/>
      <w:b/>
      <w:sz w:val="26"/>
      <w:szCs w:val="20"/>
    </w:rPr>
  </w:style>
  <w:style w:type="paragraph" w:styleId="BalloonText">
    <w:name w:val="Balloon Text"/>
    <w:basedOn w:val="Normal"/>
    <w:link w:val="BalloonTextChar"/>
    <w:uiPriority w:val="99"/>
    <w:semiHidden/>
    <w:unhideWhenUsed/>
    <w:rsid w:val="00E412D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2DA"/>
    <w:rPr>
      <w:rFonts w:ascii="Segoe UI" w:eastAsia="Times New Roman" w:hAnsi="Segoe UI" w:cs="Segoe UI"/>
      <w:sz w:val="18"/>
      <w:szCs w:val="18"/>
    </w:rPr>
  </w:style>
  <w:style w:type="table" w:styleId="TableGrid">
    <w:name w:val="Table Grid"/>
    <w:basedOn w:val="TableNormal"/>
    <w:rsid w:val="00737F3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136E"/>
    <w:rPr>
      <w:sz w:val="16"/>
      <w:szCs w:val="16"/>
    </w:rPr>
  </w:style>
  <w:style w:type="paragraph" w:styleId="CommentText">
    <w:name w:val="annotation text"/>
    <w:basedOn w:val="Normal"/>
    <w:link w:val="CommentTextChar"/>
    <w:uiPriority w:val="99"/>
    <w:semiHidden/>
    <w:unhideWhenUsed/>
    <w:rsid w:val="002B136E"/>
    <w:rPr>
      <w:sz w:val="20"/>
      <w:szCs w:val="20"/>
    </w:rPr>
  </w:style>
  <w:style w:type="character" w:customStyle="1" w:styleId="CommentTextChar">
    <w:name w:val="Comment Text Char"/>
    <w:basedOn w:val="DefaultParagraphFont"/>
    <w:link w:val="CommentText"/>
    <w:uiPriority w:val="99"/>
    <w:semiHidden/>
    <w:rsid w:val="002B13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136E"/>
    <w:rPr>
      <w:b/>
      <w:bCs/>
    </w:rPr>
  </w:style>
  <w:style w:type="character" w:customStyle="1" w:styleId="CommentSubjectChar">
    <w:name w:val="Comment Subject Char"/>
    <w:basedOn w:val="CommentTextChar"/>
    <w:link w:val="CommentSubject"/>
    <w:uiPriority w:val="99"/>
    <w:semiHidden/>
    <w:rsid w:val="002B136E"/>
    <w:rPr>
      <w:rFonts w:ascii="Times New Roman" w:eastAsia="Times New Roman" w:hAnsi="Times New Roman" w:cs="Times New Roman"/>
      <w:b/>
      <w:bCs/>
      <w:sz w:val="20"/>
      <w:szCs w:val="20"/>
    </w:rPr>
  </w:style>
  <w:style w:type="paragraph" w:styleId="ListParagraph">
    <w:name w:val="List Paragraph"/>
    <w:basedOn w:val="Normal"/>
    <w:uiPriority w:val="34"/>
    <w:qFormat/>
    <w:rsid w:val="00EF244D"/>
    <w:pPr>
      <w:ind w:left="720"/>
      <w:contextualSpacing/>
    </w:pPr>
  </w:style>
  <w:style w:type="paragraph" w:styleId="Revision">
    <w:name w:val="Revision"/>
    <w:hidden/>
    <w:uiPriority w:val="99"/>
    <w:semiHidden/>
    <w:rsid w:val="00447AF2"/>
    <w:pPr>
      <w:spacing w:after="0" w:line="240" w:lineRule="auto"/>
    </w:pPr>
    <w:rPr>
      <w:rFonts w:ascii="Times New Roman" w:eastAsia="Times New Roman" w:hAnsi="Times New Roman" w:cs="Times New Roman"/>
      <w:sz w:val="24"/>
      <w:szCs w:val="24"/>
    </w:rPr>
  </w:style>
  <w:style w:type="paragraph" w:customStyle="1" w:styleId="Default">
    <w:name w:val="Default"/>
    <w:rsid w:val="004162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t-Cited">
    <w:name w:val="Lit-Cited"/>
    <w:basedOn w:val="Normal"/>
    <w:link w:val="Lit-CitedChar1"/>
    <w:rsid w:val="00D17BAE"/>
    <w:pPr>
      <w:keepLines/>
      <w:suppressAutoHyphens/>
      <w:ind w:left="288" w:hanging="288"/>
    </w:pPr>
    <w:rPr>
      <w:sz w:val="20"/>
      <w:szCs w:val="20"/>
    </w:rPr>
  </w:style>
  <w:style w:type="character" w:customStyle="1" w:styleId="Lit-CitedChar1">
    <w:name w:val="Lit-Cited Char1"/>
    <w:basedOn w:val="DefaultParagraphFont"/>
    <w:link w:val="Lit-Cited"/>
    <w:rsid w:val="00D17BA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2C3B-A918-4923-9BBD-FD809E47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2</cp:revision>
  <dcterms:created xsi:type="dcterms:W3CDTF">2023-04-03T20:36:00Z</dcterms:created>
  <dcterms:modified xsi:type="dcterms:W3CDTF">2023-04-03T20:36:00Z</dcterms:modified>
</cp:coreProperties>
</file>