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64" w:rsidRDefault="00317192" w:rsidP="00664FCE">
      <w:pPr>
        <w:jc w:val="center"/>
        <w:rPr>
          <w:rFonts w:asciiTheme="majorHAnsi" w:hAnsiTheme="majorHAnsi"/>
          <w:b/>
          <w:sz w:val="44"/>
          <w:szCs w:val="44"/>
        </w:rPr>
      </w:pPr>
      <w:proofErr w:type="spellStart"/>
      <w:r w:rsidRPr="00664FCE">
        <w:rPr>
          <w:rFonts w:asciiTheme="majorHAnsi" w:hAnsiTheme="majorHAnsi"/>
          <w:b/>
          <w:sz w:val="44"/>
          <w:szCs w:val="44"/>
        </w:rPr>
        <w:t>Speel</w:t>
      </w:r>
      <w:proofErr w:type="spellEnd"/>
      <w:r w:rsidRPr="00664FCE">
        <w:rPr>
          <w:rFonts w:asciiTheme="majorHAnsi" w:hAnsiTheme="majorHAnsi"/>
          <w:b/>
          <w:sz w:val="44"/>
          <w:szCs w:val="44"/>
        </w:rPr>
        <w:t xml:space="preserve"> Lake </w:t>
      </w:r>
      <w:r w:rsidR="00872864">
        <w:rPr>
          <w:rFonts w:asciiTheme="majorHAnsi" w:hAnsiTheme="majorHAnsi"/>
          <w:b/>
          <w:sz w:val="44"/>
          <w:szCs w:val="44"/>
        </w:rPr>
        <w:t>S</w:t>
      </w:r>
      <w:r w:rsidRPr="00664FCE">
        <w:rPr>
          <w:rFonts w:asciiTheme="majorHAnsi" w:hAnsiTheme="majorHAnsi"/>
          <w:b/>
          <w:sz w:val="44"/>
          <w:szCs w:val="44"/>
        </w:rPr>
        <w:t>ockeye Salmon</w:t>
      </w:r>
    </w:p>
    <w:p w:rsidR="00317192" w:rsidRPr="00664FCE" w:rsidRDefault="00317192" w:rsidP="00664FCE">
      <w:pPr>
        <w:jc w:val="center"/>
        <w:rPr>
          <w:rFonts w:asciiTheme="majorHAnsi" w:hAnsiTheme="majorHAnsi"/>
          <w:b/>
          <w:sz w:val="44"/>
          <w:szCs w:val="44"/>
        </w:rPr>
      </w:pPr>
      <w:r w:rsidRPr="00664FCE">
        <w:rPr>
          <w:rFonts w:asciiTheme="majorHAnsi" w:hAnsiTheme="majorHAnsi"/>
          <w:b/>
          <w:sz w:val="44"/>
          <w:szCs w:val="44"/>
        </w:rPr>
        <w:t>Escapement Goal Revisited</w:t>
      </w:r>
    </w:p>
    <w:p w:rsidR="00317192" w:rsidRPr="00773690" w:rsidRDefault="00317192" w:rsidP="009076FF">
      <w:pPr>
        <w:rPr>
          <w:rFonts w:asciiTheme="majorHAnsi" w:hAnsiTheme="majorHAnsi"/>
        </w:rPr>
      </w:pPr>
    </w:p>
    <w:p w:rsidR="0022052C" w:rsidRPr="00664FCE" w:rsidRDefault="0022052C" w:rsidP="009076FF">
      <w:pPr>
        <w:rPr>
          <w:rFonts w:asciiTheme="majorHAnsi" w:hAnsiTheme="majorHAnsi"/>
          <w:b/>
          <w:sz w:val="28"/>
          <w:szCs w:val="28"/>
        </w:rPr>
      </w:pPr>
      <w:r w:rsidRPr="00664FCE">
        <w:rPr>
          <w:rFonts w:asciiTheme="majorHAnsi" w:hAnsiTheme="majorHAnsi"/>
          <w:b/>
          <w:sz w:val="28"/>
          <w:szCs w:val="28"/>
        </w:rPr>
        <w:t>Background</w:t>
      </w:r>
    </w:p>
    <w:p w:rsidR="00BD3BC8" w:rsidRPr="00773690" w:rsidRDefault="00BD3BC8" w:rsidP="009076FF">
      <w:pPr>
        <w:rPr>
          <w:rFonts w:asciiTheme="majorHAnsi" w:hAnsiTheme="majorHAnsi"/>
        </w:rPr>
      </w:pPr>
      <w:r w:rsidRPr="00773690">
        <w:rPr>
          <w:rFonts w:asciiTheme="majorHAnsi" w:hAnsiTheme="majorHAnsi"/>
        </w:rPr>
        <w:t xml:space="preserve">The current biological escapement goal </w:t>
      </w:r>
      <w:r w:rsidR="00F3521C" w:rsidRPr="00773690">
        <w:rPr>
          <w:rFonts w:asciiTheme="majorHAnsi" w:hAnsiTheme="majorHAnsi"/>
        </w:rPr>
        <w:t xml:space="preserve">for </w:t>
      </w:r>
      <w:proofErr w:type="spellStart"/>
      <w:r w:rsidR="00F3521C" w:rsidRPr="00773690">
        <w:rPr>
          <w:rFonts w:asciiTheme="majorHAnsi" w:hAnsiTheme="majorHAnsi"/>
        </w:rPr>
        <w:t>Speel</w:t>
      </w:r>
      <w:proofErr w:type="spellEnd"/>
      <w:r w:rsidR="00F3521C" w:rsidRPr="00773690">
        <w:rPr>
          <w:rFonts w:asciiTheme="majorHAnsi" w:hAnsiTheme="majorHAnsi"/>
        </w:rPr>
        <w:t xml:space="preserve"> Lake sockeye salmon is</w:t>
      </w:r>
      <w:r w:rsidRPr="00773690">
        <w:rPr>
          <w:rFonts w:asciiTheme="majorHAnsi" w:hAnsiTheme="majorHAnsi"/>
        </w:rPr>
        <w:t xml:space="preserve"> </w:t>
      </w:r>
      <w:r w:rsidRPr="00773690">
        <w:rPr>
          <w:rFonts w:asciiTheme="majorHAnsi" w:hAnsiTheme="majorHAnsi"/>
          <w:b/>
        </w:rPr>
        <w:t>4,000</w:t>
      </w:r>
      <w:r w:rsidR="00860A2D">
        <w:rPr>
          <w:rFonts w:asciiTheme="majorHAnsi" w:hAnsiTheme="majorHAnsi"/>
          <w:b/>
        </w:rPr>
        <w:t>–</w:t>
      </w:r>
      <w:r w:rsidRPr="00773690">
        <w:rPr>
          <w:rFonts w:asciiTheme="majorHAnsi" w:hAnsiTheme="majorHAnsi"/>
          <w:b/>
        </w:rPr>
        <w:t>13,000</w:t>
      </w:r>
      <w:r w:rsidRPr="00773690">
        <w:rPr>
          <w:rFonts w:asciiTheme="majorHAnsi" w:hAnsiTheme="majorHAnsi"/>
        </w:rPr>
        <w:t xml:space="preserve"> </w:t>
      </w:r>
      <w:proofErr w:type="spellStart"/>
      <w:r w:rsidRPr="00773690">
        <w:rPr>
          <w:rFonts w:asciiTheme="majorHAnsi" w:hAnsiTheme="majorHAnsi"/>
        </w:rPr>
        <w:t>spawners</w:t>
      </w:r>
      <w:proofErr w:type="spellEnd"/>
      <w:r w:rsidRPr="00773690">
        <w:rPr>
          <w:rFonts w:asciiTheme="majorHAnsi" w:hAnsiTheme="majorHAnsi"/>
        </w:rPr>
        <w:t xml:space="preserve">, based on </w:t>
      </w:r>
      <w:r w:rsidR="00773690" w:rsidRPr="00773690">
        <w:rPr>
          <w:rFonts w:asciiTheme="majorHAnsi" w:hAnsiTheme="majorHAnsi"/>
        </w:rPr>
        <w:t xml:space="preserve">a </w:t>
      </w:r>
      <w:r w:rsidRPr="00773690">
        <w:rPr>
          <w:rFonts w:asciiTheme="majorHAnsi" w:hAnsiTheme="majorHAnsi"/>
        </w:rPr>
        <w:t xml:space="preserve">stock-recruit analysis of 1983–1996 brood years and range of escapements expected to produce at least 80% of </w:t>
      </w:r>
      <w:r w:rsidR="008A5AF7" w:rsidRPr="00773690">
        <w:rPr>
          <w:rFonts w:asciiTheme="majorHAnsi" w:hAnsiTheme="majorHAnsi"/>
        </w:rPr>
        <w:t xml:space="preserve">maximum sustained yield </w:t>
      </w:r>
      <w:r w:rsidR="008A5AF7">
        <w:rPr>
          <w:rFonts w:asciiTheme="majorHAnsi" w:hAnsiTheme="majorHAnsi"/>
        </w:rPr>
        <w:t>(</w:t>
      </w:r>
      <w:r w:rsidRPr="00773690">
        <w:rPr>
          <w:rFonts w:asciiTheme="majorHAnsi" w:hAnsiTheme="majorHAnsi"/>
        </w:rPr>
        <w:t>MSY</w:t>
      </w:r>
      <w:r w:rsidR="002B0F2C">
        <w:rPr>
          <w:rFonts w:asciiTheme="majorHAnsi" w:hAnsiTheme="majorHAnsi"/>
        </w:rPr>
        <w:t xml:space="preserve">) </w:t>
      </w:r>
      <w:r w:rsidR="00872864">
        <w:rPr>
          <w:rFonts w:asciiTheme="majorHAnsi" w:hAnsiTheme="majorHAnsi"/>
        </w:rPr>
        <w:t>(</w:t>
      </w:r>
      <w:r w:rsidRPr="00773690">
        <w:rPr>
          <w:rFonts w:asciiTheme="majorHAnsi" w:hAnsiTheme="majorHAnsi"/>
        </w:rPr>
        <w:t>Riffe and Clark 2003).</w:t>
      </w:r>
    </w:p>
    <w:p w:rsidR="00BD3BC8" w:rsidRPr="00773690" w:rsidRDefault="00BD3BC8" w:rsidP="009076FF">
      <w:pPr>
        <w:rPr>
          <w:rFonts w:asciiTheme="majorHAnsi" w:hAnsiTheme="majorHAnsi"/>
        </w:rPr>
      </w:pPr>
    </w:p>
    <w:p w:rsidR="00BD3BC8" w:rsidRPr="00773690" w:rsidRDefault="00F3521C" w:rsidP="009076FF">
      <w:pPr>
        <w:rPr>
          <w:rFonts w:asciiTheme="majorHAnsi" w:hAnsiTheme="majorHAnsi"/>
        </w:rPr>
      </w:pPr>
      <w:r w:rsidRPr="00773690">
        <w:rPr>
          <w:rFonts w:asciiTheme="majorHAnsi" w:hAnsiTheme="majorHAnsi"/>
        </w:rPr>
        <w:t>In the current an</w:t>
      </w:r>
      <w:r w:rsidR="00773690">
        <w:rPr>
          <w:rFonts w:asciiTheme="majorHAnsi" w:hAnsiTheme="majorHAnsi"/>
        </w:rPr>
        <w:t>alysis (Heinl et al. 2014</w:t>
      </w:r>
      <w:r w:rsidRPr="00773690">
        <w:rPr>
          <w:rFonts w:asciiTheme="majorHAnsi" w:hAnsiTheme="majorHAnsi"/>
        </w:rPr>
        <w:t xml:space="preserve"> </w:t>
      </w:r>
      <w:r w:rsidRPr="00773690">
        <w:rPr>
          <w:rFonts w:asciiTheme="majorHAnsi" w:hAnsiTheme="majorHAnsi"/>
          <w:i/>
        </w:rPr>
        <w:t xml:space="preserve">in </w:t>
      </w:r>
      <w:r w:rsidR="001441D3">
        <w:rPr>
          <w:rFonts w:asciiTheme="majorHAnsi" w:hAnsiTheme="majorHAnsi"/>
          <w:i/>
        </w:rPr>
        <w:t>prep.</w:t>
      </w:r>
      <w:r w:rsidRPr="00773690">
        <w:rPr>
          <w:rFonts w:asciiTheme="majorHAnsi" w:hAnsiTheme="majorHAnsi"/>
        </w:rPr>
        <w:t>), w</w:t>
      </w:r>
      <w:r w:rsidR="00BD3BC8" w:rsidRPr="00773690">
        <w:rPr>
          <w:rFonts w:asciiTheme="majorHAnsi" w:hAnsiTheme="majorHAnsi"/>
        </w:rPr>
        <w:t xml:space="preserve">e expanded the dataset to include brood years </w:t>
      </w:r>
      <w:r w:rsidRPr="00773690">
        <w:rPr>
          <w:rFonts w:asciiTheme="majorHAnsi" w:hAnsiTheme="majorHAnsi"/>
        </w:rPr>
        <w:t>1983</w:t>
      </w:r>
      <w:r w:rsidR="007E56B1">
        <w:rPr>
          <w:rFonts w:asciiTheme="majorHAnsi" w:hAnsiTheme="majorHAnsi"/>
        </w:rPr>
        <w:t>–</w:t>
      </w:r>
      <w:r w:rsidR="00BD3BC8" w:rsidRPr="00773690">
        <w:rPr>
          <w:rFonts w:asciiTheme="majorHAnsi" w:hAnsiTheme="majorHAnsi"/>
        </w:rPr>
        <w:t>2011 by updating harvest and weir escapement data. Weir counts in most years during 1984–2001 were truncated due to early weir removal (in late August).</w:t>
      </w:r>
      <w:r w:rsidR="00872864">
        <w:rPr>
          <w:rFonts w:asciiTheme="majorHAnsi" w:hAnsiTheme="majorHAnsi"/>
        </w:rPr>
        <w:t xml:space="preserve"> </w:t>
      </w:r>
      <w:r w:rsidR="00BD3BC8" w:rsidRPr="00773690">
        <w:rPr>
          <w:rFonts w:asciiTheme="majorHAnsi" w:hAnsiTheme="majorHAnsi"/>
        </w:rPr>
        <w:t xml:space="preserve">We expanded those counts by regressing cumulative escapement by date on cumulative total weir counts in 1983, 1995, and 2002–2013. We also gathered updated harvest data from the traditional mixed-stock District 11 fishery, and the Port </w:t>
      </w:r>
      <w:proofErr w:type="spellStart"/>
      <w:r w:rsidR="00BD3BC8" w:rsidRPr="00773690">
        <w:rPr>
          <w:rFonts w:asciiTheme="majorHAnsi" w:hAnsiTheme="majorHAnsi"/>
        </w:rPr>
        <w:t>Snettisham</w:t>
      </w:r>
      <w:proofErr w:type="spellEnd"/>
      <w:r w:rsidR="00BD3BC8" w:rsidRPr="00773690">
        <w:rPr>
          <w:rFonts w:asciiTheme="majorHAnsi" w:hAnsiTheme="majorHAnsi"/>
        </w:rPr>
        <w:t xml:space="preserve"> common property terminal and DIPAC cost-recovery fisheries in District 11.</w:t>
      </w:r>
    </w:p>
    <w:p w:rsidR="00F3521C" w:rsidRPr="00773690" w:rsidRDefault="00F3521C" w:rsidP="009076FF">
      <w:pPr>
        <w:rPr>
          <w:rFonts w:asciiTheme="majorHAnsi" w:hAnsiTheme="majorHAnsi"/>
        </w:rPr>
      </w:pPr>
    </w:p>
    <w:p w:rsidR="00F3521C" w:rsidRPr="00773690" w:rsidRDefault="00F3521C" w:rsidP="009076FF">
      <w:pPr>
        <w:rPr>
          <w:rFonts w:asciiTheme="majorHAnsi" w:eastAsia="Times New Roman" w:hAnsiTheme="majorHAnsi" w:cs="Times New Roman"/>
        </w:rPr>
      </w:pPr>
      <w:r w:rsidRPr="00773690">
        <w:rPr>
          <w:rFonts w:asciiTheme="majorHAnsi" w:hAnsiTheme="majorHAnsi"/>
        </w:rPr>
        <w:t xml:space="preserve">Instead of using a traditional simple linear regression model, </w:t>
      </w:r>
      <w:proofErr w:type="spellStart"/>
      <w:r w:rsidRPr="00773690">
        <w:rPr>
          <w:rFonts w:asciiTheme="majorHAnsi" w:eastAsia="Times New Roman" w:hAnsiTheme="majorHAnsi" w:cs="Times New Roman"/>
        </w:rPr>
        <w:t>Speel</w:t>
      </w:r>
      <w:proofErr w:type="spellEnd"/>
      <w:r w:rsidRPr="00773690">
        <w:rPr>
          <w:rFonts w:asciiTheme="majorHAnsi" w:eastAsia="Times New Roman" w:hAnsiTheme="majorHAnsi" w:cs="Times New Roman"/>
        </w:rPr>
        <w:t xml:space="preserve"> Lake sockeye salmon </w:t>
      </w:r>
      <w:proofErr w:type="spellStart"/>
      <w:r w:rsidRPr="00773690">
        <w:rPr>
          <w:rFonts w:asciiTheme="majorHAnsi" w:eastAsia="Times New Roman" w:hAnsiTheme="majorHAnsi" w:cs="Times New Roman"/>
        </w:rPr>
        <w:t>spawner</w:t>
      </w:r>
      <w:proofErr w:type="spellEnd"/>
      <w:r w:rsidRPr="00773690">
        <w:rPr>
          <w:rFonts w:asciiTheme="majorHAnsi" w:eastAsia="Times New Roman" w:hAnsiTheme="majorHAnsi" w:cs="Times New Roman"/>
        </w:rPr>
        <w:t xml:space="preserve">-recruit data were analyzed using a Bayesian age-structured state-space model to assess the </w:t>
      </w:r>
      <w:proofErr w:type="gramStart"/>
      <w:r w:rsidRPr="00773690">
        <w:rPr>
          <w:rFonts w:asciiTheme="majorHAnsi" w:eastAsia="Times New Roman" w:hAnsiTheme="majorHAnsi" w:cs="Times New Roman"/>
        </w:rPr>
        <w:t>uncertainty</w:t>
      </w:r>
      <w:proofErr w:type="gramEnd"/>
      <w:r w:rsidRPr="00773690">
        <w:rPr>
          <w:rFonts w:asciiTheme="majorHAnsi" w:eastAsia="Times New Roman" w:hAnsiTheme="majorHAnsi" w:cs="Times New Roman"/>
        </w:rPr>
        <w:t xml:space="preserve"> introduced into </w:t>
      </w:r>
      <w:r w:rsidRPr="00773690">
        <w:rPr>
          <w:rFonts w:asciiTheme="majorHAnsi" w:hAnsiTheme="majorHAnsi"/>
        </w:rPr>
        <w:t>the estimated spawning size that produces MSY</w:t>
      </w:r>
      <w:r w:rsidR="00037CE5">
        <w:rPr>
          <w:rFonts w:asciiTheme="majorHAnsi" w:hAnsiTheme="majorHAnsi"/>
        </w:rPr>
        <w:t xml:space="preserve"> (</w:t>
      </w:r>
      <w:r w:rsidR="00037CE5" w:rsidRPr="00773690">
        <w:rPr>
          <w:rFonts w:asciiTheme="majorHAnsi" w:eastAsia="Times New Roman" w:hAnsiTheme="majorHAnsi" w:cs="Times New Roman"/>
          <w:i/>
        </w:rPr>
        <w:t>S</w:t>
      </w:r>
      <w:r w:rsidR="00037CE5" w:rsidRPr="00773690">
        <w:rPr>
          <w:rFonts w:asciiTheme="majorHAnsi" w:eastAsia="Times New Roman" w:hAnsiTheme="majorHAnsi" w:cs="Times New Roman"/>
          <w:vertAlign w:val="subscript"/>
        </w:rPr>
        <w:t>MSY</w:t>
      </w:r>
      <w:r w:rsidR="00037CE5">
        <w:rPr>
          <w:rFonts w:asciiTheme="majorHAnsi" w:eastAsia="Times New Roman" w:hAnsiTheme="majorHAnsi" w:cs="Times New Roman"/>
        </w:rPr>
        <w:t>)</w:t>
      </w:r>
      <w:r w:rsidRPr="00773690">
        <w:rPr>
          <w:rFonts w:asciiTheme="majorHAnsi" w:hAnsiTheme="majorHAnsi"/>
        </w:rPr>
        <w:t>,</w:t>
      </w:r>
      <w:r w:rsidRPr="00773690">
        <w:rPr>
          <w:rFonts w:asciiTheme="majorHAnsi" w:eastAsia="Times New Roman" w:hAnsiTheme="majorHAnsi" w:cs="Times New Roman"/>
        </w:rPr>
        <w:t xml:space="preserve"> due to the following factors</w:t>
      </w:r>
      <w:r w:rsidR="001955D1">
        <w:rPr>
          <w:rFonts w:asciiTheme="majorHAnsi" w:eastAsia="Times New Roman" w:hAnsiTheme="majorHAnsi" w:cs="Times New Roman"/>
        </w:rPr>
        <w:t>:</w:t>
      </w:r>
    </w:p>
    <w:p w:rsidR="00F3521C" w:rsidRPr="00773690" w:rsidRDefault="00F3521C" w:rsidP="009076FF">
      <w:pPr>
        <w:rPr>
          <w:rFonts w:asciiTheme="majorHAnsi" w:eastAsia="Times New Roman" w:hAnsiTheme="majorHAnsi" w:cs="Times New Roman"/>
        </w:rPr>
      </w:pPr>
    </w:p>
    <w:p w:rsidR="00F3521C" w:rsidRPr="00F3521C" w:rsidRDefault="00F3521C" w:rsidP="009076FF">
      <w:pPr>
        <w:numPr>
          <w:ilvl w:val="0"/>
          <w:numId w:val="1"/>
        </w:numPr>
        <w:tabs>
          <w:tab w:val="left" w:pos="900"/>
        </w:tabs>
        <w:spacing w:after="120"/>
        <w:contextualSpacing/>
        <w:rPr>
          <w:rFonts w:asciiTheme="majorHAnsi" w:eastAsia="Times New Roman" w:hAnsiTheme="majorHAnsi" w:cs="Times New Roman"/>
        </w:rPr>
      </w:pPr>
      <w:r w:rsidRPr="00F3521C">
        <w:rPr>
          <w:rFonts w:asciiTheme="majorHAnsi" w:eastAsia="Times New Roman" w:hAnsiTheme="majorHAnsi" w:cs="Times New Roman"/>
        </w:rPr>
        <w:t>The truncation of weir counts that were expanded based on regressing cumulative</w:t>
      </w:r>
    </w:p>
    <w:p w:rsidR="00F3521C" w:rsidRPr="00F3521C" w:rsidRDefault="00F25581" w:rsidP="002B0F2C">
      <w:pPr>
        <w:tabs>
          <w:tab w:val="left" w:pos="900"/>
        </w:tabs>
        <w:ind w:left="792"/>
        <w:contextualSpacing/>
        <w:rPr>
          <w:rFonts w:asciiTheme="majorHAnsi" w:eastAsia="Times New Roman" w:hAnsiTheme="majorHAnsi" w:cs="Times New Roman"/>
        </w:rPr>
      </w:pPr>
      <w:proofErr w:type="gramStart"/>
      <w:r w:rsidRPr="00773690">
        <w:rPr>
          <w:rFonts w:asciiTheme="majorHAnsi" w:eastAsia="Times New Roman" w:hAnsiTheme="majorHAnsi" w:cs="Times New Roman"/>
        </w:rPr>
        <w:t>escapement</w:t>
      </w:r>
      <w:proofErr w:type="gramEnd"/>
      <w:r w:rsidR="00F3521C" w:rsidRPr="00F3521C">
        <w:rPr>
          <w:rFonts w:asciiTheme="majorHAnsi" w:eastAsia="Times New Roman" w:hAnsiTheme="majorHAnsi" w:cs="Times New Roman"/>
        </w:rPr>
        <w:t xml:space="preserve"> by date on cumulative total weir counts in 1983, 1995, and 2002–2013; potential for large measurement error in the spawning escapement counts</w:t>
      </w:r>
      <w:r w:rsidR="007E56B1">
        <w:rPr>
          <w:rFonts w:asciiTheme="majorHAnsi" w:eastAsia="Times New Roman" w:hAnsiTheme="majorHAnsi" w:cs="Times New Roman"/>
        </w:rPr>
        <w:t>.</w:t>
      </w:r>
    </w:p>
    <w:p w:rsidR="007E56B1" w:rsidRDefault="00F3521C" w:rsidP="002B0F2C">
      <w:pPr>
        <w:tabs>
          <w:tab w:val="left" w:pos="900"/>
        </w:tabs>
        <w:ind w:left="1339" w:hanging="907"/>
        <w:rPr>
          <w:rFonts w:asciiTheme="majorHAnsi" w:eastAsia="Times New Roman" w:hAnsiTheme="majorHAnsi" w:cs="Times New Roman"/>
        </w:rPr>
      </w:pPr>
      <w:r w:rsidRPr="00F3521C">
        <w:rPr>
          <w:rFonts w:asciiTheme="majorHAnsi" w:eastAsia="Times New Roman" w:hAnsiTheme="majorHAnsi" w:cs="Times New Roman"/>
        </w:rPr>
        <w:t>(2)</w:t>
      </w:r>
      <w:r w:rsidRPr="00F3521C">
        <w:rPr>
          <w:rFonts w:asciiTheme="majorHAnsi" w:eastAsia="Times New Roman" w:hAnsiTheme="majorHAnsi" w:cs="Times New Roman"/>
        </w:rPr>
        <w:tab/>
        <w:t>Missing 1993 and 1994 escapements.</w:t>
      </w:r>
    </w:p>
    <w:p w:rsidR="00F3521C" w:rsidRPr="00F3521C" w:rsidRDefault="00F3521C" w:rsidP="002B0F2C">
      <w:pPr>
        <w:tabs>
          <w:tab w:val="left" w:pos="900"/>
        </w:tabs>
        <w:ind w:left="1339" w:hanging="907"/>
        <w:rPr>
          <w:rFonts w:asciiTheme="majorHAnsi" w:eastAsia="Times New Roman" w:hAnsiTheme="majorHAnsi" w:cs="Times New Roman"/>
        </w:rPr>
      </w:pPr>
      <w:r w:rsidRPr="00F3521C">
        <w:rPr>
          <w:rFonts w:asciiTheme="majorHAnsi" w:eastAsia="Times New Roman" w:hAnsiTheme="majorHAnsi" w:cs="Times New Roman"/>
        </w:rPr>
        <w:t>(3)</w:t>
      </w:r>
      <w:r w:rsidRPr="00F3521C">
        <w:rPr>
          <w:rFonts w:asciiTheme="majorHAnsi" w:eastAsia="Times New Roman" w:hAnsiTheme="majorHAnsi" w:cs="Times New Roman"/>
        </w:rPr>
        <w:tab/>
        <w:t>Missing harvest estimates in years 1983–1985, 1991, 2012</w:t>
      </w:r>
      <w:r w:rsidR="00A228F8">
        <w:rPr>
          <w:rFonts w:asciiTheme="majorHAnsi" w:eastAsia="Times New Roman" w:hAnsiTheme="majorHAnsi" w:cs="Times New Roman"/>
        </w:rPr>
        <w:t xml:space="preserve">, and </w:t>
      </w:r>
      <w:r w:rsidRPr="00F3521C">
        <w:rPr>
          <w:rFonts w:asciiTheme="majorHAnsi" w:eastAsia="Times New Roman" w:hAnsiTheme="majorHAnsi" w:cs="Times New Roman"/>
        </w:rPr>
        <w:t>2013.</w:t>
      </w:r>
    </w:p>
    <w:p w:rsidR="00F3521C" w:rsidRPr="00F3521C" w:rsidRDefault="00F3521C" w:rsidP="002B0F2C">
      <w:pPr>
        <w:tabs>
          <w:tab w:val="left" w:pos="900"/>
        </w:tabs>
        <w:ind w:left="1339" w:hanging="907"/>
        <w:rPr>
          <w:rFonts w:asciiTheme="majorHAnsi" w:eastAsia="Times New Roman" w:hAnsiTheme="majorHAnsi" w:cs="Times New Roman"/>
        </w:rPr>
      </w:pPr>
      <w:r w:rsidRPr="00F3521C">
        <w:rPr>
          <w:rFonts w:asciiTheme="majorHAnsi" w:eastAsia="Times New Roman" w:hAnsiTheme="majorHAnsi" w:cs="Times New Roman"/>
        </w:rPr>
        <w:t>(4)</w:t>
      </w:r>
      <w:r w:rsidRPr="00F3521C">
        <w:rPr>
          <w:rFonts w:asciiTheme="majorHAnsi" w:eastAsia="Times New Roman" w:hAnsiTheme="majorHAnsi" w:cs="Times New Roman"/>
        </w:rPr>
        <w:tab/>
        <w:t>1988 escapement was very small.</w:t>
      </w:r>
    </w:p>
    <w:p w:rsidR="00F3521C" w:rsidRPr="00773690" w:rsidRDefault="00F3521C" w:rsidP="009076FF">
      <w:pPr>
        <w:rPr>
          <w:rFonts w:asciiTheme="majorHAnsi" w:hAnsiTheme="majorHAnsi"/>
        </w:rPr>
      </w:pPr>
    </w:p>
    <w:p w:rsidR="0022052C" w:rsidRPr="00664FCE" w:rsidRDefault="0022052C" w:rsidP="009076FF">
      <w:pPr>
        <w:rPr>
          <w:rFonts w:asciiTheme="majorHAnsi" w:hAnsiTheme="majorHAnsi"/>
          <w:b/>
          <w:sz w:val="28"/>
          <w:szCs w:val="28"/>
        </w:rPr>
      </w:pPr>
      <w:r w:rsidRPr="00664FCE">
        <w:rPr>
          <w:rFonts w:asciiTheme="majorHAnsi" w:hAnsiTheme="majorHAnsi"/>
          <w:b/>
          <w:sz w:val="28"/>
          <w:szCs w:val="28"/>
        </w:rPr>
        <w:t xml:space="preserve">Escapement Goal Guidelines </w:t>
      </w:r>
    </w:p>
    <w:p w:rsidR="00773690" w:rsidRDefault="00F3521C" w:rsidP="009076FF">
      <w:pPr>
        <w:rPr>
          <w:rFonts w:asciiTheme="majorHAnsi" w:hAnsiTheme="majorHAnsi"/>
        </w:rPr>
      </w:pPr>
      <w:r w:rsidRPr="00773690">
        <w:rPr>
          <w:rFonts w:asciiTheme="majorHAnsi" w:hAnsiTheme="majorHAnsi"/>
        </w:rPr>
        <w:t xml:space="preserve">Compared to the traditional linear regression point estimates, posterior medians </w:t>
      </w:r>
      <w:r w:rsidR="00773690">
        <w:rPr>
          <w:rFonts w:asciiTheme="majorHAnsi" w:hAnsiTheme="majorHAnsi"/>
        </w:rPr>
        <w:t xml:space="preserve">(output) </w:t>
      </w:r>
      <w:r w:rsidRPr="00773690">
        <w:rPr>
          <w:rFonts w:asciiTheme="majorHAnsi" w:hAnsiTheme="majorHAnsi"/>
        </w:rPr>
        <w:t xml:space="preserve">from the state-space model are less biased and interval estimates have better coverage of </w:t>
      </w:r>
      <w:r w:rsidRPr="00773690">
        <w:rPr>
          <w:rFonts w:asciiTheme="majorHAnsi" w:hAnsiTheme="majorHAnsi"/>
          <w:i/>
        </w:rPr>
        <w:t>S</w:t>
      </w:r>
      <w:r w:rsidRPr="00773690">
        <w:rPr>
          <w:rFonts w:asciiTheme="majorHAnsi" w:hAnsiTheme="majorHAnsi"/>
          <w:vertAlign w:val="subscript"/>
        </w:rPr>
        <w:t>MSY</w:t>
      </w:r>
      <w:r w:rsidRPr="00773690">
        <w:rPr>
          <w:rFonts w:asciiTheme="majorHAnsi" w:hAnsiTheme="majorHAnsi"/>
        </w:rPr>
        <w:t>.</w:t>
      </w:r>
      <w:r w:rsidR="00773690">
        <w:rPr>
          <w:rFonts w:asciiTheme="majorHAnsi" w:hAnsiTheme="majorHAnsi"/>
        </w:rPr>
        <w:t xml:space="preserve"> </w:t>
      </w:r>
      <w:r w:rsidRPr="00773690">
        <w:rPr>
          <w:rFonts w:asciiTheme="majorHAnsi" w:hAnsiTheme="majorHAnsi"/>
        </w:rPr>
        <w:t xml:space="preserve">Based on the </w:t>
      </w:r>
      <w:r w:rsidR="008B0077" w:rsidRPr="00773690">
        <w:rPr>
          <w:rFonts w:asciiTheme="majorHAnsi" w:hAnsiTheme="majorHAnsi"/>
        </w:rPr>
        <w:t xml:space="preserve">data (Table 1) and figures </w:t>
      </w:r>
      <w:r w:rsidR="00B701E4">
        <w:rPr>
          <w:rFonts w:asciiTheme="majorHAnsi" w:hAnsiTheme="majorHAnsi"/>
        </w:rPr>
        <w:t>(Figures 1-2</w:t>
      </w:r>
      <w:r w:rsidR="008B0077" w:rsidRPr="00773690">
        <w:rPr>
          <w:rFonts w:asciiTheme="majorHAnsi" w:hAnsiTheme="majorHAnsi"/>
        </w:rPr>
        <w:t xml:space="preserve">) </w:t>
      </w:r>
      <w:r w:rsidR="009076FF">
        <w:rPr>
          <w:rFonts w:asciiTheme="majorHAnsi" w:hAnsiTheme="majorHAnsi"/>
        </w:rPr>
        <w:t xml:space="preserve">from the </w:t>
      </w:r>
      <w:r w:rsidRPr="00773690">
        <w:rPr>
          <w:rFonts w:asciiTheme="majorHAnsi" w:hAnsiTheme="majorHAnsi"/>
        </w:rPr>
        <w:t>outp</w:t>
      </w:r>
      <w:r w:rsidR="009076FF">
        <w:rPr>
          <w:rFonts w:asciiTheme="majorHAnsi" w:hAnsiTheme="majorHAnsi"/>
        </w:rPr>
        <w:t>ut of</w:t>
      </w:r>
      <w:r w:rsidR="008B0077" w:rsidRPr="00773690">
        <w:rPr>
          <w:rFonts w:asciiTheme="majorHAnsi" w:hAnsiTheme="majorHAnsi"/>
        </w:rPr>
        <w:t xml:space="preserve"> the state-space model, we have decided on a few escapement goal options to discuss</w:t>
      </w:r>
      <w:r w:rsidR="00037CE5">
        <w:rPr>
          <w:rFonts w:asciiTheme="majorHAnsi" w:hAnsiTheme="majorHAnsi"/>
        </w:rPr>
        <w:t xml:space="preserve"> (Table 2)</w:t>
      </w:r>
      <w:r w:rsidR="00773690">
        <w:rPr>
          <w:rFonts w:asciiTheme="majorHAnsi" w:hAnsiTheme="majorHAnsi"/>
        </w:rPr>
        <w:t>.</w:t>
      </w:r>
      <w:r w:rsidR="009076FF">
        <w:rPr>
          <w:rFonts w:asciiTheme="majorHAnsi" w:hAnsiTheme="majorHAnsi"/>
        </w:rPr>
        <w:t xml:space="preserve"> First, though, a few guidelines that we need to follow.</w:t>
      </w:r>
    </w:p>
    <w:p w:rsidR="0008751A" w:rsidRPr="00773690" w:rsidRDefault="00620E68" w:rsidP="009076FF">
      <w:pPr>
        <w:rPr>
          <w:rFonts w:asciiTheme="majorHAnsi" w:hAnsiTheme="majorHAnsi"/>
        </w:rPr>
      </w:pPr>
      <w:r w:rsidRPr="00773690">
        <w:rPr>
          <w:rFonts w:asciiTheme="majorHAnsi" w:hAnsiTheme="majorHAnsi"/>
        </w:rPr>
        <w:t xml:space="preserve"> </w:t>
      </w:r>
    </w:p>
    <w:p w:rsidR="0008751A" w:rsidRPr="009076FF" w:rsidRDefault="009076FF" w:rsidP="009076FF">
      <w:pPr>
        <w:rPr>
          <w:rFonts w:asciiTheme="majorHAnsi" w:hAnsiTheme="majorHAnsi"/>
          <w:i/>
        </w:rPr>
      </w:pPr>
      <w:r w:rsidRPr="009076FF">
        <w:rPr>
          <w:rFonts w:asciiTheme="majorHAnsi" w:hAnsiTheme="majorHAnsi"/>
          <w:i/>
        </w:rPr>
        <w:t>Guidelines:</w:t>
      </w:r>
    </w:p>
    <w:p w:rsidR="00620E68" w:rsidRPr="00773690" w:rsidRDefault="00620E68" w:rsidP="009076FF">
      <w:pPr>
        <w:rPr>
          <w:rFonts w:asciiTheme="majorHAnsi" w:hAnsiTheme="majorHAnsi"/>
        </w:rPr>
      </w:pPr>
    </w:p>
    <w:p w:rsidR="00773690" w:rsidRPr="00664FCE" w:rsidRDefault="00773690" w:rsidP="00990D8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73690">
        <w:rPr>
          <w:rFonts w:asciiTheme="majorHAnsi" w:hAnsiTheme="majorHAnsi"/>
        </w:rPr>
        <w:t>The state space model’s output provides general guidelines to help determine the escapement goals. We can make the goal and then find a way to support it with the figures, as long is the goal is reasonable and the stock ca</w:t>
      </w:r>
      <w:r w:rsidR="009076FF">
        <w:rPr>
          <w:rFonts w:asciiTheme="majorHAnsi" w:hAnsiTheme="majorHAnsi"/>
        </w:rPr>
        <w:t xml:space="preserve">n be realistically managed for </w:t>
      </w:r>
      <w:r w:rsidRPr="00773690">
        <w:rPr>
          <w:rFonts w:asciiTheme="majorHAnsi" w:hAnsiTheme="majorHAnsi"/>
        </w:rPr>
        <w:t>under the escapement goal range.</w:t>
      </w:r>
      <w:r w:rsidR="00990D8B" w:rsidRPr="00990D8B">
        <w:rPr>
          <w:rFonts w:asciiTheme="majorHAnsi" w:hAnsiTheme="majorHAnsi"/>
        </w:rPr>
        <w:t xml:space="preserve"> </w:t>
      </w:r>
    </w:p>
    <w:p w:rsidR="0008751A" w:rsidRPr="00773690" w:rsidRDefault="009076FF" w:rsidP="009076F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believe t</w:t>
      </w:r>
      <w:r w:rsidR="00F25581" w:rsidRPr="00773690">
        <w:rPr>
          <w:rFonts w:asciiTheme="majorHAnsi" w:hAnsiTheme="majorHAnsi"/>
        </w:rPr>
        <w:t xml:space="preserve">here is no reason to </w:t>
      </w:r>
      <w:r w:rsidR="00F25581" w:rsidRPr="00773690">
        <w:rPr>
          <w:rFonts w:asciiTheme="majorHAnsi" w:hAnsiTheme="majorHAnsi"/>
          <w:i/>
        </w:rPr>
        <w:t>increase</w:t>
      </w:r>
      <w:r w:rsidR="00F25581" w:rsidRPr="00773690">
        <w:rPr>
          <w:rFonts w:asciiTheme="majorHAnsi" w:hAnsiTheme="majorHAnsi"/>
        </w:rPr>
        <w:t xml:space="preserve"> </w:t>
      </w:r>
      <w:r w:rsidR="0008751A" w:rsidRPr="00773690">
        <w:rPr>
          <w:rFonts w:asciiTheme="majorHAnsi" w:hAnsiTheme="majorHAnsi"/>
        </w:rPr>
        <w:t>the escapement goal range of 4,000</w:t>
      </w:r>
      <w:r w:rsidR="007E56B1">
        <w:rPr>
          <w:rFonts w:asciiTheme="majorHAnsi" w:hAnsiTheme="majorHAnsi"/>
        </w:rPr>
        <w:t>–</w:t>
      </w:r>
      <w:r w:rsidR="0008751A" w:rsidRPr="00773690">
        <w:rPr>
          <w:rFonts w:asciiTheme="majorHAnsi" w:hAnsiTheme="majorHAnsi"/>
        </w:rPr>
        <w:t>13,000.</w:t>
      </w:r>
    </w:p>
    <w:p w:rsidR="00000888" w:rsidRPr="002B0F2C" w:rsidRDefault="0008751A" w:rsidP="002B0F2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73690">
        <w:rPr>
          <w:rFonts w:asciiTheme="majorHAnsi" w:hAnsiTheme="majorHAnsi"/>
        </w:rPr>
        <w:t>T</w:t>
      </w:r>
      <w:r w:rsidR="00F25581" w:rsidRPr="00773690">
        <w:rPr>
          <w:rFonts w:asciiTheme="majorHAnsi" w:hAnsiTheme="majorHAnsi"/>
        </w:rPr>
        <w:t>he current upper bound of 13,000 is too high.</w:t>
      </w:r>
      <w:r w:rsidR="00620E68" w:rsidRPr="00773690">
        <w:rPr>
          <w:rFonts w:asciiTheme="majorHAnsi" w:hAnsiTheme="majorHAnsi"/>
        </w:rPr>
        <w:t xml:space="preserve"> It should at the least be lower than </w:t>
      </w:r>
      <w:r w:rsidR="009076FF">
        <w:rPr>
          <w:rFonts w:asciiTheme="majorHAnsi" w:hAnsiTheme="majorHAnsi"/>
        </w:rPr>
        <w:t xml:space="preserve">equilibrium spawning abundance, where return exactly replaces </w:t>
      </w:r>
      <w:proofErr w:type="spellStart"/>
      <w:r w:rsidR="009076FF">
        <w:rPr>
          <w:rFonts w:asciiTheme="majorHAnsi" w:hAnsiTheme="majorHAnsi"/>
        </w:rPr>
        <w:t>spaw</w:t>
      </w:r>
      <w:r w:rsidR="007E56B1">
        <w:rPr>
          <w:rFonts w:asciiTheme="majorHAnsi" w:hAnsiTheme="majorHAnsi"/>
        </w:rPr>
        <w:t>n</w:t>
      </w:r>
      <w:r w:rsidR="009076FF">
        <w:rPr>
          <w:rFonts w:asciiTheme="majorHAnsi" w:hAnsiTheme="majorHAnsi"/>
        </w:rPr>
        <w:t>ers</w:t>
      </w:r>
      <w:proofErr w:type="spellEnd"/>
      <w:r w:rsidR="00037CE5">
        <w:rPr>
          <w:rFonts w:asciiTheme="majorHAnsi" w:hAnsiTheme="majorHAnsi"/>
        </w:rPr>
        <w:t xml:space="preserve"> (</w:t>
      </w:r>
      <w:r w:rsidR="00037CE5" w:rsidRPr="00773690">
        <w:rPr>
          <w:rFonts w:asciiTheme="majorHAnsi" w:hAnsiTheme="majorHAnsi"/>
        </w:rPr>
        <w:t>S</w:t>
      </w:r>
      <w:r w:rsidR="00037CE5" w:rsidRPr="00773690">
        <w:rPr>
          <w:rFonts w:asciiTheme="majorHAnsi" w:hAnsiTheme="majorHAnsi"/>
          <w:vertAlign w:val="subscript"/>
        </w:rPr>
        <w:t>EQ</w:t>
      </w:r>
      <w:r w:rsidR="00037CE5">
        <w:rPr>
          <w:rFonts w:asciiTheme="majorHAnsi" w:hAnsiTheme="majorHAnsi"/>
        </w:rPr>
        <w:t xml:space="preserve">), </w:t>
      </w:r>
      <w:proofErr w:type="gramStart"/>
      <w:r w:rsidR="00037CE5" w:rsidRPr="00773690">
        <w:rPr>
          <w:rFonts w:asciiTheme="majorHAnsi" w:hAnsiTheme="majorHAnsi"/>
        </w:rPr>
        <w:t>12,370</w:t>
      </w:r>
      <w:proofErr w:type="gramEnd"/>
      <w:r w:rsidR="00037CE5">
        <w:rPr>
          <w:rFonts w:asciiTheme="majorHAnsi" w:hAnsiTheme="majorHAnsi"/>
        </w:rPr>
        <w:t xml:space="preserve"> (Table 1).</w:t>
      </w:r>
    </w:p>
    <w:p w:rsidR="0008751A" w:rsidRPr="00773690" w:rsidRDefault="0008751A" w:rsidP="009076F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73690">
        <w:rPr>
          <w:rFonts w:asciiTheme="majorHAnsi" w:hAnsiTheme="majorHAnsi"/>
        </w:rPr>
        <w:t xml:space="preserve">The recommended goal should bracket </w:t>
      </w:r>
      <w:r w:rsidRPr="009076FF">
        <w:rPr>
          <w:rFonts w:asciiTheme="majorHAnsi" w:hAnsiTheme="majorHAnsi"/>
          <w:i/>
        </w:rPr>
        <w:t>S</w:t>
      </w:r>
      <w:r w:rsidRPr="00773690">
        <w:rPr>
          <w:rFonts w:asciiTheme="majorHAnsi" w:hAnsiTheme="majorHAnsi"/>
          <w:vertAlign w:val="subscript"/>
        </w:rPr>
        <w:t>MSY</w:t>
      </w:r>
      <w:r w:rsidRPr="00773690">
        <w:rPr>
          <w:rFonts w:asciiTheme="majorHAnsi" w:hAnsiTheme="majorHAnsi"/>
        </w:rPr>
        <w:t xml:space="preserve"> (4,390) and </w:t>
      </w:r>
      <w:r w:rsidR="008A5AF7">
        <w:rPr>
          <w:rFonts w:asciiTheme="majorHAnsi" w:hAnsiTheme="majorHAnsi"/>
        </w:rPr>
        <w:t>escapement leading to maximum production</w:t>
      </w:r>
      <w:r w:rsidR="008A5AF7" w:rsidRPr="009076FF">
        <w:rPr>
          <w:rFonts w:asciiTheme="majorHAnsi" w:hAnsiTheme="majorHAnsi"/>
          <w:i/>
        </w:rPr>
        <w:t xml:space="preserve"> </w:t>
      </w:r>
      <w:r w:rsidR="008A5AF7" w:rsidRPr="00AC580E">
        <w:rPr>
          <w:rFonts w:asciiTheme="majorHAnsi" w:hAnsiTheme="majorHAnsi"/>
        </w:rPr>
        <w:t>(</w:t>
      </w:r>
      <w:r w:rsidRPr="009076FF">
        <w:rPr>
          <w:rFonts w:asciiTheme="majorHAnsi" w:hAnsiTheme="majorHAnsi"/>
          <w:i/>
        </w:rPr>
        <w:t>S</w:t>
      </w:r>
      <w:r w:rsidRPr="00773690">
        <w:rPr>
          <w:rFonts w:asciiTheme="majorHAnsi" w:hAnsiTheme="majorHAnsi"/>
          <w:vertAlign w:val="subscript"/>
        </w:rPr>
        <w:t>MAX</w:t>
      </w:r>
      <w:r w:rsidR="002B0F2C" w:rsidRPr="002B0F2C">
        <w:rPr>
          <w:rFonts w:asciiTheme="majorHAnsi" w:hAnsiTheme="majorHAnsi"/>
        </w:rPr>
        <w:t>)</w:t>
      </w:r>
      <w:r w:rsidR="002B0F2C">
        <w:rPr>
          <w:rFonts w:asciiTheme="majorHAnsi" w:hAnsiTheme="majorHAnsi"/>
        </w:rPr>
        <w:t xml:space="preserve"> </w:t>
      </w:r>
      <w:r w:rsidRPr="00773690">
        <w:rPr>
          <w:rFonts w:asciiTheme="majorHAnsi" w:hAnsiTheme="majorHAnsi"/>
        </w:rPr>
        <w:t>6,068</w:t>
      </w:r>
      <w:r w:rsidR="00037CE5">
        <w:rPr>
          <w:rFonts w:asciiTheme="majorHAnsi" w:hAnsiTheme="majorHAnsi"/>
        </w:rPr>
        <w:t xml:space="preserve"> (Table 1).</w:t>
      </w:r>
    </w:p>
    <w:p w:rsidR="001D5274" w:rsidRPr="00664FCE" w:rsidRDefault="0008751A" w:rsidP="00E449EC">
      <w:pPr>
        <w:pStyle w:val="ListParagraph"/>
        <w:numPr>
          <w:ilvl w:val="0"/>
          <w:numId w:val="2"/>
        </w:numPr>
      </w:pPr>
      <w:r w:rsidRPr="00773690">
        <w:rPr>
          <w:rFonts w:asciiTheme="majorHAnsi" w:hAnsiTheme="majorHAnsi"/>
        </w:rPr>
        <w:lastRenderedPageBreak/>
        <w:t xml:space="preserve">The goal should be </w:t>
      </w:r>
      <w:r w:rsidR="009075E7">
        <w:rPr>
          <w:rFonts w:asciiTheme="majorHAnsi" w:hAnsiTheme="majorHAnsi"/>
        </w:rPr>
        <w:t>supported by information provided by the p</w:t>
      </w:r>
      <w:r w:rsidR="00AC580E">
        <w:rPr>
          <w:rFonts w:asciiTheme="majorHAnsi" w:hAnsiTheme="majorHAnsi"/>
        </w:rPr>
        <w:t xml:space="preserve">robability </w:t>
      </w:r>
      <w:r w:rsidRPr="00773690">
        <w:rPr>
          <w:rFonts w:asciiTheme="majorHAnsi" w:hAnsiTheme="majorHAnsi"/>
        </w:rPr>
        <w:t>profiles in figure</w:t>
      </w:r>
      <w:r w:rsidR="009076FF">
        <w:rPr>
          <w:rFonts w:asciiTheme="majorHAnsi" w:hAnsiTheme="majorHAnsi"/>
        </w:rPr>
        <w:t>s</w:t>
      </w:r>
      <w:r w:rsidRPr="00773690">
        <w:rPr>
          <w:rFonts w:asciiTheme="majorHAnsi" w:hAnsiTheme="majorHAnsi"/>
        </w:rPr>
        <w:t xml:space="preserve"> 1</w:t>
      </w:r>
      <w:r w:rsidR="00B701E4">
        <w:rPr>
          <w:rFonts w:asciiTheme="majorHAnsi" w:hAnsiTheme="majorHAnsi"/>
        </w:rPr>
        <w:t xml:space="preserve"> </w:t>
      </w:r>
      <w:r w:rsidR="00037CE5">
        <w:rPr>
          <w:rFonts w:asciiTheme="majorHAnsi" w:hAnsiTheme="majorHAnsi"/>
        </w:rPr>
        <w:t>and/</w:t>
      </w:r>
      <w:r w:rsidR="00B701E4">
        <w:rPr>
          <w:rFonts w:asciiTheme="majorHAnsi" w:hAnsiTheme="majorHAnsi"/>
        </w:rPr>
        <w:t>or 2</w:t>
      </w:r>
      <w:r w:rsidRPr="00773690">
        <w:rPr>
          <w:rFonts w:asciiTheme="majorHAnsi" w:hAnsiTheme="majorHAnsi"/>
        </w:rPr>
        <w:t>.</w:t>
      </w:r>
      <w:r w:rsidR="00AC580E" w:rsidRPr="00AC580E">
        <w:rPr>
          <w:rFonts w:asciiTheme="majorHAnsi" w:hAnsiTheme="majorHAnsi"/>
        </w:rPr>
        <w:t xml:space="preserve"> </w:t>
      </w:r>
      <w:r w:rsidR="00D621F7">
        <w:rPr>
          <w:rFonts w:asciiTheme="majorHAnsi" w:hAnsiTheme="majorHAnsi"/>
        </w:rPr>
        <w:t xml:space="preserve"> </w:t>
      </w:r>
    </w:p>
    <w:p w:rsidR="00264CBA" w:rsidRPr="00EE5BAF" w:rsidRDefault="00872864" w:rsidP="009076FF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are two t</w:t>
      </w:r>
      <w:r w:rsidR="0036716F">
        <w:rPr>
          <w:rFonts w:asciiTheme="majorHAnsi" w:hAnsiTheme="majorHAnsi"/>
        </w:rPr>
        <w:t xml:space="preserve">ypes of </w:t>
      </w:r>
      <w:r>
        <w:rPr>
          <w:rFonts w:asciiTheme="majorHAnsi" w:hAnsiTheme="majorHAnsi"/>
        </w:rPr>
        <w:t>p</w:t>
      </w:r>
      <w:r w:rsidR="009076FF" w:rsidRPr="00EE5BAF">
        <w:rPr>
          <w:rFonts w:asciiTheme="majorHAnsi" w:hAnsiTheme="majorHAnsi"/>
        </w:rPr>
        <w:t>robabilities</w:t>
      </w:r>
      <w:r>
        <w:rPr>
          <w:rFonts w:asciiTheme="majorHAnsi" w:hAnsiTheme="majorHAnsi"/>
        </w:rPr>
        <w:t xml:space="preserve"> to consider.</w:t>
      </w:r>
    </w:p>
    <w:p w:rsidR="00773690" w:rsidRPr="0013696F" w:rsidRDefault="0036716F" w:rsidP="0013696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first </w:t>
      </w:r>
      <w:proofErr w:type="gramStart"/>
      <w:r>
        <w:rPr>
          <w:rFonts w:asciiTheme="majorHAnsi" w:hAnsiTheme="majorHAnsi"/>
        </w:rPr>
        <w:t>type of probabilities are</w:t>
      </w:r>
      <w:proofErr w:type="gramEnd"/>
      <w:r>
        <w:rPr>
          <w:rFonts w:asciiTheme="majorHAnsi" w:hAnsiTheme="majorHAnsi"/>
        </w:rPr>
        <w:t xml:space="preserve"> represented by the </w:t>
      </w:r>
      <w:r w:rsidR="00990D8B">
        <w:rPr>
          <w:rFonts w:asciiTheme="majorHAnsi" w:hAnsiTheme="majorHAnsi"/>
        </w:rPr>
        <w:t>three curves in figure</w:t>
      </w:r>
      <w:r>
        <w:rPr>
          <w:rFonts w:asciiTheme="majorHAnsi" w:hAnsiTheme="majorHAnsi"/>
        </w:rPr>
        <w:t xml:space="preserve"> 1 and </w:t>
      </w:r>
      <w:r w:rsidR="00990D8B">
        <w:rPr>
          <w:rFonts w:asciiTheme="majorHAnsi" w:hAnsiTheme="majorHAnsi"/>
        </w:rPr>
        <w:t xml:space="preserve">three curves in figure </w:t>
      </w:r>
      <w:r>
        <w:rPr>
          <w:rFonts w:asciiTheme="majorHAnsi" w:hAnsiTheme="majorHAnsi"/>
        </w:rPr>
        <w:t xml:space="preserve">2.  Probability that a specified spawning abundance will achieve X% (80% or 90%) of MSY is the optimal yield profile. </w:t>
      </w:r>
      <w:r w:rsidR="00990D8B">
        <w:rPr>
          <w:rFonts w:asciiTheme="majorHAnsi" w:hAnsiTheme="majorHAnsi"/>
        </w:rPr>
        <w:t>P</w:t>
      </w:r>
      <w:r w:rsidR="00EE5BAF" w:rsidRPr="00AC580E">
        <w:rPr>
          <w:rFonts w:asciiTheme="majorHAnsi" w:hAnsiTheme="majorHAnsi"/>
        </w:rPr>
        <w:t>robability that a given escapement w</w:t>
      </w:r>
      <w:r w:rsidR="00037CE5">
        <w:rPr>
          <w:rFonts w:asciiTheme="majorHAnsi" w:hAnsiTheme="majorHAnsi"/>
        </w:rPr>
        <w:t>ill</w:t>
      </w:r>
      <w:r w:rsidR="00EE5BAF" w:rsidRPr="00AC580E">
        <w:rPr>
          <w:rFonts w:asciiTheme="majorHAnsi" w:hAnsiTheme="majorHAnsi"/>
        </w:rPr>
        <w:t xml:space="preserve"> produce an average recruitment that exceeds X% </w:t>
      </w:r>
      <w:r>
        <w:rPr>
          <w:rFonts w:asciiTheme="majorHAnsi" w:hAnsiTheme="majorHAnsi"/>
        </w:rPr>
        <w:t xml:space="preserve">(80%or 90%) </w:t>
      </w:r>
      <w:r w:rsidR="00EE5BAF" w:rsidRPr="00AC580E">
        <w:rPr>
          <w:rFonts w:asciiTheme="majorHAnsi" w:hAnsiTheme="majorHAnsi"/>
        </w:rPr>
        <w:t>of maximum recruitment</w:t>
      </w:r>
      <w:r>
        <w:rPr>
          <w:rFonts w:asciiTheme="majorHAnsi" w:hAnsiTheme="majorHAnsi"/>
        </w:rPr>
        <w:t xml:space="preserve"> is the optimal recruitment profile</w:t>
      </w:r>
      <w:r w:rsidR="00EE5BAF" w:rsidRPr="00AC580E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P</w:t>
      </w:r>
      <w:r w:rsidR="001D5274" w:rsidRPr="00AC580E">
        <w:rPr>
          <w:rFonts w:asciiTheme="majorHAnsi" w:hAnsiTheme="majorHAnsi"/>
        </w:rPr>
        <w:t xml:space="preserve">robability that reducing the escapement to a specified abundance will result in less than </w:t>
      </w:r>
      <w:r>
        <w:rPr>
          <w:rFonts w:asciiTheme="majorHAnsi" w:hAnsiTheme="majorHAnsi"/>
        </w:rPr>
        <w:t xml:space="preserve">X% (80% or 90%) of </w:t>
      </w:r>
      <w:r w:rsidR="007D372B" w:rsidRPr="00AC580E">
        <w:rPr>
          <w:rFonts w:asciiTheme="majorHAnsi" w:hAnsiTheme="majorHAnsi"/>
        </w:rPr>
        <w:t>MSY</w:t>
      </w:r>
      <w:r>
        <w:rPr>
          <w:rFonts w:asciiTheme="majorHAnsi" w:hAnsiTheme="majorHAnsi"/>
        </w:rPr>
        <w:t xml:space="preserve"> is the overfishing profile</w:t>
      </w:r>
      <w:r w:rsidR="001D5274" w:rsidRPr="00AC580E">
        <w:rPr>
          <w:rFonts w:asciiTheme="majorHAnsi" w:hAnsiTheme="majorHAnsi"/>
        </w:rPr>
        <w:t xml:space="preserve">. </w:t>
      </w:r>
    </w:p>
    <w:p w:rsidR="00264CBA" w:rsidRDefault="00990D8B" w:rsidP="009076FF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second </w:t>
      </w:r>
      <w:proofErr w:type="gramStart"/>
      <w:r>
        <w:rPr>
          <w:rFonts w:asciiTheme="majorHAnsi" w:hAnsiTheme="majorHAnsi"/>
        </w:rPr>
        <w:t>type of probabilities are</w:t>
      </w:r>
      <w:proofErr w:type="gramEnd"/>
      <w:r w:rsidR="0036716F">
        <w:rPr>
          <w:rFonts w:asciiTheme="majorHAnsi" w:hAnsiTheme="majorHAnsi"/>
        </w:rPr>
        <w:t xml:space="preserve"> indirectly based on the </w:t>
      </w:r>
      <w:r>
        <w:rPr>
          <w:rFonts w:asciiTheme="majorHAnsi" w:hAnsiTheme="majorHAnsi"/>
        </w:rPr>
        <w:t>three curves in figure</w:t>
      </w:r>
      <w:r w:rsidR="0036716F">
        <w:rPr>
          <w:rFonts w:asciiTheme="majorHAnsi" w:hAnsiTheme="majorHAnsi"/>
        </w:rPr>
        <w:t xml:space="preserve"> 1 and </w:t>
      </w:r>
      <w:r>
        <w:rPr>
          <w:rFonts w:asciiTheme="majorHAnsi" w:hAnsiTheme="majorHAnsi"/>
        </w:rPr>
        <w:t xml:space="preserve">three curves in figure </w:t>
      </w:r>
      <w:r w:rsidR="0036716F">
        <w:rPr>
          <w:rFonts w:asciiTheme="majorHAnsi" w:hAnsiTheme="majorHAnsi"/>
        </w:rPr>
        <w:t>2. For example, if you want the p</w:t>
      </w:r>
      <w:r w:rsidR="00773690" w:rsidRPr="0013696F">
        <w:rPr>
          <w:rFonts w:asciiTheme="majorHAnsi" w:hAnsiTheme="majorHAnsi"/>
        </w:rPr>
        <w:t xml:space="preserve">robability of achieving 90% </w:t>
      </w:r>
      <w:r w:rsidR="007D372B" w:rsidRPr="0013696F">
        <w:rPr>
          <w:rFonts w:asciiTheme="majorHAnsi" w:hAnsiTheme="majorHAnsi"/>
        </w:rPr>
        <w:t>MSY</w:t>
      </w:r>
      <w:r w:rsidR="0036716F">
        <w:rPr>
          <w:rFonts w:asciiTheme="majorHAnsi" w:hAnsiTheme="majorHAnsi"/>
        </w:rPr>
        <w:t xml:space="preserve">, </w:t>
      </w:r>
      <w:r w:rsidR="00773690" w:rsidRPr="0013696F">
        <w:rPr>
          <w:rFonts w:asciiTheme="majorHAnsi" w:hAnsiTheme="majorHAnsi"/>
        </w:rPr>
        <w:t>you follow a point on the x axis (a possible escapement</w:t>
      </w:r>
      <w:r w:rsidR="0036716F">
        <w:rPr>
          <w:rFonts w:asciiTheme="majorHAnsi" w:hAnsiTheme="majorHAnsi"/>
        </w:rPr>
        <w:t xml:space="preserve"> value</w:t>
      </w:r>
      <w:r w:rsidR="00773690" w:rsidRPr="0013696F">
        <w:rPr>
          <w:rFonts w:asciiTheme="majorHAnsi" w:hAnsiTheme="majorHAnsi"/>
        </w:rPr>
        <w:t xml:space="preserve">) up to the </w:t>
      </w:r>
      <w:r w:rsidR="0036716F">
        <w:rPr>
          <w:rFonts w:asciiTheme="majorHAnsi" w:hAnsiTheme="majorHAnsi"/>
        </w:rPr>
        <w:t>optimal yield profile curve in figure 2 and</w:t>
      </w:r>
      <w:r w:rsidR="00264CBA" w:rsidRPr="00AC580E">
        <w:rPr>
          <w:rFonts w:asciiTheme="majorHAnsi" w:hAnsiTheme="majorHAnsi"/>
        </w:rPr>
        <w:t xml:space="preserve"> then over to the y-axis for the probability (%).</w:t>
      </w:r>
      <w:r w:rsidR="0036716F">
        <w:rPr>
          <w:rFonts w:asciiTheme="majorHAnsi" w:hAnsiTheme="majorHAnsi"/>
        </w:rPr>
        <w:t xml:space="preserve"> The same method is used for the overfishing </w:t>
      </w:r>
      <w:r w:rsidR="00872864">
        <w:rPr>
          <w:rFonts w:asciiTheme="majorHAnsi" w:hAnsiTheme="majorHAnsi"/>
        </w:rPr>
        <w:t>and optimal recruitment profiles</w:t>
      </w:r>
      <w:r w:rsidR="0036716F">
        <w:rPr>
          <w:rFonts w:asciiTheme="majorHAnsi" w:hAnsiTheme="majorHAnsi"/>
        </w:rPr>
        <w:t>.</w:t>
      </w:r>
    </w:p>
    <w:p w:rsidR="00E7718E" w:rsidRPr="00E449EC" w:rsidRDefault="00E7718E" w:rsidP="00E449E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We recommend using the 90% probability profiles (Figure 2) for the lower bound escapement goal because a</w:t>
      </w:r>
      <w:r w:rsidRPr="00773690">
        <w:rPr>
          <w:rFonts w:asciiTheme="majorHAnsi" w:hAnsiTheme="majorHAnsi"/>
        </w:rPr>
        <w:t xml:space="preserve">t the lower </w:t>
      </w:r>
      <w:r>
        <w:rPr>
          <w:rFonts w:asciiTheme="majorHAnsi" w:hAnsiTheme="majorHAnsi"/>
        </w:rPr>
        <w:t>bound</w:t>
      </w:r>
      <w:r w:rsidRPr="00773690">
        <w:rPr>
          <w:rFonts w:asciiTheme="majorHAnsi" w:hAnsiTheme="majorHAnsi"/>
        </w:rPr>
        <w:t xml:space="preserve">, the 90% </w:t>
      </w:r>
      <w:r>
        <w:rPr>
          <w:rFonts w:asciiTheme="majorHAnsi" w:hAnsiTheme="majorHAnsi"/>
        </w:rPr>
        <w:t xml:space="preserve">optimal yield </w:t>
      </w:r>
      <w:r w:rsidRPr="00773690">
        <w:rPr>
          <w:rFonts w:asciiTheme="majorHAnsi" w:hAnsiTheme="majorHAnsi"/>
        </w:rPr>
        <w:t xml:space="preserve">profiles are more conservative than the 80% </w:t>
      </w:r>
      <w:r>
        <w:rPr>
          <w:rFonts w:asciiTheme="majorHAnsi" w:hAnsiTheme="majorHAnsi"/>
        </w:rPr>
        <w:t xml:space="preserve">optimal yield </w:t>
      </w:r>
      <w:r w:rsidRPr="00773690">
        <w:rPr>
          <w:rFonts w:asciiTheme="majorHAnsi" w:hAnsiTheme="majorHAnsi"/>
        </w:rPr>
        <w:t>profiles (the lower bound escapement goal</w:t>
      </w:r>
      <w:r>
        <w:rPr>
          <w:rFonts w:asciiTheme="majorHAnsi" w:hAnsiTheme="majorHAnsi"/>
        </w:rPr>
        <w:t xml:space="preserve"> will be higher, thus more conservative, using the 90% optimal yield profile</w:t>
      </w:r>
      <w:r w:rsidRPr="0077369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or optimal recruitment </w:t>
      </w:r>
      <w:r w:rsidRPr="00773690">
        <w:rPr>
          <w:rFonts w:asciiTheme="majorHAnsi" w:hAnsiTheme="majorHAnsi"/>
        </w:rPr>
        <w:t>profile</w:t>
      </w:r>
      <w:r>
        <w:rPr>
          <w:rFonts w:asciiTheme="majorHAnsi" w:hAnsiTheme="majorHAnsi"/>
        </w:rPr>
        <w:t>).</w:t>
      </w:r>
    </w:p>
    <w:p w:rsidR="002654E2" w:rsidRDefault="002654E2" w:rsidP="002654E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73690">
        <w:rPr>
          <w:rFonts w:asciiTheme="majorHAnsi" w:hAnsiTheme="majorHAnsi"/>
        </w:rPr>
        <w:t xml:space="preserve">An extra margin on the upper bound </w:t>
      </w:r>
      <w:r w:rsidR="00037CE5">
        <w:rPr>
          <w:rFonts w:asciiTheme="majorHAnsi" w:hAnsiTheme="majorHAnsi"/>
        </w:rPr>
        <w:t xml:space="preserve">escapement goal </w:t>
      </w:r>
      <w:r w:rsidRPr="00773690">
        <w:rPr>
          <w:rFonts w:asciiTheme="majorHAnsi" w:hAnsiTheme="majorHAnsi"/>
        </w:rPr>
        <w:t xml:space="preserve">reflects uncertainty in past escapement size, the potential for high harvest rates, and the fact that we will not be able to estimate </w:t>
      </w:r>
      <w:r>
        <w:rPr>
          <w:rFonts w:asciiTheme="majorHAnsi" w:hAnsiTheme="majorHAnsi"/>
        </w:rPr>
        <w:t>harvest very well going forward.</w:t>
      </w:r>
    </w:p>
    <w:p w:rsidR="0022052C" w:rsidRPr="00664FCE" w:rsidRDefault="0022052C" w:rsidP="0022052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From 1983-2013, o</w:t>
      </w:r>
      <w:r w:rsidRPr="00664FCE">
        <w:rPr>
          <w:rFonts w:asciiTheme="majorHAnsi" w:hAnsiTheme="majorHAnsi"/>
        </w:rPr>
        <w:t>n average, there was only 2 days difference between when cumulative weir counts reac</w:t>
      </w:r>
      <w:r w:rsidR="00872864">
        <w:rPr>
          <w:rFonts w:asciiTheme="majorHAnsi" w:hAnsiTheme="majorHAnsi"/>
        </w:rPr>
        <w:t xml:space="preserve">hed 3,500 fish and 4,000 fish. </w:t>
      </w:r>
      <w:r w:rsidRPr="00664FCE">
        <w:rPr>
          <w:rFonts w:asciiTheme="majorHAnsi" w:hAnsiTheme="majorHAnsi"/>
        </w:rPr>
        <w:t>In 11 years the cumulative count actually reached 3,</w:t>
      </w:r>
      <w:r w:rsidR="00872864">
        <w:rPr>
          <w:rFonts w:asciiTheme="majorHAnsi" w:hAnsiTheme="majorHAnsi"/>
        </w:rPr>
        <w:t xml:space="preserve">500 and 4,000 on the same day. </w:t>
      </w:r>
      <w:r w:rsidRPr="00664FCE">
        <w:rPr>
          <w:rFonts w:asciiTheme="majorHAnsi" w:hAnsiTheme="majorHAnsi"/>
        </w:rPr>
        <w:t xml:space="preserve">So </w:t>
      </w:r>
      <w:r>
        <w:rPr>
          <w:rFonts w:asciiTheme="majorHAnsi" w:hAnsiTheme="majorHAnsi"/>
        </w:rPr>
        <w:t xml:space="preserve">a </w:t>
      </w:r>
      <w:r w:rsidRPr="00664FCE">
        <w:rPr>
          <w:rFonts w:asciiTheme="majorHAnsi" w:hAnsiTheme="majorHAnsi"/>
        </w:rPr>
        <w:t xml:space="preserve">change in the lower bound may not result in that much change in </w:t>
      </w:r>
      <w:r>
        <w:rPr>
          <w:rFonts w:asciiTheme="majorHAnsi" w:hAnsiTheme="majorHAnsi"/>
        </w:rPr>
        <w:t>timing of fisheries management.</w:t>
      </w:r>
    </w:p>
    <w:p w:rsidR="00872864" w:rsidRPr="00664FCE" w:rsidRDefault="00872864" w:rsidP="00664FCE">
      <w:pPr>
        <w:rPr>
          <w:rFonts w:asciiTheme="majorHAnsi" w:hAnsiTheme="majorHAnsi"/>
          <w:sz w:val="28"/>
          <w:szCs w:val="28"/>
        </w:rPr>
      </w:pPr>
    </w:p>
    <w:p w:rsidR="008F7F14" w:rsidRPr="00664FCE" w:rsidRDefault="0022052C" w:rsidP="009076FF">
      <w:pPr>
        <w:rPr>
          <w:rFonts w:asciiTheme="majorHAnsi" w:hAnsiTheme="majorHAnsi"/>
          <w:sz w:val="28"/>
          <w:szCs w:val="28"/>
        </w:rPr>
      </w:pPr>
      <w:r w:rsidRPr="00664FCE">
        <w:rPr>
          <w:rFonts w:asciiTheme="majorHAnsi" w:hAnsiTheme="majorHAnsi"/>
          <w:b/>
          <w:sz w:val="28"/>
          <w:szCs w:val="28"/>
        </w:rPr>
        <w:t>Tables and Figure</w:t>
      </w:r>
    </w:p>
    <w:p w:rsidR="008F7F14" w:rsidRPr="00773690" w:rsidRDefault="008F7F14" w:rsidP="009076FF">
      <w:pPr>
        <w:rPr>
          <w:rFonts w:asciiTheme="majorHAnsi" w:hAnsiTheme="majorHAnsi"/>
        </w:rPr>
      </w:pPr>
    </w:p>
    <w:p w:rsidR="00F3521C" w:rsidRPr="00F3521C" w:rsidRDefault="00F3521C" w:rsidP="009076FF">
      <w:pPr>
        <w:rPr>
          <w:rFonts w:asciiTheme="majorHAnsi" w:hAnsiTheme="majorHAnsi"/>
        </w:rPr>
      </w:pPr>
      <w:r w:rsidRPr="002654E2">
        <w:rPr>
          <w:rFonts w:asciiTheme="majorHAnsi" w:eastAsia="Times New Roman" w:hAnsiTheme="majorHAnsi" w:cs="Times New Roman"/>
          <w:b/>
        </w:rPr>
        <w:t xml:space="preserve">Table </w:t>
      </w:r>
      <w:r w:rsidR="008B0077" w:rsidRPr="002654E2">
        <w:rPr>
          <w:rFonts w:asciiTheme="majorHAnsi" w:eastAsia="Times New Roman" w:hAnsiTheme="majorHAnsi" w:cs="Times New Roman"/>
          <w:b/>
        </w:rPr>
        <w:t>1</w:t>
      </w:r>
      <w:r w:rsidRPr="002654E2">
        <w:rPr>
          <w:rFonts w:asciiTheme="majorHAnsi" w:eastAsia="Times New Roman" w:hAnsiTheme="majorHAnsi" w:cs="Times New Roman"/>
          <w:b/>
        </w:rPr>
        <w:t>.–</w:t>
      </w:r>
      <w:r w:rsidRPr="00F3521C">
        <w:rPr>
          <w:rFonts w:asciiTheme="majorHAnsi" w:eastAsia="Times New Roman" w:hAnsiTheme="majorHAnsi" w:cs="Times New Roman"/>
        </w:rPr>
        <w:t xml:space="preserve">Parameter estimates for the state-space model fitted to the </w:t>
      </w:r>
      <w:proofErr w:type="spellStart"/>
      <w:r w:rsidRPr="00F3521C">
        <w:rPr>
          <w:rFonts w:asciiTheme="majorHAnsi" w:eastAsia="Times New Roman" w:hAnsiTheme="majorHAnsi" w:cs="Times New Roman"/>
        </w:rPr>
        <w:t>Speel</w:t>
      </w:r>
      <w:proofErr w:type="spellEnd"/>
      <w:r w:rsidRPr="00F3521C">
        <w:rPr>
          <w:rFonts w:asciiTheme="majorHAnsi" w:eastAsia="Times New Roman" w:hAnsiTheme="majorHAnsi" w:cs="Times New Roman"/>
        </w:rPr>
        <w:t xml:space="preserve"> Lake sockeye salmon data for calendar years 1983–2013. Posterior medians are point estimates and the 2.5% and 97.5% credible percentiles define the 95% credible intervals for the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3521C" w:rsidRPr="00F3521C" w:rsidTr="00F3521C">
        <w:tc>
          <w:tcPr>
            <w:tcW w:w="1915" w:type="dxa"/>
            <w:tcBorders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Parameter</w:t>
            </w:r>
          </w:p>
        </w:tc>
        <w:tc>
          <w:tcPr>
            <w:tcW w:w="1915" w:type="dxa"/>
            <w:tcBorders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0.025 Percentile</w:t>
            </w:r>
          </w:p>
        </w:tc>
        <w:tc>
          <w:tcPr>
            <w:tcW w:w="1915" w:type="dxa"/>
            <w:tcBorders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Median</w:t>
            </w:r>
          </w:p>
        </w:tc>
        <w:tc>
          <w:tcPr>
            <w:tcW w:w="1915" w:type="dxa"/>
            <w:tcBorders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0.975 percentile</w:t>
            </w:r>
          </w:p>
        </w:tc>
        <w:tc>
          <w:tcPr>
            <w:tcW w:w="1916" w:type="dxa"/>
            <w:tcBorders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Posterior CV</w:t>
            </w:r>
          </w:p>
        </w:tc>
      </w:tr>
      <w:tr w:rsidR="00F3521C" w:rsidRPr="00F3521C" w:rsidTr="00F3521C"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i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S</w:t>
            </w:r>
            <w:r w:rsidRPr="00F3521C">
              <w:rPr>
                <w:rFonts w:asciiTheme="majorHAnsi" w:hAnsiTheme="majorHAnsi"/>
                <w:sz w:val="22"/>
                <w:szCs w:val="22"/>
                <w:vertAlign w:val="subscript"/>
              </w:rPr>
              <w:t>EQ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9,725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3521C">
              <w:rPr>
                <w:rFonts w:asciiTheme="majorHAnsi" w:hAnsiTheme="majorHAnsi"/>
                <w:b/>
                <w:sz w:val="22"/>
                <w:szCs w:val="22"/>
              </w:rPr>
              <w:t>12,370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18,910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0.42</w:t>
            </w:r>
          </w:p>
        </w:tc>
      </w:tr>
      <w:tr w:rsidR="00F3521C" w:rsidRPr="00F3521C" w:rsidTr="004B6CB8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S</w:t>
            </w:r>
            <w:r w:rsidRPr="00F3521C">
              <w:rPr>
                <w:rFonts w:asciiTheme="majorHAnsi" w:hAnsiTheme="majorHAnsi"/>
                <w:sz w:val="22"/>
                <w:szCs w:val="22"/>
                <w:vertAlign w:val="subscript"/>
              </w:rPr>
              <w:t>MAX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4,134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3521C">
              <w:rPr>
                <w:rFonts w:asciiTheme="majorHAnsi" w:hAnsiTheme="majorHAnsi"/>
                <w:b/>
                <w:sz w:val="22"/>
                <w:szCs w:val="22"/>
              </w:rPr>
              <w:t>6,068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12,070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0.50</w:t>
            </w:r>
          </w:p>
        </w:tc>
      </w:tr>
      <w:tr w:rsidR="00F3521C" w:rsidRPr="00F3521C" w:rsidTr="004B6CB8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i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S</w:t>
            </w:r>
            <w:r w:rsidRPr="00F3521C">
              <w:rPr>
                <w:rFonts w:asciiTheme="majorHAnsi" w:hAnsiTheme="majorHAnsi"/>
                <w:sz w:val="22"/>
                <w:szCs w:val="22"/>
                <w:vertAlign w:val="subscript"/>
              </w:rPr>
              <w:t>MSY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3,325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b/>
                <w:sz w:val="22"/>
                <w:szCs w:val="22"/>
              </w:rPr>
              <w:t>4,390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6,935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0.32</w:t>
            </w:r>
          </w:p>
        </w:tc>
      </w:tr>
      <w:tr w:rsidR="00F3521C" w:rsidRPr="00F3521C" w:rsidTr="00F25581"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i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U</w:t>
            </w:r>
            <w:r w:rsidRPr="00F3521C">
              <w:rPr>
                <w:rFonts w:asciiTheme="majorHAnsi" w:hAnsiTheme="majorHAnsi"/>
                <w:sz w:val="22"/>
                <w:szCs w:val="22"/>
                <w:vertAlign w:val="subscript"/>
              </w:rPr>
              <w:t>MSY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0.54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3521C">
              <w:rPr>
                <w:rFonts w:asciiTheme="majorHAnsi" w:hAnsiTheme="majorHAnsi"/>
                <w:b/>
                <w:sz w:val="22"/>
                <w:szCs w:val="22"/>
              </w:rPr>
              <w:t>0.73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0.86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21C" w:rsidRPr="00F3521C" w:rsidRDefault="00F3521C" w:rsidP="002654E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F3521C">
              <w:rPr>
                <w:rFonts w:asciiTheme="majorHAnsi" w:hAnsiTheme="majorHAnsi"/>
                <w:sz w:val="22"/>
                <w:szCs w:val="22"/>
              </w:rPr>
              <w:t>0.22</w:t>
            </w:r>
          </w:p>
        </w:tc>
      </w:tr>
    </w:tbl>
    <w:p w:rsidR="00F3521C" w:rsidRPr="00773690" w:rsidRDefault="00F3521C" w:rsidP="009076FF">
      <w:pPr>
        <w:rPr>
          <w:rFonts w:asciiTheme="majorHAnsi" w:hAnsiTheme="majorHAnsi"/>
        </w:rPr>
      </w:pPr>
    </w:p>
    <w:p w:rsidR="00872864" w:rsidRDefault="00872864" w:rsidP="00037CE5">
      <w:pPr>
        <w:rPr>
          <w:rFonts w:asciiTheme="majorHAnsi" w:eastAsia="Times New Roman" w:hAnsiTheme="majorHAnsi" w:cs="Times New Roman"/>
          <w:b/>
        </w:rPr>
      </w:pPr>
    </w:p>
    <w:p w:rsidR="00872864" w:rsidRDefault="00872864" w:rsidP="00037CE5">
      <w:pPr>
        <w:rPr>
          <w:rFonts w:asciiTheme="majorHAnsi" w:eastAsia="Times New Roman" w:hAnsiTheme="majorHAnsi" w:cs="Times New Roman"/>
          <w:b/>
        </w:rPr>
      </w:pPr>
    </w:p>
    <w:p w:rsidR="00872864" w:rsidRDefault="00872864" w:rsidP="00037CE5">
      <w:pPr>
        <w:rPr>
          <w:rFonts w:asciiTheme="majorHAnsi" w:eastAsia="Times New Roman" w:hAnsiTheme="majorHAnsi" w:cs="Times New Roman"/>
          <w:b/>
        </w:rPr>
      </w:pPr>
    </w:p>
    <w:p w:rsidR="00872864" w:rsidRDefault="00872864" w:rsidP="00037CE5">
      <w:pPr>
        <w:rPr>
          <w:rFonts w:asciiTheme="majorHAnsi" w:eastAsia="Times New Roman" w:hAnsiTheme="majorHAnsi" w:cs="Times New Roman"/>
          <w:b/>
        </w:rPr>
      </w:pPr>
    </w:p>
    <w:p w:rsidR="00872864" w:rsidRDefault="00872864" w:rsidP="00037CE5">
      <w:pPr>
        <w:rPr>
          <w:rFonts w:asciiTheme="majorHAnsi" w:eastAsia="Times New Roman" w:hAnsiTheme="majorHAnsi" w:cs="Times New Roman"/>
          <w:b/>
        </w:rPr>
      </w:pPr>
    </w:p>
    <w:p w:rsidR="00872864" w:rsidRDefault="00872864" w:rsidP="00037CE5">
      <w:pPr>
        <w:rPr>
          <w:rFonts w:asciiTheme="majorHAnsi" w:eastAsia="Times New Roman" w:hAnsiTheme="majorHAnsi" w:cs="Times New Roman"/>
          <w:b/>
        </w:rPr>
      </w:pPr>
    </w:p>
    <w:p w:rsidR="00CA5B4B" w:rsidRDefault="00CA5B4B" w:rsidP="00037CE5">
      <w:pPr>
        <w:rPr>
          <w:rFonts w:asciiTheme="majorHAnsi" w:eastAsia="Times New Roman" w:hAnsiTheme="majorHAnsi" w:cs="Times New Roman"/>
          <w:b/>
        </w:rPr>
      </w:pPr>
    </w:p>
    <w:p w:rsidR="00CA5B4B" w:rsidRDefault="00CA5B4B" w:rsidP="00037CE5">
      <w:pPr>
        <w:rPr>
          <w:rFonts w:asciiTheme="majorHAnsi" w:eastAsia="Times New Roman" w:hAnsiTheme="majorHAnsi" w:cs="Times New Roman"/>
          <w:b/>
        </w:rPr>
      </w:pPr>
    </w:p>
    <w:p w:rsidR="00E51684" w:rsidRDefault="00E51684" w:rsidP="00037CE5">
      <w:pPr>
        <w:rPr>
          <w:rFonts w:asciiTheme="majorHAnsi" w:eastAsia="Times New Roman" w:hAnsiTheme="majorHAnsi" w:cs="Times New Roman"/>
          <w:b/>
        </w:rPr>
      </w:pPr>
    </w:p>
    <w:p w:rsidR="00E449EC" w:rsidRDefault="00E449EC" w:rsidP="00037CE5">
      <w:pPr>
        <w:rPr>
          <w:rFonts w:asciiTheme="majorHAnsi" w:eastAsia="Times New Roman" w:hAnsiTheme="majorHAnsi" w:cs="Times New Roman"/>
          <w:b/>
        </w:rPr>
      </w:pPr>
    </w:p>
    <w:p w:rsidR="00037CE5" w:rsidRPr="00F3521C" w:rsidRDefault="00037CE5" w:rsidP="00037CE5">
      <w:pPr>
        <w:rPr>
          <w:rFonts w:asciiTheme="majorHAnsi" w:hAnsiTheme="majorHAnsi"/>
        </w:rPr>
      </w:pPr>
      <w:bookmarkStart w:id="0" w:name="_GoBack"/>
      <w:bookmarkEnd w:id="0"/>
      <w:r w:rsidRPr="002654E2">
        <w:rPr>
          <w:rFonts w:asciiTheme="majorHAnsi" w:eastAsia="Times New Roman" w:hAnsiTheme="majorHAnsi" w:cs="Times New Roman"/>
          <w:b/>
        </w:rPr>
        <w:t xml:space="preserve">Table </w:t>
      </w:r>
      <w:r>
        <w:rPr>
          <w:rFonts w:asciiTheme="majorHAnsi" w:eastAsia="Times New Roman" w:hAnsiTheme="majorHAnsi" w:cs="Times New Roman"/>
          <w:b/>
        </w:rPr>
        <w:t>2</w:t>
      </w:r>
      <w:r w:rsidRPr="002654E2">
        <w:rPr>
          <w:rFonts w:asciiTheme="majorHAnsi" w:eastAsia="Times New Roman" w:hAnsiTheme="majorHAnsi" w:cs="Times New Roman"/>
          <w:b/>
        </w:rPr>
        <w:t>.–</w:t>
      </w:r>
      <w:r w:rsidR="00124043" w:rsidRPr="00124043">
        <w:rPr>
          <w:rFonts w:asciiTheme="majorHAnsi" w:eastAsia="Times New Roman" w:hAnsiTheme="majorHAnsi" w:cs="Times New Roman"/>
          <w:sz w:val="18"/>
          <w:szCs w:val="18"/>
        </w:rPr>
        <w:t>Possible escapement goal options and the method used.</w:t>
      </w:r>
    </w:p>
    <w:p w:rsidR="008B0077" w:rsidRDefault="00CA5B4B" w:rsidP="009076FF">
      <w:pPr>
        <w:rPr>
          <w:rFonts w:asciiTheme="majorHAnsi" w:hAnsiTheme="majorHAnsi"/>
        </w:rPr>
      </w:pPr>
      <w:r w:rsidRPr="00CA5B4B">
        <w:rPr>
          <w:rFonts w:asciiTheme="majorHAnsi" w:hAnsiTheme="majorHAnsi"/>
        </w:rPr>
        <w:t xml:space="preserve"> </w:t>
      </w:r>
    </w:p>
    <w:p w:rsidR="00437A65" w:rsidRDefault="00E51684">
      <w:pPr>
        <w:spacing w:after="200" w:line="276" w:lineRule="auto"/>
        <w:rPr>
          <w:rFonts w:asciiTheme="majorHAnsi" w:hAnsiTheme="majorHAnsi"/>
        </w:rPr>
      </w:pPr>
      <w:r w:rsidRPr="00E51684">
        <w:rPr>
          <w:noProof/>
        </w:rPr>
        <w:drawing>
          <wp:inline distT="0" distB="0" distL="0" distR="0" wp14:anchorId="1E0004EB" wp14:editId="01C9710F">
            <wp:extent cx="5943600" cy="399678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A65">
        <w:rPr>
          <w:rFonts w:asciiTheme="majorHAnsi" w:hAnsiTheme="majorHAnsi"/>
        </w:rPr>
        <w:br w:type="page"/>
      </w:r>
    </w:p>
    <w:p w:rsidR="005154C7" w:rsidRDefault="005154C7">
      <w:pPr>
        <w:spacing w:after="200" w:line="276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lastRenderedPageBreak/>
        <w:t>Table</w:t>
      </w:r>
      <w:r w:rsidR="0004164C">
        <w:rPr>
          <w:rFonts w:asciiTheme="majorHAnsi" w:hAnsiTheme="majorHAnsi"/>
        </w:rPr>
        <w:t xml:space="preserve"> 3</w:t>
      </w:r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 Dates when cumulative counts of sockeye salmon at the </w:t>
      </w:r>
      <w:proofErr w:type="spellStart"/>
      <w:r>
        <w:rPr>
          <w:rFonts w:asciiTheme="majorHAnsi" w:hAnsiTheme="majorHAnsi"/>
        </w:rPr>
        <w:t>Speel</w:t>
      </w:r>
      <w:proofErr w:type="spellEnd"/>
      <w:r>
        <w:rPr>
          <w:rFonts w:asciiTheme="majorHAnsi" w:hAnsiTheme="majorHAnsi"/>
        </w:rPr>
        <w:t xml:space="preserve"> Lake weir reached 3,500 fish and 4,000 fish, 1983–2013.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41"/>
        <w:gridCol w:w="1584"/>
        <w:gridCol w:w="1584"/>
        <w:gridCol w:w="1385"/>
        <w:gridCol w:w="3882"/>
      </w:tblGrid>
      <w:tr w:rsidR="005154C7" w:rsidRPr="005154C7" w:rsidTr="005154C7">
        <w:trPr>
          <w:trHeight w:val="610"/>
        </w:trPr>
        <w:tc>
          <w:tcPr>
            <w:tcW w:w="59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Date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3,500</w:t>
            </w:r>
          </w:p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fish reached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Date</w:t>
            </w: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4,000</w:t>
            </w:r>
          </w:p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fish reached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Difference</w:t>
            </w:r>
          </w:p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In </w:t>
            </w: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202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Comment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21-Aug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21-Aug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13-Aug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13-Aug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12-Aug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Escapement &lt; 3,500 fish.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30-Jul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30-Jul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Escapement &lt; 3,500 fish.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Weir not operated.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Weir not operated.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Weir not installed until 1-Aug-1995.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17-Aug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22-Aug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13-Aug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11-Aug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23-Aug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11-Aug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25-Aug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29-Aug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Escapement &lt; 3,500 fish.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Escapement &lt; 3,500 fish.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4B6CB8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–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3,500 reached on 11-Sep-2009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17-Aug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17-Aug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5-Aug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6-Aug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11-Aug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12-Aug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5154C7" w:rsidRPr="005154C7" w:rsidTr="005154C7">
        <w:trPr>
          <w:trHeight w:val="300"/>
        </w:trPr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10-Aug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14-Aug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C7" w:rsidRPr="005154C7" w:rsidRDefault="005154C7" w:rsidP="005154C7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5154C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5154C7" w:rsidRDefault="005154C7">
      <w:pPr>
        <w:spacing w:after="200" w:line="276" w:lineRule="auto"/>
        <w:rPr>
          <w:rFonts w:asciiTheme="majorHAnsi" w:hAnsiTheme="majorHAnsi"/>
        </w:rPr>
      </w:pPr>
    </w:p>
    <w:p w:rsidR="005154C7" w:rsidRDefault="005154C7" w:rsidP="009076FF">
      <w:pPr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</w:rPr>
      </w:pPr>
    </w:p>
    <w:p w:rsidR="008F7F14" w:rsidRPr="00773690" w:rsidRDefault="00E51684" w:rsidP="009076FF">
      <w:pPr>
        <w:rPr>
          <w:rFonts w:asciiTheme="majorHAnsi" w:hAnsiTheme="majorHAnsi"/>
        </w:rPr>
      </w:pPr>
      <w:r w:rsidRPr="00E51684">
        <w:rPr>
          <w:noProof/>
        </w:rPr>
        <w:lastRenderedPageBreak/>
        <w:drawing>
          <wp:inline distT="0" distB="0" distL="0" distR="0" wp14:anchorId="2802FD14" wp14:editId="15B3BDB0">
            <wp:extent cx="5943600" cy="2676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F14" w:rsidRPr="00773690" w:rsidRDefault="008F7F14" w:rsidP="009076FF">
      <w:pPr>
        <w:rPr>
          <w:rFonts w:asciiTheme="majorHAnsi" w:hAnsiTheme="majorHAnsi"/>
        </w:rPr>
      </w:pPr>
    </w:p>
    <w:p w:rsidR="008F7F14" w:rsidRPr="00773690" w:rsidRDefault="002654E2" w:rsidP="009076F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</w:rPr>
        <w:t>Figure</w:t>
      </w:r>
      <w:r w:rsidRPr="002654E2">
        <w:rPr>
          <w:rFonts w:asciiTheme="majorHAnsi" w:hAnsiTheme="majorHAnsi"/>
          <w:b/>
        </w:rPr>
        <w:t xml:space="preserve"> 1.–</w:t>
      </w:r>
      <w:r w:rsidR="00124043" w:rsidRPr="00124043">
        <w:rPr>
          <w:rFonts w:asciiTheme="majorHAnsi" w:eastAsiaTheme="minorEastAsia" w:hAnsiTheme="majorHAnsi" w:cstheme="minorBidi"/>
          <w:color w:val="000000" w:themeColor="dark1"/>
          <w:sz w:val="18"/>
          <w:szCs w:val="18"/>
        </w:rPr>
        <w:t>Optimal yield profiles and optimal recruitment profiles for the Bayesian age-structured state-space model. Profiles are provided for optimum yields that are at least 80% of MSY and optimal recruitments that are at least 80% of maximum recruitment. These profiles are used to illustrate the chance of attaining optimal yield and optimal recruitment with a specific escapement as a goal</w:t>
      </w:r>
      <w:r w:rsidR="00512080">
        <w:rPr>
          <w:rFonts w:asciiTheme="majorHAnsi" w:eastAsiaTheme="minorEastAsia" w:hAnsiTheme="majorHAnsi" w:cstheme="minorBidi"/>
          <w:color w:val="000000" w:themeColor="dark1"/>
          <w:sz w:val="18"/>
          <w:szCs w:val="18"/>
        </w:rPr>
        <w:t>, and the p</w:t>
      </w:r>
      <w:r w:rsidR="00124043" w:rsidRPr="00124043">
        <w:rPr>
          <w:rFonts w:asciiTheme="majorHAnsi" w:eastAsiaTheme="minorEastAsia" w:hAnsiTheme="majorHAnsi" w:cstheme="minorBidi"/>
          <w:color w:val="000000" w:themeColor="dark1"/>
          <w:sz w:val="18"/>
          <w:szCs w:val="18"/>
        </w:rPr>
        <w:t>robability of overfishing such that sustained yield is reduced to less than 80% MSY.</w:t>
      </w:r>
      <w:r w:rsidR="008F7F14" w:rsidRPr="00773690">
        <w:rPr>
          <w:rFonts w:asciiTheme="majorHAnsi" w:eastAsiaTheme="minorEastAsia" w:hAnsiTheme="majorHAnsi" w:cstheme="minorBidi"/>
          <w:color w:val="000000" w:themeColor="dark1"/>
          <w:sz w:val="22"/>
          <w:szCs w:val="22"/>
        </w:rPr>
        <w:t xml:space="preserve"> </w:t>
      </w:r>
    </w:p>
    <w:p w:rsidR="008F7F14" w:rsidRPr="00773690" w:rsidRDefault="008F7F14" w:rsidP="009076FF">
      <w:pPr>
        <w:rPr>
          <w:rFonts w:asciiTheme="majorHAnsi" w:hAnsiTheme="majorHAnsi"/>
        </w:rPr>
      </w:pPr>
    </w:p>
    <w:p w:rsidR="008F7F14" w:rsidRPr="00773690" w:rsidRDefault="008F7F14" w:rsidP="009076FF">
      <w:pPr>
        <w:rPr>
          <w:rFonts w:asciiTheme="majorHAnsi" w:hAnsiTheme="majorHAnsi"/>
        </w:rPr>
      </w:pPr>
    </w:p>
    <w:p w:rsidR="005A32C1" w:rsidRPr="00773690" w:rsidRDefault="00E51684" w:rsidP="009076FF">
      <w:pPr>
        <w:rPr>
          <w:rFonts w:asciiTheme="majorHAnsi" w:hAnsiTheme="majorHAnsi"/>
        </w:rPr>
      </w:pPr>
      <w:r w:rsidRPr="00E51684">
        <w:rPr>
          <w:noProof/>
        </w:rPr>
        <w:drawing>
          <wp:inline distT="0" distB="0" distL="0" distR="0" wp14:anchorId="2B80D61D" wp14:editId="08A2F3D3">
            <wp:extent cx="5943600" cy="267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C7" w:rsidRDefault="002654E2" w:rsidP="005154C7">
      <w:pPr>
        <w:pStyle w:val="NormalWeb"/>
        <w:spacing w:before="0" w:beforeAutospacing="0" w:after="0" w:afterAutospacing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</w:rPr>
        <w:t>Figure</w:t>
      </w:r>
      <w:r w:rsidRPr="002654E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2</w:t>
      </w:r>
      <w:r w:rsidRPr="002654E2">
        <w:rPr>
          <w:rFonts w:asciiTheme="majorHAnsi" w:hAnsiTheme="majorHAnsi"/>
          <w:b/>
        </w:rPr>
        <w:t>.–</w:t>
      </w:r>
      <w:r w:rsidR="00124043" w:rsidRPr="00124043">
        <w:rPr>
          <w:rFonts w:asciiTheme="majorHAnsi" w:eastAsiaTheme="minorEastAsia" w:hAnsiTheme="majorHAnsi" w:cstheme="minorBidi"/>
          <w:color w:val="000000" w:themeColor="dark1"/>
          <w:sz w:val="18"/>
          <w:szCs w:val="18"/>
        </w:rPr>
        <w:t>Optimal yield profiles and optimal recruitment profiles for the Bayesian age-structured state-space model. Profiles are provided for optimum yields that are at least 90% of MSY and optimal recruitments that are at least 90% of maximum recruitment. These profiles are used to illustrate the chance of attaining optimal yield and optimal recruitment with a</w:t>
      </w:r>
      <w:r w:rsidR="001955D1">
        <w:rPr>
          <w:rFonts w:asciiTheme="majorHAnsi" w:eastAsiaTheme="minorEastAsia" w:hAnsiTheme="majorHAnsi" w:cstheme="minorBidi"/>
          <w:color w:val="000000" w:themeColor="dark1"/>
          <w:sz w:val="18"/>
          <w:szCs w:val="18"/>
        </w:rPr>
        <w:t xml:space="preserve"> specific escapement as a goal, and the p</w:t>
      </w:r>
      <w:r w:rsidR="00124043" w:rsidRPr="00124043">
        <w:rPr>
          <w:rFonts w:asciiTheme="majorHAnsi" w:eastAsiaTheme="minorEastAsia" w:hAnsiTheme="majorHAnsi" w:cstheme="minorBidi"/>
          <w:color w:val="000000" w:themeColor="dark1"/>
          <w:sz w:val="18"/>
          <w:szCs w:val="18"/>
        </w:rPr>
        <w:t>robability of overfishing such that sustained yield is reduced to less than 90% MSY.</w:t>
      </w:r>
      <w:r w:rsidR="005154C7">
        <w:rPr>
          <w:rFonts w:asciiTheme="majorHAnsi" w:hAnsiTheme="majorHAnsi"/>
          <w:b/>
          <w:sz w:val="28"/>
          <w:szCs w:val="28"/>
        </w:rPr>
        <w:br w:type="page"/>
      </w:r>
    </w:p>
    <w:p w:rsidR="002654E2" w:rsidRPr="00664FCE" w:rsidRDefault="00872864" w:rsidP="009076FF">
      <w:pPr>
        <w:rPr>
          <w:rFonts w:asciiTheme="majorHAnsi" w:hAnsiTheme="majorHAnsi"/>
          <w:b/>
          <w:sz w:val="28"/>
          <w:szCs w:val="28"/>
        </w:rPr>
      </w:pPr>
      <w:r w:rsidRPr="00664FCE">
        <w:rPr>
          <w:rFonts w:asciiTheme="majorHAnsi" w:hAnsiTheme="majorHAnsi"/>
          <w:b/>
          <w:sz w:val="28"/>
          <w:szCs w:val="28"/>
        </w:rPr>
        <w:lastRenderedPageBreak/>
        <w:t>References</w:t>
      </w:r>
    </w:p>
    <w:p w:rsidR="009076FF" w:rsidRPr="009076FF" w:rsidRDefault="009076FF" w:rsidP="00E51684">
      <w:pPr>
        <w:pStyle w:val="OEOPg-Citation"/>
        <w:framePr w:hSpace="0" w:wrap="auto" w:hAnchor="tex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20"/>
        <w:ind w:left="810" w:hanging="810"/>
        <w:jc w:val="left"/>
        <w:rPr>
          <w:rFonts w:asciiTheme="majorHAnsi" w:hAnsiTheme="majorHAnsi"/>
          <w:i w:val="0"/>
          <w:sz w:val="22"/>
          <w:szCs w:val="22"/>
        </w:rPr>
      </w:pPr>
      <w:proofErr w:type="gramStart"/>
      <w:r w:rsidRPr="009076FF">
        <w:rPr>
          <w:rFonts w:asciiTheme="majorHAnsi" w:hAnsiTheme="majorHAnsi"/>
          <w:i w:val="0"/>
          <w:sz w:val="22"/>
          <w:szCs w:val="22"/>
        </w:rPr>
        <w:t>Heinl, S. C., S</w:t>
      </w:r>
      <w:r>
        <w:rPr>
          <w:rFonts w:asciiTheme="majorHAnsi" w:hAnsiTheme="majorHAnsi"/>
          <w:i w:val="0"/>
          <w:sz w:val="22"/>
          <w:szCs w:val="22"/>
        </w:rPr>
        <w:t>. Miller, and J. A. Bednarski.</w:t>
      </w:r>
      <w:proofErr w:type="gramEnd"/>
      <w:r>
        <w:rPr>
          <w:rFonts w:asciiTheme="majorHAnsi" w:hAnsiTheme="majorHAnsi"/>
          <w:i w:val="0"/>
          <w:sz w:val="22"/>
          <w:szCs w:val="22"/>
        </w:rPr>
        <w:t xml:space="preserve"> 2014. </w:t>
      </w:r>
      <w:proofErr w:type="gramStart"/>
      <w:r w:rsidR="002654E2" w:rsidRPr="002654E2">
        <w:rPr>
          <w:rFonts w:asciiTheme="majorHAnsi" w:hAnsiTheme="majorHAnsi"/>
          <w:sz w:val="22"/>
          <w:szCs w:val="22"/>
        </w:rPr>
        <w:t>In</w:t>
      </w:r>
      <w:proofErr w:type="gramEnd"/>
      <w:r w:rsidR="002654E2" w:rsidRPr="002654E2">
        <w:rPr>
          <w:rFonts w:asciiTheme="majorHAnsi" w:hAnsiTheme="majorHAnsi"/>
          <w:sz w:val="22"/>
          <w:szCs w:val="22"/>
        </w:rPr>
        <w:t xml:space="preserve"> </w:t>
      </w:r>
      <w:r w:rsidR="001441D3">
        <w:rPr>
          <w:rFonts w:asciiTheme="majorHAnsi" w:hAnsiTheme="majorHAnsi"/>
          <w:sz w:val="22"/>
          <w:szCs w:val="22"/>
        </w:rPr>
        <w:t>prep</w:t>
      </w:r>
      <w:r w:rsidR="002654E2">
        <w:rPr>
          <w:rFonts w:asciiTheme="majorHAnsi" w:hAnsiTheme="majorHAnsi"/>
          <w:i w:val="0"/>
          <w:sz w:val="22"/>
          <w:szCs w:val="22"/>
        </w:rPr>
        <w:t xml:space="preserve">. </w:t>
      </w:r>
      <w:proofErr w:type="spellStart"/>
      <w:r w:rsidRPr="009076FF">
        <w:rPr>
          <w:rFonts w:asciiTheme="majorHAnsi" w:hAnsiTheme="majorHAnsi"/>
          <w:i w:val="0"/>
          <w:sz w:val="22"/>
          <w:szCs w:val="22"/>
        </w:rPr>
        <w:t>Speel</w:t>
      </w:r>
      <w:proofErr w:type="spellEnd"/>
      <w:r w:rsidRPr="009076FF">
        <w:rPr>
          <w:rFonts w:asciiTheme="majorHAnsi" w:hAnsiTheme="majorHAnsi"/>
          <w:i w:val="0"/>
          <w:sz w:val="22"/>
          <w:szCs w:val="22"/>
        </w:rPr>
        <w:t xml:space="preserve"> Lake sockeye salmon stock status and escapement goal review.  </w:t>
      </w:r>
      <w:proofErr w:type="gramStart"/>
      <w:r w:rsidRPr="009076FF">
        <w:rPr>
          <w:rFonts w:asciiTheme="majorHAnsi" w:hAnsiTheme="majorHAnsi"/>
          <w:i w:val="0"/>
          <w:sz w:val="22"/>
          <w:szCs w:val="22"/>
        </w:rPr>
        <w:t>Alaska Department of Fish and Game, Fishery Manuscript Series No.</w:t>
      </w:r>
      <w:proofErr w:type="gramEnd"/>
      <w:r w:rsidRPr="009076FF">
        <w:rPr>
          <w:rFonts w:asciiTheme="majorHAnsi" w:hAnsiTheme="majorHAnsi"/>
          <w:i w:val="0"/>
          <w:sz w:val="22"/>
          <w:szCs w:val="22"/>
        </w:rPr>
        <w:t xml:space="preserve"> </w:t>
      </w:r>
      <w:proofErr w:type="gramStart"/>
      <w:r w:rsidRPr="009076FF">
        <w:rPr>
          <w:rFonts w:asciiTheme="majorHAnsi" w:hAnsiTheme="majorHAnsi"/>
          <w:i w:val="0"/>
          <w:sz w:val="22"/>
          <w:szCs w:val="22"/>
        </w:rPr>
        <w:t>YY-XX, Anchorage.</w:t>
      </w:r>
      <w:proofErr w:type="gramEnd"/>
    </w:p>
    <w:p w:rsidR="009076FF" w:rsidRPr="009076FF" w:rsidRDefault="009076FF" w:rsidP="009076FF">
      <w:pPr>
        <w:ind w:left="720" w:hanging="720"/>
        <w:rPr>
          <w:rFonts w:asciiTheme="majorHAnsi" w:hAnsiTheme="majorHAnsi"/>
        </w:rPr>
      </w:pPr>
    </w:p>
    <w:p w:rsidR="00773690" w:rsidRPr="009076FF" w:rsidRDefault="00773690" w:rsidP="009076FF">
      <w:pPr>
        <w:pStyle w:val="Lit-Cited"/>
        <w:ind w:left="720" w:hanging="720"/>
        <w:jc w:val="left"/>
        <w:rPr>
          <w:rFonts w:asciiTheme="majorHAnsi" w:hAnsiTheme="majorHAnsi"/>
          <w:color w:val="000000"/>
          <w:sz w:val="22"/>
          <w:szCs w:val="22"/>
        </w:rPr>
      </w:pPr>
      <w:proofErr w:type="gramStart"/>
      <w:r w:rsidRPr="009076FF">
        <w:rPr>
          <w:rFonts w:asciiTheme="majorHAnsi" w:hAnsiTheme="majorHAnsi"/>
          <w:color w:val="000000"/>
          <w:sz w:val="22"/>
          <w:szCs w:val="22"/>
        </w:rPr>
        <w:t>Riffe, R., and J. H. Clark.</w:t>
      </w:r>
      <w:proofErr w:type="gramEnd"/>
      <w:r w:rsidRPr="009076FF">
        <w:rPr>
          <w:rFonts w:asciiTheme="majorHAnsi" w:hAnsiTheme="majorHAnsi"/>
          <w:color w:val="000000"/>
          <w:sz w:val="22"/>
          <w:szCs w:val="22"/>
        </w:rPr>
        <w:t xml:space="preserve">  2003.  Biological escapement goal for </w:t>
      </w:r>
      <w:proofErr w:type="spellStart"/>
      <w:r w:rsidRPr="009076FF">
        <w:rPr>
          <w:rFonts w:asciiTheme="majorHAnsi" w:hAnsiTheme="majorHAnsi"/>
          <w:color w:val="000000"/>
          <w:sz w:val="22"/>
          <w:szCs w:val="22"/>
        </w:rPr>
        <w:t>Speel</w:t>
      </w:r>
      <w:proofErr w:type="spellEnd"/>
      <w:r w:rsidRPr="009076FF">
        <w:rPr>
          <w:rFonts w:asciiTheme="majorHAnsi" w:hAnsiTheme="majorHAnsi"/>
          <w:color w:val="000000"/>
          <w:sz w:val="22"/>
          <w:szCs w:val="22"/>
        </w:rPr>
        <w:t xml:space="preserve"> Lake sockeye salmon.  </w:t>
      </w:r>
      <w:proofErr w:type="gramStart"/>
      <w:r w:rsidRPr="009076FF">
        <w:rPr>
          <w:rFonts w:asciiTheme="majorHAnsi" w:hAnsiTheme="majorHAnsi"/>
          <w:color w:val="000000"/>
          <w:sz w:val="22"/>
          <w:szCs w:val="22"/>
        </w:rPr>
        <w:t>Alaska Department of Fish and Game,</w:t>
      </w:r>
      <w:r w:rsidR="001D5274" w:rsidRPr="009076FF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9076FF">
        <w:rPr>
          <w:rFonts w:asciiTheme="majorHAnsi" w:hAnsiTheme="majorHAnsi"/>
          <w:color w:val="000000"/>
          <w:sz w:val="22"/>
          <w:szCs w:val="22"/>
        </w:rPr>
        <w:t>Division of Commercial Fisheries, Regional Information Report No. 1J03-04, Juneau.</w:t>
      </w:r>
      <w:proofErr w:type="gramEnd"/>
    </w:p>
    <w:p w:rsidR="001955D1" w:rsidRDefault="001955D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1955D1" w:rsidRDefault="001955D1" w:rsidP="00264CBA">
      <w:pPr>
        <w:rPr>
          <w:rFonts w:asciiTheme="majorHAnsi" w:hAnsiTheme="majorHAnsi"/>
        </w:rPr>
        <w:sectPr w:rsidR="001955D1" w:rsidSect="00DB155B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1684" w:rsidRDefault="00E51684" w:rsidP="00264CBA"/>
    <w:p w:rsidR="00E51684" w:rsidRDefault="00E51684" w:rsidP="00264CBA">
      <w:r w:rsidRPr="00FD3B45">
        <w:rPr>
          <w:noProof/>
        </w:rPr>
        <w:drawing>
          <wp:inline distT="0" distB="0" distL="0" distR="0" wp14:anchorId="6E709E98" wp14:editId="71812F37">
            <wp:extent cx="6819900" cy="3070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84" w:rsidRDefault="00E51684" w:rsidP="00264CBA"/>
    <w:p w:rsidR="00E51684" w:rsidRDefault="00E51684" w:rsidP="00E51684">
      <w:pPr>
        <w:rPr>
          <w:rFonts w:asciiTheme="majorHAnsi" w:hAnsiTheme="majorHAnsi"/>
        </w:rPr>
      </w:pPr>
      <w:r w:rsidRPr="001955D1">
        <w:rPr>
          <w:rFonts w:asciiTheme="majorHAnsi" w:hAnsiTheme="majorHAnsi"/>
          <w:b/>
        </w:rPr>
        <w:t>E</w:t>
      </w:r>
      <w:r>
        <w:rPr>
          <w:rFonts w:asciiTheme="majorHAnsi" w:hAnsiTheme="majorHAnsi"/>
          <w:b/>
        </w:rPr>
        <w:t xml:space="preserve">xample 1.–Escapement goal range of 3,000–10,000:  </w:t>
      </w:r>
      <w:r>
        <w:rPr>
          <w:rFonts w:asciiTheme="majorHAnsi" w:hAnsiTheme="majorHAnsi"/>
        </w:rPr>
        <w:t>A lower bound of 3,000 fish would provide for 94% probability of achieving 80% of maximum sustained yield (MSY), and only about 6% probability that sustained yield will be reduced to less than 80% of MSY.  An upper bound of about 10,000 fish would reduce sustained yield to only 6% probability of achieving 80% of MSY; but would provide greater than 89% probability of achieving 80% of maximum recruitment.</w:t>
      </w:r>
    </w:p>
    <w:p w:rsidR="00E51684" w:rsidRDefault="00E51684" w:rsidP="00264CBA"/>
    <w:p w:rsidR="00E51684" w:rsidRDefault="00E51684" w:rsidP="00264CBA"/>
    <w:p w:rsidR="00773690" w:rsidRDefault="003139F1" w:rsidP="00264CBA">
      <w:pPr>
        <w:rPr>
          <w:rFonts w:asciiTheme="majorHAnsi" w:hAnsiTheme="majorHAnsi"/>
        </w:rPr>
      </w:pPr>
      <w:r w:rsidRPr="003139F1">
        <w:rPr>
          <w:noProof/>
        </w:rPr>
        <w:lastRenderedPageBreak/>
        <w:drawing>
          <wp:inline distT="0" distB="0" distL="0" distR="0" wp14:anchorId="03FD56E2" wp14:editId="28FABFFE">
            <wp:extent cx="6822440" cy="307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5D1" w:rsidRDefault="001955D1" w:rsidP="00264CBA">
      <w:pPr>
        <w:rPr>
          <w:rFonts w:asciiTheme="majorHAnsi" w:hAnsiTheme="majorHAnsi"/>
        </w:rPr>
      </w:pPr>
    </w:p>
    <w:p w:rsidR="001955D1" w:rsidRPr="00FD3B45" w:rsidRDefault="001955D1" w:rsidP="00264CBA">
      <w:pPr>
        <w:rPr>
          <w:rFonts w:asciiTheme="majorHAnsi" w:hAnsiTheme="majorHAnsi"/>
          <w:color w:val="000000" w:themeColor="text1"/>
        </w:rPr>
      </w:pPr>
      <w:r w:rsidRPr="00FD3B45">
        <w:rPr>
          <w:rFonts w:asciiTheme="majorHAnsi" w:hAnsiTheme="majorHAnsi"/>
          <w:b/>
          <w:color w:val="000000" w:themeColor="text1"/>
        </w:rPr>
        <w:t>E</w:t>
      </w:r>
      <w:r w:rsidR="00E51684">
        <w:rPr>
          <w:rFonts w:asciiTheme="majorHAnsi" w:hAnsiTheme="majorHAnsi"/>
          <w:b/>
          <w:color w:val="000000" w:themeColor="text1"/>
        </w:rPr>
        <w:t>xample 2</w:t>
      </w:r>
      <w:r w:rsidRPr="00FD3B45">
        <w:rPr>
          <w:rFonts w:asciiTheme="majorHAnsi" w:hAnsiTheme="majorHAnsi"/>
          <w:b/>
          <w:color w:val="000000" w:themeColor="text1"/>
        </w:rPr>
        <w:t xml:space="preserve">.–Escapement goal range of 4,000–8,500:  </w:t>
      </w:r>
      <w:r w:rsidRPr="00FD3B45">
        <w:rPr>
          <w:rFonts w:asciiTheme="majorHAnsi" w:hAnsiTheme="majorHAnsi"/>
          <w:color w:val="000000" w:themeColor="text1"/>
        </w:rPr>
        <w:t>A lower bound of 4,</w:t>
      </w:r>
      <w:r w:rsidR="00FD3B45" w:rsidRPr="00FD3B45">
        <w:rPr>
          <w:rFonts w:asciiTheme="majorHAnsi" w:hAnsiTheme="majorHAnsi"/>
          <w:color w:val="000000" w:themeColor="text1"/>
        </w:rPr>
        <w:t>000 fish would provide for 96</w:t>
      </w:r>
      <w:r w:rsidRPr="00FD3B45">
        <w:rPr>
          <w:rFonts w:asciiTheme="majorHAnsi" w:hAnsiTheme="majorHAnsi"/>
          <w:color w:val="000000" w:themeColor="text1"/>
        </w:rPr>
        <w:t xml:space="preserve">% probability of achieving 90% of maximum sustained yield (MSY), and </w:t>
      </w:r>
      <w:r w:rsidR="00FD3B45" w:rsidRPr="00FD3B45">
        <w:rPr>
          <w:rFonts w:asciiTheme="majorHAnsi" w:hAnsiTheme="majorHAnsi"/>
          <w:color w:val="000000" w:themeColor="text1"/>
        </w:rPr>
        <w:t>only about 4</w:t>
      </w:r>
      <w:r w:rsidRPr="00FD3B45">
        <w:rPr>
          <w:rFonts w:asciiTheme="majorHAnsi" w:hAnsiTheme="majorHAnsi"/>
          <w:color w:val="000000" w:themeColor="text1"/>
        </w:rPr>
        <w:t xml:space="preserve">% probability that sustained yield will be reduced to less than 90% of MSY.  An upper bound of 8,500 fish would </w:t>
      </w:r>
      <w:r w:rsidR="00FD3B45" w:rsidRPr="00FD3B45">
        <w:rPr>
          <w:rFonts w:asciiTheme="majorHAnsi" w:hAnsiTheme="majorHAnsi"/>
          <w:color w:val="000000" w:themeColor="text1"/>
        </w:rPr>
        <w:t>reduce sustained yield to only 8</w:t>
      </w:r>
      <w:r w:rsidRPr="00FD3B45">
        <w:rPr>
          <w:rFonts w:asciiTheme="majorHAnsi" w:hAnsiTheme="majorHAnsi"/>
          <w:color w:val="000000" w:themeColor="text1"/>
        </w:rPr>
        <w:t>% probability of achieving 90% of MSY; b</w:t>
      </w:r>
      <w:r w:rsidR="00FD3B45" w:rsidRPr="00FD3B45">
        <w:rPr>
          <w:rFonts w:asciiTheme="majorHAnsi" w:hAnsiTheme="majorHAnsi"/>
          <w:color w:val="000000" w:themeColor="text1"/>
        </w:rPr>
        <w:t>ut would provide greater than 92</w:t>
      </w:r>
      <w:r w:rsidRPr="00FD3B45">
        <w:rPr>
          <w:rFonts w:asciiTheme="majorHAnsi" w:hAnsiTheme="majorHAnsi"/>
          <w:color w:val="000000" w:themeColor="text1"/>
        </w:rPr>
        <w:t>% probability of achieving 90% of maximum recruitment.</w:t>
      </w: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1955D1" w:rsidRDefault="00FD3B45" w:rsidP="00264CBA">
      <w:pPr>
        <w:rPr>
          <w:rFonts w:asciiTheme="majorHAnsi" w:hAnsiTheme="majorHAnsi"/>
        </w:rPr>
      </w:pPr>
      <w:r w:rsidRPr="00FD3B45">
        <w:rPr>
          <w:noProof/>
        </w:rPr>
        <w:lastRenderedPageBreak/>
        <w:drawing>
          <wp:inline distT="0" distB="0" distL="0" distR="0" wp14:anchorId="36A44D57" wp14:editId="5837C2D1">
            <wp:extent cx="6819900" cy="3070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 w:rsidP="001955D1">
      <w:pPr>
        <w:rPr>
          <w:rFonts w:asciiTheme="majorHAnsi" w:hAnsiTheme="majorHAnsi"/>
        </w:rPr>
      </w:pPr>
      <w:r w:rsidRPr="001955D1">
        <w:rPr>
          <w:rFonts w:asciiTheme="majorHAnsi" w:hAnsiTheme="majorHAnsi"/>
          <w:b/>
        </w:rPr>
        <w:t>E</w:t>
      </w:r>
      <w:r w:rsidR="00E51684">
        <w:rPr>
          <w:rFonts w:asciiTheme="majorHAnsi" w:hAnsiTheme="majorHAnsi"/>
          <w:b/>
        </w:rPr>
        <w:t>xample 3</w:t>
      </w:r>
      <w:r>
        <w:rPr>
          <w:rFonts w:asciiTheme="majorHAnsi" w:hAnsiTheme="majorHAnsi"/>
          <w:b/>
        </w:rPr>
        <w:t xml:space="preserve">.–Escapement goal range of 3,500–9,000:  </w:t>
      </w:r>
      <w:r>
        <w:rPr>
          <w:rFonts w:asciiTheme="majorHAnsi" w:hAnsiTheme="majorHAnsi"/>
        </w:rPr>
        <w:t xml:space="preserve">A lower bound of 3,500 fish would provide for </w:t>
      </w:r>
      <w:r w:rsidR="00FD3B45">
        <w:rPr>
          <w:rFonts w:asciiTheme="majorHAnsi" w:hAnsiTheme="majorHAnsi"/>
        </w:rPr>
        <w:t>91</w:t>
      </w:r>
      <w:r>
        <w:rPr>
          <w:rFonts w:asciiTheme="majorHAnsi" w:hAnsiTheme="majorHAnsi"/>
        </w:rPr>
        <w:t>% probability of achieving 90% of maximum sustaine</w:t>
      </w:r>
      <w:r w:rsidR="00FD3B45">
        <w:rPr>
          <w:rFonts w:asciiTheme="majorHAnsi" w:hAnsiTheme="majorHAnsi"/>
        </w:rPr>
        <w:t>d yield (MSY), and only about 9</w:t>
      </w:r>
      <w:r>
        <w:rPr>
          <w:rFonts w:asciiTheme="majorHAnsi" w:hAnsiTheme="majorHAnsi"/>
        </w:rPr>
        <w:t>% probability that sustained yield will be reduced to less than 90% of MSY.  An upper bound of about 9,000 fish would r</w:t>
      </w:r>
      <w:r w:rsidR="00FD3B45">
        <w:rPr>
          <w:rFonts w:asciiTheme="majorHAnsi" w:hAnsiTheme="majorHAnsi"/>
        </w:rPr>
        <w:t>educe sustained yield to only 5</w:t>
      </w:r>
      <w:r>
        <w:rPr>
          <w:rFonts w:asciiTheme="majorHAnsi" w:hAnsiTheme="majorHAnsi"/>
        </w:rPr>
        <w:t>% probability of achieving 90% of MSY; b</w:t>
      </w:r>
      <w:r w:rsidR="00FD3B45">
        <w:rPr>
          <w:rFonts w:asciiTheme="majorHAnsi" w:hAnsiTheme="majorHAnsi"/>
        </w:rPr>
        <w:t>ut would provide greater than 87</w:t>
      </w:r>
      <w:r>
        <w:rPr>
          <w:rFonts w:asciiTheme="majorHAnsi" w:hAnsiTheme="majorHAnsi"/>
        </w:rPr>
        <w:t>% probability of achieving 90% of maximum recruitment.</w:t>
      </w: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 w:rsidP="00264CBA">
      <w:pPr>
        <w:rPr>
          <w:rFonts w:asciiTheme="majorHAnsi" w:hAnsiTheme="majorHAnsi"/>
        </w:rPr>
      </w:pPr>
    </w:p>
    <w:p w:rsidR="001955D1" w:rsidRDefault="001955D1" w:rsidP="00E51684">
      <w:pPr>
        <w:spacing w:after="200" w:line="276" w:lineRule="auto"/>
        <w:rPr>
          <w:rFonts w:asciiTheme="majorHAnsi" w:hAnsiTheme="majorHAnsi"/>
        </w:rPr>
      </w:pPr>
    </w:p>
    <w:p w:rsidR="001955D1" w:rsidRDefault="001955D1" w:rsidP="00264CBA">
      <w:pPr>
        <w:rPr>
          <w:rFonts w:asciiTheme="majorHAnsi" w:hAnsiTheme="majorHAnsi"/>
        </w:rPr>
      </w:pPr>
    </w:p>
    <w:p w:rsidR="001955D1" w:rsidRPr="00F3521C" w:rsidRDefault="001955D1" w:rsidP="00264CBA">
      <w:pPr>
        <w:rPr>
          <w:rFonts w:asciiTheme="majorHAnsi" w:hAnsiTheme="majorHAnsi"/>
        </w:rPr>
      </w:pPr>
    </w:p>
    <w:sectPr w:rsidR="001955D1" w:rsidRPr="00F3521C" w:rsidSect="001955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B8" w:rsidRDefault="004B6CB8" w:rsidP="00872864">
      <w:r>
        <w:separator/>
      </w:r>
    </w:p>
  </w:endnote>
  <w:endnote w:type="continuationSeparator" w:id="0">
    <w:p w:rsidR="004B6CB8" w:rsidRDefault="004B6CB8" w:rsidP="0087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911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B6CB8" w:rsidRDefault="00E771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9EC">
          <w:rPr>
            <w:noProof/>
          </w:rPr>
          <w:t>3</w:t>
        </w:r>
        <w:r>
          <w:rPr>
            <w:noProof/>
          </w:rPr>
          <w:fldChar w:fldCharType="end"/>
        </w:r>
        <w:r w:rsidR="004B6CB8">
          <w:t xml:space="preserve"> | </w:t>
        </w:r>
        <w:r w:rsidR="004B6CB8">
          <w:rPr>
            <w:color w:val="808080" w:themeColor="background1" w:themeShade="80"/>
            <w:spacing w:val="60"/>
          </w:rPr>
          <w:t>Page</w:t>
        </w:r>
      </w:p>
    </w:sdtContent>
  </w:sdt>
  <w:p w:rsidR="004B6CB8" w:rsidRDefault="004B6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B8" w:rsidRDefault="004B6CB8" w:rsidP="00872864">
      <w:r>
        <w:separator/>
      </w:r>
    </w:p>
  </w:footnote>
  <w:footnote w:type="continuationSeparator" w:id="0">
    <w:p w:rsidR="004B6CB8" w:rsidRDefault="004B6CB8" w:rsidP="00872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6447"/>
    <w:multiLevelType w:val="hybridMultilevel"/>
    <w:tmpl w:val="9C6C573C"/>
    <w:lvl w:ilvl="0" w:tplc="4822D130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FAA2C49"/>
    <w:multiLevelType w:val="hybridMultilevel"/>
    <w:tmpl w:val="A5E84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1F0A"/>
    <w:multiLevelType w:val="hybridMultilevel"/>
    <w:tmpl w:val="FC1A2D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A8381A"/>
    <w:multiLevelType w:val="hybridMultilevel"/>
    <w:tmpl w:val="8BD62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C5599"/>
    <w:multiLevelType w:val="hybridMultilevel"/>
    <w:tmpl w:val="108AC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C68"/>
    <w:rsid w:val="00000888"/>
    <w:rsid w:val="0001444F"/>
    <w:rsid w:val="00037CE5"/>
    <w:rsid w:val="0004164C"/>
    <w:rsid w:val="0008751A"/>
    <w:rsid w:val="00124043"/>
    <w:rsid w:val="0013696F"/>
    <w:rsid w:val="00141E2D"/>
    <w:rsid w:val="001441D3"/>
    <w:rsid w:val="001955D1"/>
    <w:rsid w:val="001D5274"/>
    <w:rsid w:val="0021107D"/>
    <w:rsid w:val="0022052C"/>
    <w:rsid w:val="0023340C"/>
    <w:rsid w:val="00264CBA"/>
    <w:rsid w:val="002654E2"/>
    <w:rsid w:val="00287F3A"/>
    <w:rsid w:val="002B0F2C"/>
    <w:rsid w:val="002C0095"/>
    <w:rsid w:val="003139F1"/>
    <w:rsid w:val="00317192"/>
    <w:rsid w:val="003311F3"/>
    <w:rsid w:val="00332E67"/>
    <w:rsid w:val="00352785"/>
    <w:rsid w:val="0036716F"/>
    <w:rsid w:val="003B336C"/>
    <w:rsid w:val="003B3DBB"/>
    <w:rsid w:val="00437A65"/>
    <w:rsid w:val="004B6CB8"/>
    <w:rsid w:val="004D54CB"/>
    <w:rsid w:val="00512080"/>
    <w:rsid w:val="00513908"/>
    <w:rsid w:val="005154C7"/>
    <w:rsid w:val="00574131"/>
    <w:rsid w:val="005A12E1"/>
    <w:rsid w:val="005A31AE"/>
    <w:rsid w:val="005A32C1"/>
    <w:rsid w:val="005E69C4"/>
    <w:rsid w:val="005E78B8"/>
    <w:rsid w:val="005F7DA3"/>
    <w:rsid w:val="00601D41"/>
    <w:rsid w:val="00620E68"/>
    <w:rsid w:val="00664FCE"/>
    <w:rsid w:val="006A2E82"/>
    <w:rsid w:val="006A61B5"/>
    <w:rsid w:val="006F24EB"/>
    <w:rsid w:val="00733140"/>
    <w:rsid w:val="00772CF5"/>
    <w:rsid w:val="00773690"/>
    <w:rsid w:val="007D372B"/>
    <w:rsid w:val="007E56B1"/>
    <w:rsid w:val="00860A2D"/>
    <w:rsid w:val="00872864"/>
    <w:rsid w:val="008A5AF7"/>
    <w:rsid w:val="008B0077"/>
    <w:rsid w:val="008E5CE7"/>
    <w:rsid w:val="008F7F14"/>
    <w:rsid w:val="009075E7"/>
    <w:rsid w:val="009076FF"/>
    <w:rsid w:val="00946730"/>
    <w:rsid w:val="00990D8B"/>
    <w:rsid w:val="00A228F8"/>
    <w:rsid w:val="00A34C68"/>
    <w:rsid w:val="00A65E7D"/>
    <w:rsid w:val="00AC580E"/>
    <w:rsid w:val="00B701E4"/>
    <w:rsid w:val="00BD3BC8"/>
    <w:rsid w:val="00CA5B4B"/>
    <w:rsid w:val="00CB553D"/>
    <w:rsid w:val="00D31790"/>
    <w:rsid w:val="00D621F7"/>
    <w:rsid w:val="00DB155B"/>
    <w:rsid w:val="00E449EC"/>
    <w:rsid w:val="00E51684"/>
    <w:rsid w:val="00E7248D"/>
    <w:rsid w:val="00E7718E"/>
    <w:rsid w:val="00E96CA8"/>
    <w:rsid w:val="00EA7A66"/>
    <w:rsid w:val="00EB5CDA"/>
    <w:rsid w:val="00EE5BAF"/>
    <w:rsid w:val="00F25581"/>
    <w:rsid w:val="00F3521C"/>
    <w:rsid w:val="00F622BF"/>
    <w:rsid w:val="00FB0C82"/>
    <w:rsid w:val="00FC6B90"/>
    <w:rsid w:val="00FD3B45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C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521C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00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E68"/>
    <w:pPr>
      <w:ind w:left="720"/>
      <w:contextualSpacing/>
    </w:pPr>
  </w:style>
  <w:style w:type="paragraph" w:customStyle="1" w:styleId="Lit-Cited">
    <w:name w:val="Lit-Cited"/>
    <w:basedOn w:val="Normal"/>
    <w:rsid w:val="00773690"/>
    <w:pPr>
      <w:keepLines/>
      <w:suppressAutoHyphens/>
      <w:spacing w:after="120"/>
      <w:ind w:left="288" w:hanging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EOPg-Citation">
    <w:name w:val="OEO Pg-Citation"/>
    <w:basedOn w:val="Normal"/>
    <w:rsid w:val="00773690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720" w:hanging="720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5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C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CD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864"/>
  </w:style>
  <w:style w:type="paragraph" w:styleId="Footer">
    <w:name w:val="footer"/>
    <w:basedOn w:val="Normal"/>
    <w:link w:val="FooterChar"/>
    <w:uiPriority w:val="99"/>
    <w:unhideWhenUsed/>
    <w:rsid w:val="0087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C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521C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00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E68"/>
    <w:pPr>
      <w:ind w:left="720"/>
      <w:contextualSpacing/>
    </w:pPr>
  </w:style>
  <w:style w:type="paragraph" w:customStyle="1" w:styleId="Lit-Cited">
    <w:name w:val="Lit-Cited"/>
    <w:basedOn w:val="Normal"/>
    <w:rsid w:val="00773690"/>
    <w:pPr>
      <w:keepLines/>
      <w:suppressAutoHyphens/>
      <w:spacing w:after="120"/>
      <w:ind w:left="288" w:hanging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EOPg-Citation">
    <w:name w:val="OEO Pg-Citation"/>
    <w:basedOn w:val="Normal"/>
    <w:rsid w:val="00773690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720" w:hanging="720"/>
      <w:jc w:val="both"/>
    </w:pPr>
    <w:rPr>
      <w:rFonts w:ascii="Times New Roman" w:eastAsia="Times New Roman" w:hAnsi="Times New Roman" w:cs="Times New Roman"/>
      <w:i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B5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C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CD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864"/>
  </w:style>
  <w:style w:type="paragraph" w:styleId="Footer">
    <w:name w:val="footer"/>
    <w:basedOn w:val="Normal"/>
    <w:link w:val="FooterChar"/>
    <w:uiPriority w:val="99"/>
    <w:unhideWhenUsed/>
    <w:rsid w:val="0087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7A727-6839-4121-9483-FDB9B3D0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Miller</dc:creator>
  <cp:lastModifiedBy>Sara Miller</cp:lastModifiedBy>
  <cp:revision>6</cp:revision>
  <cp:lastPrinted>2014-04-24T23:41:00Z</cp:lastPrinted>
  <dcterms:created xsi:type="dcterms:W3CDTF">2014-04-28T21:19:00Z</dcterms:created>
  <dcterms:modified xsi:type="dcterms:W3CDTF">2014-04-30T22:44:00Z</dcterms:modified>
</cp:coreProperties>
</file>