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E9D" w:rsidRPr="005A75B9" w:rsidRDefault="007145CE">
      <w:pPr>
        <w:pStyle w:val="Cover-PublSeries"/>
      </w:pPr>
      <w:r w:rsidRPr="005A75B9">
        <w:t xml:space="preserve">Fishery </w:t>
      </w:r>
      <w:r w:rsidR="00E55077" w:rsidRPr="005A75B9">
        <w:t>Manuscript Series</w:t>
      </w:r>
      <w:r w:rsidR="00BB0E9D" w:rsidRPr="005A75B9">
        <w:t xml:space="preserve"> No. </w:t>
      </w:r>
      <w:r w:rsidR="00C73B19" w:rsidRPr="005A75B9">
        <w:t>1</w:t>
      </w:r>
      <w:r w:rsidR="00821816">
        <w:t>7</w:t>
      </w:r>
      <w:r w:rsidR="00BB0E9D" w:rsidRPr="005A75B9">
        <w:t>-XX</w:t>
      </w:r>
    </w:p>
    <w:p w:rsidR="00823776" w:rsidRPr="005A75B9" w:rsidRDefault="00C73B19" w:rsidP="00823776">
      <w:pPr>
        <w:pStyle w:val="Cover-ReptTitle"/>
      </w:pPr>
      <w:r w:rsidRPr="005A75B9">
        <w:t>Review of Salmon Escapement Goals in Southeast Alaska, 201</w:t>
      </w:r>
      <w:r w:rsidR="00821816">
        <w:t>7</w:t>
      </w:r>
    </w:p>
    <w:p w:rsidR="00BB0E9D" w:rsidRPr="005A75B9" w:rsidRDefault="00BB0E9D" w:rsidP="00823776">
      <w:pPr>
        <w:pStyle w:val="Cover-ByAuthors"/>
      </w:pPr>
      <w:proofErr w:type="gramStart"/>
      <w:r w:rsidRPr="005A75B9">
        <w:t>by</w:t>
      </w:r>
      <w:proofErr w:type="gramEnd"/>
    </w:p>
    <w:p w:rsidR="00BB0E9D" w:rsidRPr="005A75B9" w:rsidRDefault="0020002F" w:rsidP="00823776">
      <w:pPr>
        <w:pStyle w:val="Cover-ByAuthors"/>
      </w:pPr>
      <w:r w:rsidRPr="005A75B9">
        <w:t>Steven C. Heinl,</w:t>
      </w:r>
    </w:p>
    <w:p w:rsidR="0020002F" w:rsidRPr="005A75B9" w:rsidRDefault="0020002F" w:rsidP="00823776">
      <w:pPr>
        <w:pStyle w:val="Cover-ByAuthors"/>
      </w:pPr>
      <w:r w:rsidRPr="005A75B9">
        <w:t>Edgar L. Jones III</w:t>
      </w:r>
    </w:p>
    <w:p w:rsidR="0020002F" w:rsidRPr="005A75B9" w:rsidRDefault="0020002F" w:rsidP="00823776">
      <w:pPr>
        <w:pStyle w:val="Cover-ByAuthors"/>
      </w:pPr>
      <w:r w:rsidRPr="005A75B9">
        <w:t>Andrew W. Piston,</w:t>
      </w:r>
    </w:p>
    <w:p w:rsidR="0020002F" w:rsidRPr="005A75B9" w:rsidRDefault="0020002F" w:rsidP="00823776">
      <w:pPr>
        <w:pStyle w:val="Cover-ByAuthors"/>
      </w:pPr>
      <w:r w:rsidRPr="005A75B9">
        <w:t>Philip J. Richards,</w:t>
      </w:r>
    </w:p>
    <w:p w:rsidR="00BB0E9D" w:rsidRPr="005A75B9" w:rsidRDefault="00BB0E9D" w:rsidP="00823776">
      <w:pPr>
        <w:pStyle w:val="Cover-ByAuthors"/>
      </w:pPr>
      <w:proofErr w:type="gramStart"/>
      <w:r w:rsidRPr="005A75B9">
        <w:t>and</w:t>
      </w:r>
      <w:proofErr w:type="gramEnd"/>
      <w:r w:rsidRPr="005A75B9">
        <w:t xml:space="preserve"> </w:t>
      </w:r>
    </w:p>
    <w:p w:rsidR="007B4B8F" w:rsidRPr="005A75B9" w:rsidRDefault="0020002F" w:rsidP="00823776">
      <w:pPr>
        <w:pStyle w:val="Cover-ByAuthors"/>
      </w:pPr>
      <w:r w:rsidRPr="005A75B9">
        <w:t>Leon D. Shaul</w:t>
      </w:r>
    </w:p>
    <w:p w:rsidR="00CD060F" w:rsidRPr="005A75B9" w:rsidRDefault="00CD060F" w:rsidP="00823776">
      <w:pPr>
        <w:pStyle w:val="Cover-ByAuthors"/>
      </w:pPr>
    </w:p>
    <w:p w:rsidR="00BB0E9D" w:rsidRPr="005A75B9" w:rsidRDefault="00582B21">
      <w:pPr>
        <w:pStyle w:val="SymbolsandAbbrevTitle"/>
        <w:sectPr w:rsidR="00BB0E9D" w:rsidRPr="005A75B9" w:rsidSect="00E123DF">
          <w:footerReference w:type="even" r:id="rId9"/>
          <w:type w:val="continuous"/>
          <w:pgSz w:w="12240" w:h="15840" w:code="1"/>
          <w:pgMar w:top="1440" w:right="1440" w:bottom="1440" w:left="1440" w:header="720" w:footer="720" w:gutter="0"/>
          <w:pgNumType w:start="1"/>
          <w:cols w:space="720"/>
        </w:sectPr>
      </w:pPr>
      <w:r>
        <w:rPr>
          <w:rFonts w:ascii="Times New Roman" w:hAnsi="Times New Roman"/>
          <w:noProof/>
          <w:sz w:val="24"/>
        </w:rPr>
        <w:drawing>
          <wp:anchor distT="0" distB="0" distL="114300" distR="114300" simplePos="0" relativeHeight="251659264" behindDoc="1" locked="0" layoutInCell="1" allowOverlap="1">
            <wp:simplePos x="0" y="0"/>
            <wp:positionH relativeFrom="page">
              <wp:posOffset>2955925</wp:posOffset>
            </wp:positionH>
            <wp:positionV relativeFrom="page">
              <wp:posOffset>7955280</wp:posOffset>
            </wp:positionV>
            <wp:extent cx="1687195" cy="1687195"/>
            <wp:effectExtent l="0" t="0" r="8255" b="8255"/>
            <wp:wrapTight wrapText="bothSides">
              <wp:wrapPolygon edited="0">
                <wp:start x="0" y="0"/>
                <wp:lineTo x="0" y="21462"/>
                <wp:lineTo x="21462" y="21462"/>
                <wp:lineTo x="21462" y="0"/>
                <wp:lineTo x="0" y="0"/>
              </wp:wrapPolygon>
            </wp:wrapTight>
            <wp:docPr id="53" name="Picture 15"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simplePos x="0" y="0"/>
                <wp:positionH relativeFrom="column">
                  <wp:posOffset>-85725</wp:posOffset>
                </wp:positionH>
                <wp:positionV relativeFrom="page">
                  <wp:posOffset>7306310</wp:posOffset>
                </wp:positionV>
                <wp:extent cx="6057900" cy="571500"/>
                <wp:effectExtent l="0" t="635" r="0" b="0"/>
                <wp:wrapNone/>
                <wp:docPr id="5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DC7" w:rsidRDefault="00961DC7" w:rsidP="009F2D05">
                            <w:pPr>
                              <w:pStyle w:val="Cover-PublDate"/>
                              <w:ind w:right="-72"/>
                            </w:pPr>
                            <w:r>
                              <w:t>December 2017</w:t>
                            </w:r>
                          </w:p>
                          <w:p w:rsidR="00961DC7" w:rsidRDefault="00961DC7" w:rsidP="009F2D05">
                            <w:pPr>
                              <w:pStyle w:val="Cover-DeptDiv"/>
                            </w:pPr>
                            <w:r>
                              <w:t>Alaska Department of Fish and Game</w:t>
                            </w:r>
                            <w:r>
                              <w:tab/>
                              <w:t>Divisions of Sport Fish and Commercial Fisheries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6.75pt;margin-top:575.3pt;width:477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xKxgQIAABA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" stroked="f">
                <v:textbox>
                  <w:txbxContent>
                    <w:p w:rsidR="00961DC7" w:rsidRDefault="00961DC7" w:rsidP="009F2D05">
                      <w:pPr>
                        <w:pStyle w:val="Cover-PublDate"/>
                        <w:ind w:right="-72"/>
                      </w:pPr>
                      <w:r>
                        <w:t>December 2017</w:t>
                      </w:r>
                    </w:p>
                    <w:p w:rsidR="00961DC7" w:rsidRDefault="00961DC7" w:rsidP="009F2D05">
                      <w:pPr>
                        <w:pStyle w:val="Cover-DeptDiv"/>
                      </w:pPr>
                      <w:r>
                        <w:t>Alaska Department of Fish and Game</w:t>
                      </w:r>
                      <w:r>
                        <w:tab/>
                        <w:t>Divisions of Sport Fish and Commercial Fisheries</w:t>
                      </w:r>
                    </w:p>
                  </w:txbxContent>
                </v:textbox>
                <w10:wrap anchory="page"/>
              </v:shape>
            </w:pict>
          </mc:Fallback>
        </mc:AlternateContent>
      </w:r>
    </w:p>
    <w:p w:rsidR="00A2496F" w:rsidRPr="005A75B9" w:rsidRDefault="00A2496F" w:rsidP="00A2496F">
      <w:pPr>
        <w:pStyle w:val="Caption"/>
      </w:pPr>
      <w:bookmarkStart w:id="0" w:name="_Toc484166536"/>
      <w:proofErr w:type="gramStart"/>
      <w:r w:rsidRPr="005A75B9">
        <w:lastRenderedPageBreak/>
        <w:t xml:space="preserve">Table </w:t>
      </w:r>
      <w:r w:rsidR="00BD469F" w:rsidRPr="005A75B9">
        <w:fldChar w:fldCharType="begin"/>
      </w:r>
      <w:r w:rsidRPr="005A75B9">
        <w:instrText xml:space="preserve"> SEQ Table \* ARABIC </w:instrText>
      </w:r>
      <w:r w:rsidR="00BD469F" w:rsidRPr="005A75B9">
        <w:fldChar w:fldCharType="separate"/>
      </w:r>
      <w:r w:rsidR="00B40919" w:rsidRPr="005A75B9">
        <w:rPr>
          <w:noProof/>
        </w:rPr>
        <w:t>3</w:t>
      </w:r>
      <w:r w:rsidR="00BD469F" w:rsidRPr="005A75B9">
        <w:fldChar w:fldCharType="end"/>
      </w:r>
      <w:r w:rsidRPr="005A75B9">
        <w:t>.–Southeast Region coho salmon escapement goals, 2009–201</w:t>
      </w:r>
      <w:r w:rsidR="00A31997">
        <w:t>6</w:t>
      </w:r>
      <w:r w:rsidRPr="005A75B9">
        <w:t xml:space="preserve"> escapements, and 201</w:t>
      </w:r>
      <w:r w:rsidR="00A31997">
        <w:t>7</w:t>
      </w:r>
      <w:r w:rsidRPr="005A75B9">
        <w:t xml:space="preserve"> escapement goal recommendations.</w:t>
      </w:r>
      <w:bookmarkEnd w:id="0"/>
      <w:proofErr w:type="gramEnd"/>
    </w:p>
    <w:tbl>
      <w:tblPr>
        <w:tblW w:w="13083" w:type="dxa"/>
        <w:tblInd w:w="93" w:type="dxa"/>
        <w:tblLook w:val="04A0" w:firstRow="1" w:lastRow="0" w:firstColumn="1" w:lastColumn="0" w:noHBand="0" w:noVBand="1"/>
      </w:tblPr>
      <w:tblGrid>
        <w:gridCol w:w="2175"/>
        <w:gridCol w:w="1239"/>
        <w:gridCol w:w="671"/>
        <w:gridCol w:w="1558"/>
        <w:gridCol w:w="1159"/>
        <w:gridCol w:w="953"/>
        <w:gridCol w:w="953"/>
        <w:gridCol w:w="953"/>
        <w:gridCol w:w="953"/>
        <w:gridCol w:w="953"/>
        <w:gridCol w:w="1516"/>
      </w:tblGrid>
      <w:tr w:rsidR="007D765F" w:rsidRPr="001D64B7" w:rsidTr="007D765F">
        <w:trPr>
          <w:trHeight w:val="270"/>
        </w:trPr>
        <w:tc>
          <w:tcPr>
            <w:tcW w:w="2175" w:type="dxa"/>
            <w:vMerge w:val="restart"/>
            <w:tcBorders>
              <w:top w:val="single" w:sz="8" w:space="0" w:color="auto"/>
              <w:left w:val="nil"/>
              <w:bottom w:val="single" w:sz="8" w:space="0" w:color="000000"/>
              <w:right w:val="nil"/>
            </w:tcBorders>
            <w:shd w:val="clear" w:color="auto" w:fill="auto"/>
            <w:noWrap/>
            <w:vAlign w:val="bottom"/>
            <w:hideMark/>
          </w:tcPr>
          <w:p w:rsidR="007D765F" w:rsidRPr="007D765F" w:rsidRDefault="007D765F" w:rsidP="007D765F">
            <w:pPr>
              <w:spacing w:after="0"/>
              <w:jc w:val="left"/>
              <w:rPr>
                <w:b/>
                <w:color w:val="000000"/>
                <w:sz w:val="18"/>
                <w:szCs w:val="18"/>
              </w:rPr>
            </w:pPr>
            <w:r w:rsidRPr="007D765F">
              <w:rPr>
                <w:b/>
                <w:color w:val="000000"/>
                <w:sz w:val="18"/>
                <w:szCs w:val="18"/>
              </w:rPr>
              <w:t>System</w:t>
            </w:r>
          </w:p>
        </w:tc>
        <w:tc>
          <w:tcPr>
            <w:tcW w:w="1239" w:type="dxa"/>
            <w:vMerge w:val="restart"/>
            <w:tcBorders>
              <w:top w:val="single" w:sz="8" w:space="0" w:color="auto"/>
              <w:left w:val="nil"/>
              <w:bottom w:val="single" w:sz="8" w:space="0" w:color="000000"/>
              <w:right w:val="nil"/>
            </w:tcBorders>
            <w:shd w:val="clear" w:color="auto" w:fill="auto"/>
            <w:vAlign w:val="bottom"/>
            <w:hideMark/>
          </w:tcPr>
          <w:p w:rsidR="007D765F" w:rsidRPr="005A75B9" w:rsidRDefault="007D765F" w:rsidP="00ED683F">
            <w:pPr>
              <w:spacing w:after="0"/>
              <w:jc w:val="center"/>
              <w:rPr>
                <w:rFonts w:eastAsia="Arial Unicode MS"/>
                <w:b/>
                <w:sz w:val="18"/>
                <w:szCs w:val="18"/>
              </w:rPr>
            </w:pPr>
            <w:r w:rsidRPr="005A75B9">
              <w:rPr>
                <w:rFonts w:eastAsia="Arial Unicode MS"/>
                <w:b/>
                <w:sz w:val="18"/>
                <w:szCs w:val="18"/>
              </w:rPr>
              <w:t>Assessment</w:t>
            </w:r>
          </w:p>
          <w:p w:rsidR="007D765F" w:rsidRPr="005A75B9" w:rsidRDefault="007D765F" w:rsidP="00ED683F">
            <w:pPr>
              <w:spacing w:after="0"/>
              <w:jc w:val="center"/>
              <w:rPr>
                <w:rFonts w:eastAsia="Arial Unicode MS"/>
                <w:b/>
                <w:sz w:val="18"/>
                <w:szCs w:val="18"/>
              </w:rPr>
            </w:pPr>
            <w:r w:rsidRPr="005A75B9">
              <w:rPr>
                <w:rFonts w:eastAsia="Arial Unicode MS"/>
                <w:b/>
                <w:sz w:val="18"/>
                <w:szCs w:val="18"/>
              </w:rPr>
              <w:t>method</w:t>
            </w:r>
          </w:p>
        </w:tc>
        <w:tc>
          <w:tcPr>
            <w:tcW w:w="671" w:type="dxa"/>
            <w:vMerge w:val="restart"/>
            <w:tcBorders>
              <w:top w:val="single" w:sz="8" w:space="0" w:color="auto"/>
              <w:left w:val="nil"/>
              <w:bottom w:val="single" w:sz="8" w:space="0" w:color="000000"/>
              <w:right w:val="nil"/>
            </w:tcBorders>
            <w:shd w:val="clear" w:color="auto" w:fill="auto"/>
            <w:vAlign w:val="bottom"/>
            <w:hideMark/>
          </w:tcPr>
          <w:p w:rsidR="007D765F" w:rsidRPr="005A75B9" w:rsidRDefault="007D765F" w:rsidP="00ED683F">
            <w:pPr>
              <w:spacing w:after="0"/>
              <w:jc w:val="center"/>
              <w:rPr>
                <w:rFonts w:eastAsia="Arial Unicode MS"/>
                <w:b/>
                <w:sz w:val="18"/>
                <w:szCs w:val="18"/>
              </w:rPr>
            </w:pPr>
            <w:r w:rsidRPr="005A75B9">
              <w:rPr>
                <w:rFonts w:eastAsia="Arial Unicode MS"/>
                <w:b/>
                <w:sz w:val="18"/>
                <w:szCs w:val="18"/>
              </w:rPr>
              <w:t>Goal</w:t>
            </w:r>
          </w:p>
          <w:p w:rsidR="007D765F" w:rsidRPr="005A75B9" w:rsidRDefault="007D765F" w:rsidP="00ED683F">
            <w:pPr>
              <w:spacing w:after="0"/>
              <w:jc w:val="center"/>
              <w:rPr>
                <w:rFonts w:eastAsia="Arial Unicode MS"/>
                <w:b/>
                <w:sz w:val="18"/>
                <w:szCs w:val="18"/>
              </w:rPr>
            </w:pPr>
            <w:proofErr w:type="spellStart"/>
            <w:r w:rsidRPr="005A75B9">
              <w:rPr>
                <w:rFonts w:eastAsia="Arial Unicode MS"/>
                <w:b/>
                <w:sz w:val="18"/>
                <w:szCs w:val="18"/>
              </w:rPr>
              <w:t>type</w:t>
            </w:r>
            <w:r w:rsidRPr="005A75B9">
              <w:rPr>
                <w:rFonts w:eastAsia="Arial Unicode MS"/>
                <w:b/>
                <w:sz w:val="18"/>
                <w:szCs w:val="18"/>
                <w:vertAlign w:val="superscript"/>
              </w:rPr>
              <w:t>a</w:t>
            </w:r>
            <w:proofErr w:type="spellEnd"/>
          </w:p>
        </w:tc>
        <w:tc>
          <w:tcPr>
            <w:tcW w:w="1558" w:type="dxa"/>
            <w:vMerge w:val="restart"/>
            <w:tcBorders>
              <w:top w:val="single" w:sz="8" w:space="0" w:color="auto"/>
              <w:left w:val="nil"/>
              <w:bottom w:val="single" w:sz="8" w:space="0" w:color="000000"/>
              <w:right w:val="nil"/>
            </w:tcBorders>
            <w:shd w:val="clear" w:color="auto" w:fill="auto"/>
            <w:vAlign w:val="bottom"/>
            <w:hideMark/>
          </w:tcPr>
          <w:p w:rsidR="007D765F" w:rsidRPr="005A75B9" w:rsidRDefault="007D765F" w:rsidP="00ED683F">
            <w:pPr>
              <w:spacing w:after="0"/>
              <w:jc w:val="center"/>
              <w:rPr>
                <w:rFonts w:eastAsia="Arial Unicode MS"/>
                <w:b/>
                <w:sz w:val="18"/>
                <w:szCs w:val="18"/>
              </w:rPr>
            </w:pPr>
            <w:r w:rsidRPr="005A75B9">
              <w:rPr>
                <w:rFonts w:eastAsia="Arial Unicode MS"/>
                <w:b/>
                <w:sz w:val="18"/>
                <w:szCs w:val="18"/>
              </w:rPr>
              <w:t>Escapement</w:t>
            </w:r>
          </w:p>
          <w:p w:rsidR="007D765F" w:rsidRPr="005A75B9" w:rsidRDefault="007D765F" w:rsidP="007D765F">
            <w:pPr>
              <w:spacing w:after="0"/>
              <w:jc w:val="center"/>
              <w:rPr>
                <w:rFonts w:eastAsia="Arial Unicode MS"/>
                <w:b/>
                <w:sz w:val="18"/>
                <w:szCs w:val="18"/>
              </w:rPr>
            </w:pPr>
            <w:r w:rsidRPr="005A75B9">
              <w:rPr>
                <w:rFonts w:eastAsia="Arial Unicode MS"/>
                <w:b/>
                <w:sz w:val="18"/>
                <w:szCs w:val="18"/>
              </w:rPr>
              <w:t>goal</w:t>
            </w:r>
          </w:p>
        </w:tc>
        <w:tc>
          <w:tcPr>
            <w:tcW w:w="1159" w:type="dxa"/>
            <w:vMerge w:val="restart"/>
            <w:tcBorders>
              <w:top w:val="single" w:sz="8" w:space="0" w:color="auto"/>
              <w:left w:val="nil"/>
              <w:bottom w:val="single" w:sz="8" w:space="0" w:color="000000"/>
              <w:right w:val="nil"/>
            </w:tcBorders>
            <w:shd w:val="clear" w:color="auto" w:fill="auto"/>
            <w:vAlign w:val="bottom"/>
            <w:hideMark/>
          </w:tcPr>
          <w:p w:rsidR="007D765F" w:rsidRPr="005A75B9" w:rsidRDefault="007D765F" w:rsidP="00ED683F">
            <w:pPr>
              <w:spacing w:after="0"/>
              <w:jc w:val="center"/>
              <w:rPr>
                <w:rFonts w:eastAsia="Arial Unicode MS"/>
                <w:b/>
                <w:sz w:val="18"/>
                <w:szCs w:val="18"/>
              </w:rPr>
            </w:pPr>
            <w:r w:rsidRPr="005A75B9">
              <w:rPr>
                <w:rFonts w:eastAsia="Arial Unicode MS"/>
                <w:b/>
                <w:sz w:val="18"/>
                <w:szCs w:val="18"/>
              </w:rPr>
              <w:t>Year</w:t>
            </w:r>
          </w:p>
          <w:p w:rsidR="007D765F" w:rsidRPr="005A75B9" w:rsidRDefault="007D765F" w:rsidP="00ED683F">
            <w:pPr>
              <w:spacing w:after="0"/>
              <w:jc w:val="center"/>
              <w:rPr>
                <w:rFonts w:eastAsia="Arial Unicode MS"/>
                <w:b/>
                <w:sz w:val="18"/>
                <w:szCs w:val="18"/>
              </w:rPr>
            </w:pPr>
            <w:r w:rsidRPr="005A75B9">
              <w:rPr>
                <w:rFonts w:eastAsia="Arial Unicode MS"/>
                <w:b/>
                <w:sz w:val="18"/>
                <w:szCs w:val="18"/>
              </w:rPr>
              <w:t>established</w:t>
            </w:r>
          </w:p>
        </w:tc>
        <w:tc>
          <w:tcPr>
            <w:tcW w:w="4765" w:type="dxa"/>
            <w:gridSpan w:val="5"/>
            <w:tcBorders>
              <w:top w:val="single" w:sz="8" w:space="0" w:color="auto"/>
              <w:left w:val="nil"/>
              <w:right w:val="nil"/>
            </w:tcBorders>
            <w:shd w:val="clear" w:color="auto" w:fill="auto"/>
            <w:noWrap/>
            <w:hideMark/>
          </w:tcPr>
          <w:p w:rsidR="007D765F" w:rsidRPr="007D765F" w:rsidRDefault="007D765F" w:rsidP="007D765F">
            <w:pPr>
              <w:pBdr>
                <w:bottom w:val="single" w:sz="8" w:space="1" w:color="auto"/>
              </w:pBdr>
              <w:spacing w:after="0"/>
              <w:jc w:val="center"/>
              <w:rPr>
                <w:b/>
                <w:color w:val="000000"/>
                <w:sz w:val="18"/>
                <w:szCs w:val="18"/>
              </w:rPr>
            </w:pPr>
            <w:r w:rsidRPr="007D765F">
              <w:rPr>
                <w:b/>
                <w:color w:val="000000"/>
                <w:sz w:val="18"/>
                <w:szCs w:val="18"/>
              </w:rPr>
              <w:t>Escapement</w:t>
            </w:r>
          </w:p>
        </w:tc>
        <w:tc>
          <w:tcPr>
            <w:tcW w:w="1516" w:type="dxa"/>
            <w:tcBorders>
              <w:top w:val="single" w:sz="8" w:space="0" w:color="auto"/>
              <w:left w:val="nil"/>
              <w:right w:val="nil"/>
            </w:tcBorders>
          </w:tcPr>
          <w:p w:rsidR="007D765F" w:rsidRPr="007D765F" w:rsidRDefault="007D765F" w:rsidP="007D765F">
            <w:pPr>
              <w:pBdr>
                <w:top w:val="single" w:sz="8" w:space="0" w:color="auto"/>
              </w:pBdr>
              <w:spacing w:after="0"/>
              <w:jc w:val="center"/>
              <w:rPr>
                <w:b/>
                <w:color w:val="000000"/>
                <w:sz w:val="18"/>
                <w:szCs w:val="18"/>
              </w:rPr>
            </w:pPr>
          </w:p>
        </w:tc>
      </w:tr>
      <w:tr w:rsidR="007D765F" w:rsidRPr="001D64B7" w:rsidTr="007D765F">
        <w:trPr>
          <w:trHeight w:val="270"/>
        </w:trPr>
        <w:tc>
          <w:tcPr>
            <w:tcW w:w="2175" w:type="dxa"/>
            <w:vMerge/>
            <w:tcBorders>
              <w:top w:val="single" w:sz="8" w:space="0" w:color="auto"/>
              <w:left w:val="nil"/>
              <w:bottom w:val="single" w:sz="8" w:space="0" w:color="000000"/>
              <w:right w:val="nil"/>
            </w:tcBorders>
            <w:vAlign w:val="bottom"/>
            <w:hideMark/>
          </w:tcPr>
          <w:p w:rsidR="007D765F" w:rsidRPr="007D765F" w:rsidRDefault="007D765F" w:rsidP="007D765F">
            <w:pPr>
              <w:spacing w:after="0"/>
              <w:jc w:val="left"/>
              <w:rPr>
                <w:b/>
                <w:color w:val="000000"/>
                <w:sz w:val="18"/>
                <w:szCs w:val="18"/>
              </w:rPr>
            </w:pPr>
          </w:p>
        </w:tc>
        <w:tc>
          <w:tcPr>
            <w:tcW w:w="1239" w:type="dxa"/>
            <w:vMerge/>
            <w:tcBorders>
              <w:top w:val="single" w:sz="8" w:space="0" w:color="auto"/>
              <w:left w:val="nil"/>
              <w:bottom w:val="single" w:sz="8" w:space="0" w:color="000000"/>
              <w:right w:val="nil"/>
            </w:tcBorders>
            <w:vAlign w:val="bottom"/>
            <w:hideMark/>
          </w:tcPr>
          <w:p w:rsidR="007D765F" w:rsidRPr="007D765F" w:rsidRDefault="007D765F" w:rsidP="007D765F">
            <w:pPr>
              <w:spacing w:after="0"/>
              <w:jc w:val="center"/>
              <w:rPr>
                <w:b/>
                <w:color w:val="000000"/>
                <w:sz w:val="18"/>
                <w:szCs w:val="18"/>
              </w:rPr>
            </w:pPr>
          </w:p>
        </w:tc>
        <w:tc>
          <w:tcPr>
            <w:tcW w:w="671" w:type="dxa"/>
            <w:vMerge/>
            <w:tcBorders>
              <w:top w:val="single" w:sz="8" w:space="0" w:color="auto"/>
              <w:left w:val="nil"/>
              <w:bottom w:val="single" w:sz="8" w:space="0" w:color="000000"/>
              <w:right w:val="nil"/>
            </w:tcBorders>
            <w:vAlign w:val="bottom"/>
            <w:hideMark/>
          </w:tcPr>
          <w:p w:rsidR="007D765F" w:rsidRPr="007D765F" w:rsidRDefault="007D765F" w:rsidP="007D765F">
            <w:pPr>
              <w:spacing w:after="0"/>
              <w:jc w:val="center"/>
              <w:rPr>
                <w:b/>
                <w:color w:val="000000"/>
                <w:sz w:val="18"/>
                <w:szCs w:val="18"/>
              </w:rPr>
            </w:pPr>
          </w:p>
        </w:tc>
        <w:tc>
          <w:tcPr>
            <w:tcW w:w="1558" w:type="dxa"/>
            <w:vMerge/>
            <w:tcBorders>
              <w:top w:val="single" w:sz="8" w:space="0" w:color="auto"/>
              <w:left w:val="nil"/>
              <w:bottom w:val="single" w:sz="8" w:space="0" w:color="000000"/>
              <w:right w:val="nil"/>
            </w:tcBorders>
            <w:vAlign w:val="bottom"/>
            <w:hideMark/>
          </w:tcPr>
          <w:p w:rsidR="007D765F" w:rsidRPr="007D765F" w:rsidRDefault="007D765F" w:rsidP="007D765F">
            <w:pPr>
              <w:spacing w:after="0"/>
              <w:jc w:val="center"/>
              <w:rPr>
                <w:b/>
                <w:color w:val="000000"/>
                <w:sz w:val="18"/>
                <w:szCs w:val="18"/>
              </w:rPr>
            </w:pPr>
          </w:p>
        </w:tc>
        <w:tc>
          <w:tcPr>
            <w:tcW w:w="1159" w:type="dxa"/>
            <w:vMerge/>
            <w:tcBorders>
              <w:top w:val="single" w:sz="8" w:space="0" w:color="auto"/>
              <w:left w:val="nil"/>
              <w:bottom w:val="single" w:sz="8" w:space="0" w:color="000000"/>
              <w:right w:val="nil"/>
            </w:tcBorders>
            <w:vAlign w:val="bottom"/>
            <w:hideMark/>
          </w:tcPr>
          <w:p w:rsidR="007D765F" w:rsidRPr="007D765F" w:rsidRDefault="007D765F" w:rsidP="007D765F">
            <w:pPr>
              <w:spacing w:after="0"/>
              <w:jc w:val="center"/>
              <w:rPr>
                <w:b/>
                <w:color w:val="000000"/>
                <w:sz w:val="18"/>
                <w:szCs w:val="18"/>
              </w:rPr>
            </w:pPr>
          </w:p>
        </w:tc>
        <w:tc>
          <w:tcPr>
            <w:tcW w:w="953" w:type="dxa"/>
            <w:tcBorders>
              <w:left w:val="nil"/>
              <w:bottom w:val="single" w:sz="8" w:space="0" w:color="auto"/>
              <w:right w:val="nil"/>
            </w:tcBorders>
            <w:shd w:val="clear" w:color="auto" w:fill="auto"/>
            <w:noWrap/>
            <w:vAlign w:val="bottom"/>
            <w:hideMark/>
          </w:tcPr>
          <w:p w:rsidR="007D765F" w:rsidRPr="007D765F" w:rsidRDefault="007D765F" w:rsidP="007D765F">
            <w:pPr>
              <w:spacing w:after="0"/>
              <w:jc w:val="center"/>
              <w:rPr>
                <w:b/>
                <w:color w:val="000000"/>
                <w:sz w:val="18"/>
                <w:szCs w:val="18"/>
              </w:rPr>
            </w:pPr>
            <w:r w:rsidRPr="007D765F">
              <w:rPr>
                <w:b/>
                <w:color w:val="000000"/>
                <w:sz w:val="18"/>
                <w:szCs w:val="18"/>
              </w:rPr>
              <w:t>2012</w:t>
            </w:r>
          </w:p>
        </w:tc>
        <w:tc>
          <w:tcPr>
            <w:tcW w:w="953" w:type="dxa"/>
            <w:tcBorders>
              <w:left w:val="nil"/>
              <w:bottom w:val="single" w:sz="8" w:space="0" w:color="auto"/>
              <w:right w:val="nil"/>
            </w:tcBorders>
            <w:shd w:val="clear" w:color="auto" w:fill="auto"/>
            <w:noWrap/>
            <w:vAlign w:val="bottom"/>
            <w:hideMark/>
          </w:tcPr>
          <w:p w:rsidR="007D765F" w:rsidRPr="007D765F" w:rsidRDefault="007D765F" w:rsidP="007D765F">
            <w:pPr>
              <w:spacing w:after="0"/>
              <w:jc w:val="center"/>
              <w:rPr>
                <w:b/>
                <w:color w:val="000000"/>
                <w:sz w:val="18"/>
                <w:szCs w:val="18"/>
              </w:rPr>
            </w:pPr>
            <w:r w:rsidRPr="007D765F">
              <w:rPr>
                <w:b/>
                <w:color w:val="000000"/>
                <w:sz w:val="18"/>
                <w:szCs w:val="18"/>
              </w:rPr>
              <w:t>2013</w:t>
            </w:r>
          </w:p>
        </w:tc>
        <w:tc>
          <w:tcPr>
            <w:tcW w:w="953" w:type="dxa"/>
            <w:tcBorders>
              <w:left w:val="nil"/>
              <w:bottom w:val="single" w:sz="8" w:space="0" w:color="auto"/>
              <w:right w:val="nil"/>
            </w:tcBorders>
            <w:shd w:val="clear" w:color="auto" w:fill="auto"/>
            <w:noWrap/>
            <w:vAlign w:val="bottom"/>
            <w:hideMark/>
          </w:tcPr>
          <w:p w:rsidR="007D765F" w:rsidRPr="007D765F" w:rsidRDefault="007D765F" w:rsidP="007D765F">
            <w:pPr>
              <w:spacing w:after="0"/>
              <w:jc w:val="center"/>
              <w:rPr>
                <w:b/>
                <w:color w:val="000000"/>
                <w:sz w:val="18"/>
                <w:szCs w:val="18"/>
              </w:rPr>
            </w:pPr>
            <w:r w:rsidRPr="007D765F">
              <w:rPr>
                <w:b/>
                <w:color w:val="000000"/>
                <w:sz w:val="18"/>
                <w:szCs w:val="18"/>
              </w:rPr>
              <w:t>2014</w:t>
            </w:r>
          </w:p>
        </w:tc>
        <w:tc>
          <w:tcPr>
            <w:tcW w:w="953" w:type="dxa"/>
            <w:tcBorders>
              <w:left w:val="nil"/>
              <w:bottom w:val="single" w:sz="8" w:space="0" w:color="auto"/>
              <w:right w:val="nil"/>
            </w:tcBorders>
            <w:shd w:val="clear" w:color="auto" w:fill="auto"/>
            <w:noWrap/>
            <w:vAlign w:val="bottom"/>
            <w:hideMark/>
          </w:tcPr>
          <w:p w:rsidR="007D765F" w:rsidRPr="007D765F" w:rsidRDefault="007D765F" w:rsidP="007D765F">
            <w:pPr>
              <w:spacing w:after="0"/>
              <w:jc w:val="center"/>
              <w:rPr>
                <w:b/>
                <w:color w:val="000000"/>
                <w:sz w:val="18"/>
                <w:szCs w:val="18"/>
              </w:rPr>
            </w:pPr>
            <w:r w:rsidRPr="007D765F">
              <w:rPr>
                <w:b/>
                <w:color w:val="000000"/>
                <w:sz w:val="18"/>
                <w:szCs w:val="18"/>
              </w:rPr>
              <w:t>2015</w:t>
            </w:r>
          </w:p>
        </w:tc>
        <w:tc>
          <w:tcPr>
            <w:tcW w:w="953" w:type="dxa"/>
            <w:tcBorders>
              <w:left w:val="nil"/>
              <w:bottom w:val="single" w:sz="8" w:space="0" w:color="auto"/>
              <w:right w:val="nil"/>
            </w:tcBorders>
            <w:shd w:val="clear" w:color="auto" w:fill="auto"/>
            <w:noWrap/>
            <w:vAlign w:val="bottom"/>
            <w:hideMark/>
          </w:tcPr>
          <w:p w:rsidR="007D765F" w:rsidRPr="007D765F" w:rsidRDefault="007D765F" w:rsidP="007D765F">
            <w:pPr>
              <w:spacing w:after="0"/>
              <w:jc w:val="center"/>
              <w:rPr>
                <w:b/>
                <w:color w:val="000000"/>
                <w:sz w:val="18"/>
                <w:szCs w:val="18"/>
              </w:rPr>
            </w:pPr>
            <w:r w:rsidRPr="007D765F">
              <w:rPr>
                <w:b/>
                <w:color w:val="000000"/>
                <w:sz w:val="18"/>
                <w:szCs w:val="18"/>
              </w:rPr>
              <w:t>2016</w:t>
            </w:r>
          </w:p>
        </w:tc>
        <w:tc>
          <w:tcPr>
            <w:tcW w:w="1516" w:type="dxa"/>
            <w:tcBorders>
              <w:left w:val="nil"/>
              <w:bottom w:val="single" w:sz="8" w:space="0" w:color="auto"/>
              <w:right w:val="nil"/>
            </w:tcBorders>
          </w:tcPr>
          <w:p w:rsidR="007D765F" w:rsidRPr="007D765F" w:rsidRDefault="007D765F" w:rsidP="007D765F">
            <w:pPr>
              <w:spacing w:after="0"/>
              <w:jc w:val="center"/>
              <w:rPr>
                <w:rFonts w:eastAsia="Arial Unicode MS"/>
                <w:b/>
                <w:sz w:val="18"/>
                <w:szCs w:val="18"/>
              </w:rPr>
            </w:pPr>
            <w:r w:rsidRPr="007D765F">
              <w:rPr>
                <w:rFonts w:eastAsia="Arial Unicode MS"/>
                <w:b/>
                <w:sz w:val="18"/>
                <w:szCs w:val="18"/>
              </w:rPr>
              <w:t>Escapement goal</w:t>
            </w:r>
          </w:p>
          <w:p w:rsidR="007D765F" w:rsidRPr="007D765F" w:rsidRDefault="007D765F" w:rsidP="007D765F">
            <w:pPr>
              <w:spacing w:after="0"/>
              <w:jc w:val="center"/>
              <w:rPr>
                <w:b/>
                <w:color w:val="000000"/>
                <w:sz w:val="18"/>
                <w:szCs w:val="18"/>
              </w:rPr>
            </w:pPr>
            <w:r w:rsidRPr="007D765F">
              <w:rPr>
                <w:rFonts w:eastAsia="Arial Unicode MS"/>
                <w:b/>
                <w:sz w:val="18"/>
                <w:szCs w:val="18"/>
              </w:rPr>
              <w:t>recommendation</w:t>
            </w:r>
          </w:p>
        </w:tc>
      </w:tr>
      <w:tr w:rsidR="007D765F" w:rsidRPr="001D64B7" w:rsidTr="007D765F">
        <w:trPr>
          <w:trHeight w:val="255"/>
        </w:trPr>
        <w:tc>
          <w:tcPr>
            <w:tcW w:w="2175" w:type="dxa"/>
            <w:tcBorders>
              <w:top w:val="nil"/>
              <w:left w:val="nil"/>
              <w:bottom w:val="nil"/>
              <w:right w:val="nil"/>
            </w:tcBorders>
            <w:shd w:val="clear" w:color="auto" w:fill="auto"/>
            <w:noWrap/>
            <w:vAlign w:val="bottom"/>
            <w:hideMark/>
          </w:tcPr>
          <w:p w:rsidR="007D765F" w:rsidRPr="007D765F" w:rsidRDefault="007D765F" w:rsidP="007D765F">
            <w:pPr>
              <w:spacing w:after="0"/>
              <w:jc w:val="left"/>
              <w:rPr>
                <w:color w:val="000000"/>
                <w:sz w:val="18"/>
                <w:szCs w:val="18"/>
              </w:rPr>
            </w:pPr>
            <w:r w:rsidRPr="007D765F">
              <w:rPr>
                <w:color w:val="000000"/>
                <w:sz w:val="18"/>
                <w:szCs w:val="18"/>
              </w:rPr>
              <w:t xml:space="preserve">Hugh Smith Lake </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Weir</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500–1,600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2009 </w:t>
            </w:r>
          </w:p>
        </w:tc>
        <w:tc>
          <w:tcPr>
            <w:tcW w:w="953" w:type="dxa"/>
            <w:tcBorders>
              <w:top w:val="nil"/>
              <w:left w:val="nil"/>
              <w:bottom w:val="nil"/>
              <w:right w:val="nil"/>
            </w:tcBorders>
            <w:shd w:val="clear" w:color="auto" w:fill="auto"/>
            <w:noWrap/>
            <w:vAlign w:val="center"/>
            <w:hideMark/>
          </w:tcPr>
          <w:p w:rsidR="007D765F" w:rsidRPr="007D765F" w:rsidRDefault="007D765F" w:rsidP="007D765F">
            <w:pPr>
              <w:spacing w:after="0"/>
              <w:jc w:val="center"/>
              <w:rPr>
                <w:color w:val="000000"/>
                <w:sz w:val="18"/>
                <w:szCs w:val="18"/>
              </w:rPr>
            </w:pPr>
            <w:r w:rsidRPr="007D765F">
              <w:rPr>
                <w:color w:val="000000"/>
                <w:sz w:val="18"/>
                <w:szCs w:val="18"/>
              </w:rPr>
              <w:t>1,908</w:t>
            </w:r>
          </w:p>
        </w:tc>
        <w:tc>
          <w:tcPr>
            <w:tcW w:w="953" w:type="dxa"/>
            <w:tcBorders>
              <w:top w:val="nil"/>
              <w:left w:val="nil"/>
              <w:bottom w:val="nil"/>
              <w:right w:val="nil"/>
            </w:tcBorders>
            <w:shd w:val="clear" w:color="auto" w:fill="auto"/>
            <w:noWrap/>
            <w:vAlign w:val="center"/>
            <w:hideMark/>
          </w:tcPr>
          <w:p w:rsidR="007D765F" w:rsidRPr="007D765F" w:rsidRDefault="007D765F" w:rsidP="007D765F">
            <w:pPr>
              <w:spacing w:after="0"/>
              <w:jc w:val="center"/>
              <w:rPr>
                <w:color w:val="000000"/>
                <w:sz w:val="18"/>
                <w:szCs w:val="18"/>
              </w:rPr>
            </w:pPr>
            <w:r w:rsidRPr="007D765F">
              <w:rPr>
                <w:color w:val="000000"/>
                <w:sz w:val="18"/>
                <w:szCs w:val="18"/>
              </w:rPr>
              <w:t>3,148</w:t>
            </w:r>
          </w:p>
        </w:tc>
        <w:tc>
          <w:tcPr>
            <w:tcW w:w="953" w:type="dxa"/>
            <w:tcBorders>
              <w:top w:val="nil"/>
              <w:left w:val="nil"/>
              <w:bottom w:val="nil"/>
              <w:right w:val="nil"/>
            </w:tcBorders>
            <w:shd w:val="clear" w:color="auto" w:fill="auto"/>
            <w:noWrap/>
            <w:vAlign w:val="center"/>
            <w:hideMark/>
          </w:tcPr>
          <w:p w:rsidR="007D765F" w:rsidRPr="007D765F" w:rsidRDefault="007D765F" w:rsidP="007D765F">
            <w:pPr>
              <w:spacing w:after="0"/>
              <w:jc w:val="center"/>
              <w:rPr>
                <w:color w:val="000000"/>
                <w:sz w:val="18"/>
                <w:szCs w:val="18"/>
              </w:rPr>
            </w:pPr>
            <w:r w:rsidRPr="007D765F">
              <w:rPr>
                <w:color w:val="000000"/>
                <w:sz w:val="18"/>
                <w:szCs w:val="18"/>
              </w:rPr>
              <w:t>4,110</w:t>
            </w:r>
          </w:p>
        </w:tc>
        <w:tc>
          <w:tcPr>
            <w:tcW w:w="953" w:type="dxa"/>
            <w:tcBorders>
              <w:top w:val="nil"/>
              <w:left w:val="nil"/>
              <w:bottom w:val="nil"/>
              <w:right w:val="nil"/>
            </w:tcBorders>
            <w:shd w:val="clear" w:color="auto" w:fill="auto"/>
            <w:noWrap/>
            <w:vAlign w:val="center"/>
            <w:hideMark/>
          </w:tcPr>
          <w:p w:rsidR="007D765F" w:rsidRPr="007D765F" w:rsidRDefault="007D765F" w:rsidP="007D765F">
            <w:pPr>
              <w:spacing w:after="0"/>
              <w:jc w:val="center"/>
              <w:rPr>
                <w:color w:val="000000"/>
                <w:sz w:val="18"/>
                <w:szCs w:val="18"/>
              </w:rPr>
            </w:pPr>
            <w:r w:rsidRPr="007D765F">
              <w:rPr>
                <w:color w:val="000000"/>
                <w:sz w:val="18"/>
                <w:szCs w:val="18"/>
              </w:rPr>
              <w:t>956</w:t>
            </w:r>
          </w:p>
        </w:tc>
        <w:tc>
          <w:tcPr>
            <w:tcW w:w="953" w:type="dxa"/>
            <w:tcBorders>
              <w:top w:val="nil"/>
              <w:left w:val="nil"/>
              <w:bottom w:val="nil"/>
              <w:right w:val="nil"/>
            </w:tcBorders>
            <w:shd w:val="clear" w:color="auto" w:fill="auto"/>
            <w:noWrap/>
            <w:vAlign w:val="center"/>
            <w:hideMark/>
          </w:tcPr>
          <w:p w:rsidR="007D765F" w:rsidRPr="007D765F" w:rsidRDefault="007D765F" w:rsidP="007D765F">
            <w:pPr>
              <w:spacing w:after="0"/>
              <w:jc w:val="center"/>
              <w:rPr>
                <w:color w:val="000000"/>
                <w:sz w:val="18"/>
                <w:szCs w:val="18"/>
              </w:rPr>
            </w:pPr>
            <w:r w:rsidRPr="007D765F">
              <w:rPr>
                <w:color w:val="000000"/>
                <w:sz w:val="18"/>
                <w:szCs w:val="18"/>
              </w:rPr>
              <w:t>948</w:t>
            </w:r>
          </w:p>
        </w:tc>
        <w:tc>
          <w:tcPr>
            <w:tcW w:w="1516" w:type="dxa"/>
            <w:tcBorders>
              <w:top w:val="nil"/>
              <w:left w:val="nil"/>
              <w:bottom w:val="nil"/>
              <w:right w:val="nil"/>
            </w:tcBorders>
          </w:tcPr>
          <w:p w:rsidR="007D765F" w:rsidRPr="007D765F" w:rsidRDefault="007D765F" w:rsidP="007D765F">
            <w:pPr>
              <w:spacing w:after="0"/>
              <w:jc w:val="center"/>
              <w:rPr>
                <w:color w:val="000000"/>
                <w:sz w:val="18"/>
                <w:szCs w:val="18"/>
              </w:rPr>
            </w:pPr>
          </w:p>
        </w:tc>
      </w:tr>
      <w:tr w:rsidR="007D765F" w:rsidRPr="001D64B7" w:rsidTr="007D765F">
        <w:trPr>
          <w:trHeight w:val="255"/>
        </w:trPr>
        <w:tc>
          <w:tcPr>
            <w:tcW w:w="2175" w:type="dxa"/>
            <w:tcBorders>
              <w:top w:val="nil"/>
              <w:left w:val="nil"/>
              <w:bottom w:val="nil"/>
              <w:right w:val="nil"/>
            </w:tcBorders>
            <w:shd w:val="clear" w:color="auto" w:fill="auto"/>
            <w:noWrap/>
            <w:vAlign w:val="bottom"/>
            <w:hideMark/>
          </w:tcPr>
          <w:p w:rsidR="007D765F" w:rsidRPr="007D765F" w:rsidRDefault="007D765F" w:rsidP="007D765F">
            <w:pPr>
              <w:spacing w:after="0"/>
              <w:jc w:val="left"/>
              <w:rPr>
                <w:color w:val="000000"/>
                <w:sz w:val="18"/>
                <w:szCs w:val="18"/>
              </w:rPr>
            </w:pPr>
            <w:proofErr w:type="spellStart"/>
            <w:r w:rsidRPr="007D765F">
              <w:rPr>
                <w:color w:val="000000"/>
                <w:sz w:val="18"/>
                <w:szCs w:val="18"/>
              </w:rPr>
              <w:t>Klawock</w:t>
            </w:r>
            <w:proofErr w:type="spellEnd"/>
            <w:r w:rsidRPr="007D765F">
              <w:rPr>
                <w:color w:val="000000"/>
                <w:sz w:val="18"/>
                <w:szCs w:val="18"/>
              </w:rPr>
              <w:t xml:space="preserve"> River</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Weir</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4,000–9,000</w:t>
            </w:r>
          </w:p>
        </w:tc>
        <w:tc>
          <w:tcPr>
            <w:tcW w:w="1159"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2013</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7,507</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8,323</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7,698</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12,780</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24,242</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7D765F">
        <w:trPr>
          <w:trHeight w:val="255"/>
        </w:trPr>
        <w:tc>
          <w:tcPr>
            <w:tcW w:w="2175" w:type="dxa"/>
            <w:tcBorders>
              <w:top w:val="nil"/>
              <w:left w:val="nil"/>
              <w:bottom w:val="nil"/>
              <w:right w:val="nil"/>
            </w:tcBorders>
            <w:shd w:val="clear" w:color="auto" w:fill="auto"/>
            <w:noWrap/>
            <w:vAlign w:val="bottom"/>
            <w:hideMark/>
          </w:tcPr>
          <w:p w:rsidR="007D765F" w:rsidRPr="007D765F" w:rsidRDefault="007D765F" w:rsidP="004A1746">
            <w:pPr>
              <w:spacing w:after="0"/>
              <w:jc w:val="left"/>
              <w:rPr>
                <w:color w:val="000000"/>
                <w:sz w:val="18"/>
                <w:szCs w:val="18"/>
              </w:rPr>
            </w:pPr>
            <w:proofErr w:type="spellStart"/>
            <w:r w:rsidRPr="007D765F">
              <w:rPr>
                <w:color w:val="000000"/>
                <w:sz w:val="18"/>
                <w:szCs w:val="18"/>
              </w:rPr>
              <w:t>Taku</w:t>
            </w:r>
            <w:proofErr w:type="spellEnd"/>
            <w:r w:rsidRPr="007D765F">
              <w:rPr>
                <w:color w:val="000000"/>
                <w:sz w:val="18"/>
                <w:szCs w:val="18"/>
              </w:rPr>
              <w:t xml:space="preserve"> </w:t>
            </w:r>
            <w:proofErr w:type="spellStart"/>
            <w:r w:rsidRPr="007D765F">
              <w:rPr>
                <w:color w:val="000000"/>
                <w:sz w:val="18"/>
                <w:szCs w:val="18"/>
              </w:rPr>
              <w:t>River</w:t>
            </w:r>
            <w:r w:rsidR="004A1746">
              <w:rPr>
                <w:color w:val="000000"/>
                <w:sz w:val="18"/>
                <w:szCs w:val="18"/>
                <w:vertAlign w:val="superscript"/>
              </w:rPr>
              <w:t>b</w:t>
            </w:r>
            <w:proofErr w:type="spellEnd"/>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MR</w:t>
            </w:r>
          </w:p>
        </w:tc>
        <w:tc>
          <w:tcPr>
            <w:tcW w:w="671" w:type="dxa"/>
            <w:tcBorders>
              <w:top w:val="nil"/>
              <w:left w:val="nil"/>
              <w:bottom w:val="nil"/>
              <w:right w:val="nil"/>
            </w:tcBorders>
            <w:shd w:val="clear" w:color="auto" w:fill="auto"/>
            <w:noWrap/>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50,000–90,000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2015 </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70,775</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68,117</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124,171</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60,178</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87,704</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7D765F">
        <w:trPr>
          <w:trHeight w:val="255"/>
        </w:trPr>
        <w:tc>
          <w:tcPr>
            <w:tcW w:w="2175" w:type="dxa"/>
            <w:tcBorders>
              <w:top w:val="nil"/>
              <w:left w:val="nil"/>
              <w:bottom w:val="nil"/>
              <w:right w:val="nil"/>
            </w:tcBorders>
            <w:shd w:val="clear" w:color="auto" w:fill="auto"/>
            <w:noWrap/>
            <w:vAlign w:val="bottom"/>
            <w:hideMark/>
          </w:tcPr>
          <w:p w:rsidR="007D765F" w:rsidRPr="007D765F" w:rsidRDefault="007D765F" w:rsidP="007D765F">
            <w:pPr>
              <w:spacing w:after="0"/>
              <w:jc w:val="left"/>
              <w:rPr>
                <w:color w:val="000000"/>
                <w:sz w:val="18"/>
                <w:szCs w:val="18"/>
              </w:rPr>
            </w:pPr>
            <w:r w:rsidRPr="007D765F">
              <w:rPr>
                <w:color w:val="000000"/>
                <w:sz w:val="18"/>
                <w:szCs w:val="18"/>
              </w:rPr>
              <w:t>Auke Creek</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Weir</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200–500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1994 </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837</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736</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1,533</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517</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204</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7D765F">
        <w:trPr>
          <w:trHeight w:val="255"/>
        </w:trPr>
        <w:tc>
          <w:tcPr>
            <w:tcW w:w="2175" w:type="dxa"/>
            <w:tcBorders>
              <w:top w:val="nil"/>
              <w:left w:val="nil"/>
              <w:bottom w:val="nil"/>
              <w:right w:val="nil"/>
            </w:tcBorders>
            <w:shd w:val="clear" w:color="auto" w:fill="auto"/>
            <w:noWrap/>
            <w:vAlign w:val="bottom"/>
            <w:hideMark/>
          </w:tcPr>
          <w:p w:rsidR="007D765F" w:rsidRPr="007D765F" w:rsidRDefault="007D765F" w:rsidP="007D765F">
            <w:pPr>
              <w:spacing w:after="0"/>
              <w:jc w:val="left"/>
              <w:rPr>
                <w:color w:val="000000"/>
                <w:sz w:val="18"/>
                <w:szCs w:val="18"/>
              </w:rPr>
            </w:pPr>
            <w:r w:rsidRPr="007D765F">
              <w:rPr>
                <w:color w:val="000000"/>
                <w:sz w:val="18"/>
                <w:szCs w:val="18"/>
              </w:rPr>
              <w:t>Montana Creek</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FS, IE</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SEG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400–1,200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2006 </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394</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367</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911</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1,204</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717</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4A1746">
        <w:trPr>
          <w:trHeight w:val="255"/>
        </w:trPr>
        <w:tc>
          <w:tcPr>
            <w:tcW w:w="2175" w:type="dxa"/>
            <w:tcBorders>
              <w:top w:val="nil"/>
              <w:left w:val="nil"/>
              <w:bottom w:val="nil"/>
              <w:right w:val="nil"/>
            </w:tcBorders>
            <w:shd w:val="clear" w:color="auto" w:fill="auto"/>
            <w:noWrap/>
            <w:vAlign w:val="bottom"/>
            <w:hideMark/>
          </w:tcPr>
          <w:p w:rsidR="007D765F" w:rsidRPr="007D765F" w:rsidRDefault="007D765F" w:rsidP="007D765F">
            <w:pPr>
              <w:spacing w:after="0"/>
              <w:jc w:val="left"/>
              <w:rPr>
                <w:color w:val="000000"/>
                <w:sz w:val="18"/>
                <w:szCs w:val="18"/>
              </w:rPr>
            </w:pPr>
            <w:r w:rsidRPr="007D765F">
              <w:rPr>
                <w:color w:val="000000"/>
                <w:sz w:val="18"/>
                <w:szCs w:val="18"/>
              </w:rPr>
              <w:t>Peterson Creek</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FS, IE</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SEG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100–250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2006 </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190</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126</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284</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202</w:t>
            </w:r>
          </w:p>
        </w:tc>
        <w:tc>
          <w:tcPr>
            <w:tcW w:w="953" w:type="dxa"/>
            <w:tcBorders>
              <w:top w:val="nil"/>
              <w:left w:val="nil"/>
              <w:bottom w:val="nil"/>
              <w:right w:val="nil"/>
            </w:tcBorders>
            <w:shd w:val="clear" w:color="auto" w:fill="BFBFBF" w:themeFill="background1" w:themeFillShade="BF"/>
            <w:noWrap/>
            <w:vAlign w:val="bottom"/>
            <w:hideMark/>
          </w:tcPr>
          <w:p w:rsidR="007D765F" w:rsidRPr="007D765F" w:rsidRDefault="007D765F" w:rsidP="007D765F">
            <w:pPr>
              <w:spacing w:after="0"/>
              <w:jc w:val="center"/>
              <w:rPr>
                <w:sz w:val="18"/>
                <w:szCs w:val="18"/>
              </w:rPr>
            </w:pPr>
            <w:r w:rsidRPr="004A1746">
              <w:rPr>
                <w:sz w:val="18"/>
                <w:szCs w:val="18"/>
              </w:rPr>
              <w:t>52</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7D765F">
        <w:trPr>
          <w:trHeight w:val="255"/>
        </w:trPr>
        <w:tc>
          <w:tcPr>
            <w:tcW w:w="2175" w:type="dxa"/>
            <w:tcBorders>
              <w:top w:val="nil"/>
              <w:left w:val="nil"/>
              <w:bottom w:val="nil"/>
              <w:right w:val="nil"/>
            </w:tcBorders>
            <w:shd w:val="clear" w:color="auto" w:fill="auto"/>
            <w:noWrap/>
            <w:vAlign w:val="bottom"/>
            <w:hideMark/>
          </w:tcPr>
          <w:p w:rsidR="007D765F" w:rsidRPr="007D765F" w:rsidRDefault="007D765F" w:rsidP="007D765F">
            <w:pPr>
              <w:spacing w:after="0"/>
              <w:jc w:val="left"/>
              <w:rPr>
                <w:color w:val="000000"/>
                <w:sz w:val="18"/>
                <w:szCs w:val="18"/>
              </w:rPr>
            </w:pPr>
            <w:r w:rsidRPr="007D765F">
              <w:rPr>
                <w:color w:val="000000"/>
                <w:sz w:val="18"/>
                <w:szCs w:val="18"/>
              </w:rPr>
              <w:t>Ketchikan Survey Index</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HS</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4,250–8,500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2006 </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11,960</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11,295</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16,675</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10,128</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13,420</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7D765F">
        <w:trPr>
          <w:trHeight w:val="255"/>
        </w:trPr>
        <w:tc>
          <w:tcPr>
            <w:tcW w:w="2175" w:type="dxa"/>
            <w:tcBorders>
              <w:top w:val="nil"/>
              <w:left w:val="nil"/>
              <w:bottom w:val="nil"/>
              <w:right w:val="nil"/>
            </w:tcBorders>
            <w:shd w:val="clear" w:color="auto" w:fill="auto"/>
            <w:noWrap/>
            <w:vAlign w:val="bottom"/>
            <w:hideMark/>
          </w:tcPr>
          <w:p w:rsidR="007D765F" w:rsidRPr="007D765F" w:rsidRDefault="007D765F" w:rsidP="007D765F">
            <w:pPr>
              <w:spacing w:after="0"/>
              <w:jc w:val="left"/>
              <w:rPr>
                <w:color w:val="000000"/>
                <w:sz w:val="18"/>
                <w:szCs w:val="18"/>
              </w:rPr>
            </w:pPr>
            <w:r w:rsidRPr="007D765F">
              <w:rPr>
                <w:color w:val="000000"/>
                <w:sz w:val="18"/>
                <w:szCs w:val="18"/>
              </w:rPr>
              <w:t>Sitka Survey Index</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FS, IE</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400–800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2006 </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1,157</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1,414</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2,161</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2,244</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2,943</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7D765F">
        <w:trPr>
          <w:trHeight w:val="255"/>
        </w:trPr>
        <w:tc>
          <w:tcPr>
            <w:tcW w:w="2175" w:type="dxa"/>
            <w:tcBorders>
              <w:top w:val="nil"/>
              <w:left w:val="nil"/>
              <w:bottom w:val="nil"/>
              <w:right w:val="nil"/>
            </w:tcBorders>
            <w:shd w:val="clear" w:color="auto" w:fill="auto"/>
            <w:noWrap/>
            <w:vAlign w:val="bottom"/>
            <w:hideMark/>
          </w:tcPr>
          <w:p w:rsidR="007D765F" w:rsidRPr="007D765F" w:rsidRDefault="007D765F" w:rsidP="007D765F">
            <w:pPr>
              <w:spacing w:after="0"/>
              <w:jc w:val="left"/>
              <w:rPr>
                <w:color w:val="000000"/>
                <w:sz w:val="18"/>
                <w:szCs w:val="18"/>
              </w:rPr>
            </w:pPr>
            <w:r w:rsidRPr="007D765F">
              <w:rPr>
                <w:color w:val="000000"/>
                <w:sz w:val="18"/>
                <w:szCs w:val="18"/>
              </w:rPr>
              <w:t xml:space="preserve">Ford Arm Lake </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Weir</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1,300–2,900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1994 </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2,282</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1,573</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3,025</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3,281</w:t>
            </w:r>
          </w:p>
        </w:tc>
        <w:tc>
          <w:tcPr>
            <w:tcW w:w="953" w:type="dxa"/>
            <w:tcBorders>
              <w:top w:val="nil"/>
              <w:left w:val="nil"/>
              <w:bottom w:val="nil"/>
              <w:right w:val="nil"/>
            </w:tcBorders>
            <w:shd w:val="clear" w:color="auto" w:fill="auto"/>
            <w:noWrap/>
            <w:vAlign w:val="center"/>
            <w:hideMark/>
          </w:tcPr>
          <w:p w:rsidR="007D765F" w:rsidRPr="007D765F" w:rsidRDefault="007D765F" w:rsidP="007D765F">
            <w:pPr>
              <w:spacing w:after="0"/>
              <w:jc w:val="center"/>
              <w:rPr>
                <w:color w:val="000000"/>
                <w:sz w:val="18"/>
                <w:szCs w:val="18"/>
              </w:rPr>
            </w:pPr>
            <w:r w:rsidRPr="007D765F">
              <w:rPr>
                <w:color w:val="000000"/>
                <w:sz w:val="18"/>
                <w:szCs w:val="18"/>
              </w:rPr>
              <w:t>-</w:t>
            </w:r>
          </w:p>
        </w:tc>
        <w:tc>
          <w:tcPr>
            <w:tcW w:w="1516" w:type="dxa"/>
            <w:tcBorders>
              <w:top w:val="nil"/>
              <w:left w:val="nil"/>
              <w:bottom w:val="nil"/>
              <w:right w:val="nil"/>
            </w:tcBorders>
          </w:tcPr>
          <w:p w:rsidR="007D765F" w:rsidRPr="007D765F" w:rsidRDefault="007D765F" w:rsidP="007D765F">
            <w:pPr>
              <w:spacing w:after="0"/>
              <w:jc w:val="center"/>
              <w:rPr>
                <w:color w:val="000000"/>
                <w:sz w:val="18"/>
                <w:szCs w:val="18"/>
              </w:rPr>
            </w:pPr>
          </w:p>
        </w:tc>
      </w:tr>
      <w:tr w:rsidR="007D765F" w:rsidRPr="001D64B7" w:rsidTr="007D765F">
        <w:trPr>
          <w:trHeight w:val="255"/>
        </w:trPr>
        <w:tc>
          <w:tcPr>
            <w:tcW w:w="2175" w:type="dxa"/>
            <w:tcBorders>
              <w:top w:val="nil"/>
              <w:left w:val="nil"/>
              <w:bottom w:val="nil"/>
              <w:right w:val="nil"/>
            </w:tcBorders>
            <w:shd w:val="clear" w:color="auto" w:fill="auto"/>
            <w:noWrap/>
            <w:vAlign w:val="bottom"/>
            <w:hideMark/>
          </w:tcPr>
          <w:p w:rsidR="007D765F" w:rsidRPr="007D765F" w:rsidRDefault="007D765F" w:rsidP="007D765F">
            <w:pPr>
              <w:spacing w:after="0"/>
              <w:jc w:val="left"/>
              <w:rPr>
                <w:color w:val="000000"/>
                <w:sz w:val="18"/>
                <w:szCs w:val="18"/>
              </w:rPr>
            </w:pPr>
            <w:r w:rsidRPr="007D765F">
              <w:rPr>
                <w:color w:val="000000"/>
                <w:sz w:val="18"/>
                <w:szCs w:val="18"/>
              </w:rPr>
              <w:t xml:space="preserve">Berners River </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MR</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4,000–9,200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1994 </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5,480</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6,280</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15,480</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9,940</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6,733</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4A1746">
        <w:trPr>
          <w:trHeight w:val="255"/>
        </w:trPr>
        <w:tc>
          <w:tcPr>
            <w:tcW w:w="2175" w:type="dxa"/>
            <w:tcBorders>
              <w:top w:val="nil"/>
              <w:left w:val="nil"/>
              <w:bottom w:val="nil"/>
              <w:right w:val="nil"/>
            </w:tcBorders>
            <w:shd w:val="clear" w:color="auto" w:fill="auto"/>
            <w:noWrap/>
            <w:vAlign w:val="center"/>
            <w:hideMark/>
          </w:tcPr>
          <w:p w:rsidR="007D765F" w:rsidRPr="007D765F" w:rsidRDefault="007D765F" w:rsidP="004A1746">
            <w:pPr>
              <w:spacing w:after="0"/>
              <w:jc w:val="left"/>
              <w:rPr>
                <w:color w:val="000000"/>
                <w:sz w:val="18"/>
                <w:szCs w:val="18"/>
              </w:rPr>
            </w:pPr>
            <w:r w:rsidRPr="007D765F">
              <w:rPr>
                <w:color w:val="000000"/>
                <w:sz w:val="18"/>
                <w:szCs w:val="18"/>
              </w:rPr>
              <w:t xml:space="preserve">Chilkat River </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MR</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30,000–70,000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2006 </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36,961</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51,324</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130,200</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47,372</w:t>
            </w:r>
          </w:p>
        </w:tc>
        <w:tc>
          <w:tcPr>
            <w:tcW w:w="953" w:type="dxa"/>
            <w:tcBorders>
              <w:top w:val="nil"/>
              <w:left w:val="nil"/>
              <w:bottom w:val="nil"/>
              <w:right w:val="nil"/>
            </w:tcBorders>
            <w:shd w:val="clear" w:color="auto" w:fill="BFBFBF" w:themeFill="background1" w:themeFillShade="BF"/>
            <w:noWrap/>
            <w:vAlign w:val="bottom"/>
            <w:hideMark/>
          </w:tcPr>
          <w:p w:rsidR="007D765F" w:rsidRPr="007D765F" w:rsidRDefault="007D765F" w:rsidP="007D765F">
            <w:pPr>
              <w:spacing w:after="0"/>
              <w:jc w:val="center"/>
              <w:rPr>
                <w:sz w:val="18"/>
                <w:szCs w:val="18"/>
              </w:rPr>
            </w:pPr>
            <w:r w:rsidRPr="007D765F">
              <w:rPr>
                <w:sz w:val="18"/>
                <w:szCs w:val="18"/>
              </w:rPr>
              <w:t>26,280</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4A1746">
        <w:trPr>
          <w:trHeight w:val="255"/>
        </w:trPr>
        <w:tc>
          <w:tcPr>
            <w:tcW w:w="2175" w:type="dxa"/>
            <w:tcBorders>
              <w:top w:val="nil"/>
              <w:left w:val="nil"/>
              <w:bottom w:val="nil"/>
              <w:right w:val="nil"/>
            </w:tcBorders>
            <w:shd w:val="clear" w:color="auto" w:fill="auto"/>
            <w:noWrap/>
            <w:vAlign w:val="center"/>
            <w:hideMark/>
          </w:tcPr>
          <w:p w:rsidR="007D765F" w:rsidRPr="007D765F" w:rsidRDefault="007D765F" w:rsidP="007D765F">
            <w:pPr>
              <w:spacing w:after="0"/>
              <w:jc w:val="left"/>
              <w:rPr>
                <w:color w:val="000000"/>
                <w:sz w:val="18"/>
                <w:szCs w:val="18"/>
              </w:rPr>
            </w:pPr>
            <w:proofErr w:type="spellStart"/>
            <w:r w:rsidRPr="007D765F">
              <w:rPr>
                <w:color w:val="000000"/>
                <w:sz w:val="18"/>
                <w:szCs w:val="18"/>
              </w:rPr>
              <w:t>Tawah</w:t>
            </w:r>
            <w:proofErr w:type="spellEnd"/>
            <w:r w:rsidRPr="007D765F">
              <w:rPr>
                <w:color w:val="000000"/>
                <w:sz w:val="18"/>
                <w:szCs w:val="18"/>
              </w:rPr>
              <w:t xml:space="preserve"> Creek (Lost River)</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FS,IE</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SEG</w:t>
            </w:r>
          </w:p>
        </w:tc>
        <w:tc>
          <w:tcPr>
            <w:tcW w:w="1558" w:type="dxa"/>
            <w:tcBorders>
              <w:top w:val="nil"/>
              <w:left w:val="nil"/>
              <w:bottom w:val="nil"/>
              <w:right w:val="nil"/>
            </w:tcBorders>
            <w:shd w:val="clear" w:color="auto" w:fill="auto"/>
            <w:noWrap/>
            <w:vAlign w:val="bottom"/>
            <w:hideMark/>
          </w:tcPr>
          <w:p w:rsidR="007D765F" w:rsidRPr="007D765F" w:rsidRDefault="004A1746" w:rsidP="007D765F">
            <w:pPr>
              <w:spacing w:after="0"/>
              <w:jc w:val="center"/>
              <w:rPr>
                <w:color w:val="000000"/>
                <w:sz w:val="18"/>
                <w:szCs w:val="18"/>
              </w:rPr>
            </w:pPr>
            <w:r>
              <w:rPr>
                <w:color w:val="000000"/>
                <w:sz w:val="18"/>
                <w:szCs w:val="18"/>
              </w:rPr>
              <w:t>1,600</w:t>
            </w:r>
            <w:r w:rsidRPr="007D765F">
              <w:rPr>
                <w:color w:val="000000"/>
                <w:sz w:val="18"/>
                <w:szCs w:val="18"/>
              </w:rPr>
              <w:t>–</w:t>
            </w:r>
            <w:r>
              <w:rPr>
                <w:color w:val="000000"/>
                <w:sz w:val="18"/>
                <w:szCs w:val="18"/>
              </w:rPr>
              <w:t>4,800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2015 </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2,593</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3,555</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2,015</w:t>
            </w:r>
          </w:p>
        </w:tc>
        <w:tc>
          <w:tcPr>
            <w:tcW w:w="953" w:type="dxa"/>
            <w:tcBorders>
              <w:top w:val="nil"/>
              <w:left w:val="nil"/>
              <w:bottom w:val="nil"/>
              <w:right w:val="nil"/>
            </w:tcBorders>
            <w:shd w:val="clear" w:color="auto" w:fill="BFBFBF" w:themeFill="background1" w:themeFillShade="BF"/>
            <w:noWrap/>
            <w:vAlign w:val="bottom"/>
            <w:hideMark/>
          </w:tcPr>
          <w:p w:rsidR="007D765F" w:rsidRPr="007D765F" w:rsidRDefault="007D765F" w:rsidP="007D765F">
            <w:pPr>
              <w:spacing w:after="0"/>
              <w:jc w:val="center"/>
              <w:rPr>
                <w:sz w:val="18"/>
                <w:szCs w:val="18"/>
              </w:rPr>
            </w:pPr>
            <w:r w:rsidRPr="007D765F">
              <w:rPr>
                <w:sz w:val="18"/>
                <w:szCs w:val="18"/>
              </w:rPr>
              <w:t>746</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4A1746">
        <w:trPr>
          <w:trHeight w:val="255"/>
        </w:trPr>
        <w:tc>
          <w:tcPr>
            <w:tcW w:w="2175" w:type="dxa"/>
            <w:tcBorders>
              <w:top w:val="nil"/>
              <w:left w:val="nil"/>
              <w:bottom w:val="nil"/>
              <w:right w:val="nil"/>
            </w:tcBorders>
            <w:shd w:val="clear" w:color="auto" w:fill="auto"/>
            <w:noWrap/>
            <w:vAlign w:val="center"/>
            <w:hideMark/>
          </w:tcPr>
          <w:p w:rsidR="007D765F" w:rsidRPr="007D765F" w:rsidRDefault="007D765F" w:rsidP="007D765F">
            <w:pPr>
              <w:spacing w:after="0"/>
              <w:jc w:val="left"/>
              <w:rPr>
                <w:color w:val="000000"/>
                <w:sz w:val="18"/>
                <w:szCs w:val="18"/>
              </w:rPr>
            </w:pPr>
            <w:r w:rsidRPr="007D765F">
              <w:rPr>
                <w:color w:val="000000"/>
                <w:sz w:val="18"/>
                <w:szCs w:val="18"/>
              </w:rPr>
              <w:t xml:space="preserve">Situk River </w:t>
            </w:r>
          </w:p>
        </w:tc>
        <w:tc>
          <w:tcPr>
            <w:tcW w:w="123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BS,IE</w:t>
            </w:r>
          </w:p>
        </w:tc>
        <w:tc>
          <w:tcPr>
            <w:tcW w:w="671"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3,300–9,800</w:t>
            </w:r>
          </w:p>
        </w:tc>
        <w:tc>
          <w:tcPr>
            <w:tcW w:w="1159" w:type="dxa"/>
            <w:tcBorders>
              <w:top w:val="nil"/>
              <w:left w:val="nil"/>
              <w:bottom w:val="nil"/>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1994 </w:t>
            </w:r>
          </w:p>
        </w:tc>
        <w:tc>
          <w:tcPr>
            <w:tcW w:w="953" w:type="dxa"/>
            <w:tcBorders>
              <w:top w:val="nil"/>
              <w:left w:val="nil"/>
              <w:bottom w:val="nil"/>
              <w:right w:val="nil"/>
            </w:tcBorders>
            <w:shd w:val="clear" w:color="auto" w:fill="BFBFBF" w:themeFill="background1" w:themeFillShade="BF"/>
            <w:noWrap/>
            <w:vAlign w:val="bottom"/>
            <w:hideMark/>
          </w:tcPr>
          <w:p w:rsidR="007D765F" w:rsidRPr="007D765F" w:rsidRDefault="007D765F" w:rsidP="007D765F">
            <w:pPr>
              <w:spacing w:after="0"/>
              <w:jc w:val="center"/>
              <w:rPr>
                <w:sz w:val="18"/>
                <w:szCs w:val="18"/>
              </w:rPr>
            </w:pPr>
            <w:r w:rsidRPr="007D765F">
              <w:rPr>
                <w:sz w:val="18"/>
                <w:szCs w:val="18"/>
              </w:rPr>
              <w:t>3,007</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14,853</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8,226</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7,062</w:t>
            </w:r>
          </w:p>
        </w:tc>
        <w:tc>
          <w:tcPr>
            <w:tcW w:w="953" w:type="dxa"/>
            <w:tcBorders>
              <w:top w:val="nil"/>
              <w:left w:val="nil"/>
              <w:bottom w:val="nil"/>
              <w:right w:val="nil"/>
            </w:tcBorders>
            <w:shd w:val="clear" w:color="auto" w:fill="auto"/>
            <w:noWrap/>
            <w:vAlign w:val="bottom"/>
            <w:hideMark/>
          </w:tcPr>
          <w:p w:rsidR="007D765F" w:rsidRPr="007D765F" w:rsidRDefault="007D765F" w:rsidP="007D765F">
            <w:pPr>
              <w:spacing w:after="0"/>
              <w:jc w:val="center"/>
              <w:rPr>
                <w:sz w:val="18"/>
                <w:szCs w:val="18"/>
              </w:rPr>
            </w:pPr>
            <w:r w:rsidRPr="007D765F">
              <w:rPr>
                <w:sz w:val="18"/>
                <w:szCs w:val="18"/>
              </w:rPr>
              <w:t>6,177</w:t>
            </w:r>
          </w:p>
        </w:tc>
        <w:tc>
          <w:tcPr>
            <w:tcW w:w="1516" w:type="dxa"/>
            <w:tcBorders>
              <w:top w:val="nil"/>
              <w:left w:val="nil"/>
              <w:bottom w:val="nil"/>
              <w:right w:val="nil"/>
            </w:tcBorders>
          </w:tcPr>
          <w:p w:rsidR="007D765F" w:rsidRPr="007D765F" w:rsidRDefault="007D765F" w:rsidP="007D765F">
            <w:pPr>
              <w:spacing w:after="0"/>
              <w:jc w:val="center"/>
              <w:rPr>
                <w:sz w:val="18"/>
                <w:szCs w:val="18"/>
              </w:rPr>
            </w:pPr>
          </w:p>
        </w:tc>
      </w:tr>
      <w:tr w:rsidR="007D765F" w:rsidRPr="001D64B7" w:rsidTr="007D765F">
        <w:trPr>
          <w:trHeight w:val="255"/>
        </w:trPr>
        <w:tc>
          <w:tcPr>
            <w:tcW w:w="2175" w:type="dxa"/>
            <w:tcBorders>
              <w:top w:val="nil"/>
              <w:left w:val="nil"/>
              <w:bottom w:val="single" w:sz="4" w:space="0" w:color="auto"/>
              <w:right w:val="nil"/>
            </w:tcBorders>
            <w:shd w:val="clear" w:color="auto" w:fill="auto"/>
            <w:noWrap/>
            <w:vAlign w:val="center"/>
            <w:hideMark/>
          </w:tcPr>
          <w:p w:rsidR="007D765F" w:rsidRPr="007D765F" w:rsidRDefault="007D765F" w:rsidP="007D765F">
            <w:pPr>
              <w:spacing w:after="0"/>
              <w:jc w:val="left"/>
              <w:rPr>
                <w:color w:val="000000"/>
                <w:sz w:val="18"/>
                <w:szCs w:val="18"/>
              </w:rPr>
            </w:pPr>
            <w:proofErr w:type="spellStart"/>
            <w:r w:rsidRPr="007D765F">
              <w:rPr>
                <w:color w:val="000000"/>
                <w:sz w:val="18"/>
                <w:szCs w:val="18"/>
              </w:rPr>
              <w:t>Tsiu</w:t>
            </w:r>
            <w:proofErr w:type="spellEnd"/>
            <w:r w:rsidRPr="007D765F">
              <w:rPr>
                <w:color w:val="000000"/>
                <w:sz w:val="18"/>
                <w:szCs w:val="18"/>
              </w:rPr>
              <w:t>/</w:t>
            </w:r>
            <w:proofErr w:type="spellStart"/>
            <w:r w:rsidRPr="007D765F">
              <w:rPr>
                <w:color w:val="000000"/>
                <w:sz w:val="18"/>
                <w:szCs w:val="18"/>
              </w:rPr>
              <w:t>Tsivat</w:t>
            </w:r>
            <w:proofErr w:type="spellEnd"/>
            <w:r w:rsidRPr="007D765F">
              <w:rPr>
                <w:color w:val="000000"/>
                <w:sz w:val="18"/>
                <w:szCs w:val="18"/>
              </w:rPr>
              <w:t xml:space="preserve"> Rivers</w:t>
            </w:r>
          </w:p>
        </w:tc>
        <w:tc>
          <w:tcPr>
            <w:tcW w:w="1239" w:type="dxa"/>
            <w:tcBorders>
              <w:top w:val="nil"/>
              <w:left w:val="nil"/>
              <w:bottom w:val="single" w:sz="4" w:space="0" w:color="auto"/>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AS,IE</w:t>
            </w:r>
          </w:p>
        </w:tc>
        <w:tc>
          <w:tcPr>
            <w:tcW w:w="671" w:type="dxa"/>
            <w:tcBorders>
              <w:top w:val="nil"/>
              <w:left w:val="nil"/>
              <w:bottom w:val="single" w:sz="4" w:space="0" w:color="auto"/>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BEG</w:t>
            </w:r>
          </w:p>
        </w:tc>
        <w:tc>
          <w:tcPr>
            <w:tcW w:w="1558" w:type="dxa"/>
            <w:tcBorders>
              <w:top w:val="nil"/>
              <w:left w:val="nil"/>
              <w:bottom w:val="single" w:sz="4" w:space="0" w:color="auto"/>
              <w:right w:val="nil"/>
            </w:tcBorders>
            <w:shd w:val="clear" w:color="auto" w:fill="auto"/>
            <w:noWrap/>
            <w:vAlign w:val="bottom"/>
            <w:hideMark/>
          </w:tcPr>
          <w:p w:rsidR="007D765F" w:rsidRPr="007D765F" w:rsidRDefault="007D765F" w:rsidP="007D765F">
            <w:pPr>
              <w:spacing w:after="0"/>
              <w:jc w:val="center"/>
              <w:rPr>
                <w:color w:val="000000"/>
                <w:sz w:val="18"/>
                <w:szCs w:val="18"/>
              </w:rPr>
            </w:pPr>
            <w:r w:rsidRPr="007D765F">
              <w:rPr>
                <w:color w:val="000000"/>
                <w:sz w:val="18"/>
                <w:szCs w:val="18"/>
              </w:rPr>
              <w:t>10,000–29,000</w:t>
            </w:r>
          </w:p>
        </w:tc>
        <w:tc>
          <w:tcPr>
            <w:tcW w:w="1159" w:type="dxa"/>
            <w:tcBorders>
              <w:top w:val="nil"/>
              <w:left w:val="nil"/>
              <w:bottom w:val="single" w:sz="4" w:space="0" w:color="auto"/>
              <w:right w:val="nil"/>
            </w:tcBorders>
            <w:shd w:val="clear" w:color="auto" w:fill="auto"/>
            <w:vAlign w:val="center"/>
            <w:hideMark/>
          </w:tcPr>
          <w:p w:rsidR="007D765F" w:rsidRPr="007D765F" w:rsidRDefault="007D765F" w:rsidP="007D765F">
            <w:pPr>
              <w:spacing w:after="0"/>
              <w:jc w:val="center"/>
              <w:rPr>
                <w:color w:val="000000"/>
                <w:sz w:val="18"/>
                <w:szCs w:val="18"/>
              </w:rPr>
            </w:pPr>
            <w:r w:rsidRPr="007D765F">
              <w:rPr>
                <w:color w:val="000000"/>
                <w:sz w:val="18"/>
                <w:szCs w:val="18"/>
              </w:rPr>
              <w:t xml:space="preserve">1994 </w:t>
            </w:r>
          </w:p>
        </w:tc>
        <w:tc>
          <w:tcPr>
            <w:tcW w:w="953" w:type="dxa"/>
            <w:tcBorders>
              <w:top w:val="nil"/>
              <w:left w:val="nil"/>
              <w:bottom w:val="single" w:sz="4" w:space="0" w:color="auto"/>
              <w:right w:val="nil"/>
            </w:tcBorders>
            <w:shd w:val="clear" w:color="auto" w:fill="auto"/>
            <w:vAlign w:val="bottom"/>
            <w:hideMark/>
          </w:tcPr>
          <w:p w:rsidR="007D765F" w:rsidRPr="007D765F" w:rsidRDefault="007D765F" w:rsidP="007D765F">
            <w:pPr>
              <w:spacing w:after="0"/>
              <w:jc w:val="center"/>
              <w:rPr>
                <w:color w:val="000000"/>
                <w:sz w:val="18"/>
                <w:szCs w:val="18"/>
              </w:rPr>
            </w:pPr>
            <w:r w:rsidRPr="007D765F">
              <w:rPr>
                <w:color w:val="000000"/>
                <w:sz w:val="18"/>
                <w:szCs w:val="18"/>
              </w:rPr>
              <w:t>10,500</w:t>
            </w:r>
          </w:p>
        </w:tc>
        <w:tc>
          <w:tcPr>
            <w:tcW w:w="953" w:type="dxa"/>
            <w:tcBorders>
              <w:top w:val="nil"/>
              <w:left w:val="nil"/>
              <w:bottom w:val="single" w:sz="4" w:space="0" w:color="auto"/>
              <w:right w:val="nil"/>
            </w:tcBorders>
            <w:shd w:val="clear" w:color="auto" w:fill="auto"/>
            <w:vAlign w:val="bottom"/>
            <w:hideMark/>
          </w:tcPr>
          <w:p w:rsidR="007D765F" w:rsidRPr="007D765F" w:rsidRDefault="007D765F" w:rsidP="007D765F">
            <w:pPr>
              <w:spacing w:after="0"/>
              <w:jc w:val="center"/>
              <w:rPr>
                <w:color w:val="000000"/>
                <w:sz w:val="18"/>
                <w:szCs w:val="18"/>
              </w:rPr>
            </w:pPr>
            <w:r w:rsidRPr="007D765F">
              <w:rPr>
                <w:color w:val="000000"/>
                <w:sz w:val="18"/>
                <w:szCs w:val="18"/>
              </w:rPr>
              <w:t>47,000</w:t>
            </w:r>
          </w:p>
        </w:tc>
        <w:tc>
          <w:tcPr>
            <w:tcW w:w="953" w:type="dxa"/>
            <w:tcBorders>
              <w:top w:val="nil"/>
              <w:left w:val="nil"/>
              <w:bottom w:val="single" w:sz="4" w:space="0" w:color="auto"/>
              <w:right w:val="nil"/>
            </w:tcBorders>
            <w:shd w:val="clear" w:color="auto" w:fill="auto"/>
            <w:vAlign w:val="bottom"/>
            <w:hideMark/>
          </w:tcPr>
          <w:p w:rsidR="007D765F" w:rsidRPr="007D765F" w:rsidRDefault="007D765F" w:rsidP="007D765F">
            <w:pPr>
              <w:spacing w:after="0"/>
              <w:jc w:val="center"/>
              <w:rPr>
                <w:color w:val="000000"/>
                <w:sz w:val="18"/>
                <w:szCs w:val="18"/>
              </w:rPr>
            </w:pPr>
            <w:r w:rsidRPr="007D765F">
              <w:rPr>
                <w:color w:val="000000"/>
                <w:sz w:val="18"/>
                <w:szCs w:val="18"/>
              </w:rPr>
              <w:t>27,000</w:t>
            </w:r>
          </w:p>
        </w:tc>
        <w:tc>
          <w:tcPr>
            <w:tcW w:w="953" w:type="dxa"/>
            <w:tcBorders>
              <w:top w:val="nil"/>
              <w:left w:val="nil"/>
              <w:bottom w:val="single" w:sz="4" w:space="0" w:color="auto"/>
              <w:right w:val="nil"/>
            </w:tcBorders>
            <w:shd w:val="clear" w:color="auto" w:fill="auto"/>
            <w:vAlign w:val="bottom"/>
            <w:hideMark/>
          </w:tcPr>
          <w:p w:rsidR="007D765F" w:rsidRPr="007D765F" w:rsidRDefault="007D765F" w:rsidP="007D765F">
            <w:pPr>
              <w:spacing w:after="0"/>
              <w:jc w:val="center"/>
              <w:rPr>
                <w:color w:val="000000"/>
                <w:sz w:val="18"/>
                <w:szCs w:val="18"/>
              </w:rPr>
            </w:pPr>
            <w:r w:rsidRPr="007D765F">
              <w:rPr>
                <w:color w:val="000000"/>
                <w:sz w:val="18"/>
                <w:szCs w:val="18"/>
              </w:rPr>
              <w:t>19,500</w:t>
            </w:r>
          </w:p>
        </w:tc>
        <w:tc>
          <w:tcPr>
            <w:tcW w:w="953" w:type="dxa"/>
            <w:tcBorders>
              <w:top w:val="nil"/>
              <w:left w:val="nil"/>
              <w:bottom w:val="single" w:sz="4" w:space="0" w:color="auto"/>
              <w:right w:val="nil"/>
            </w:tcBorders>
            <w:shd w:val="clear" w:color="auto" w:fill="auto"/>
            <w:vAlign w:val="bottom"/>
            <w:hideMark/>
          </w:tcPr>
          <w:p w:rsidR="007D765F" w:rsidRPr="007D765F" w:rsidRDefault="007D765F" w:rsidP="007D765F">
            <w:pPr>
              <w:spacing w:after="0"/>
              <w:jc w:val="center"/>
              <w:rPr>
                <w:color w:val="000000"/>
                <w:sz w:val="18"/>
                <w:szCs w:val="18"/>
              </w:rPr>
            </w:pPr>
            <w:r w:rsidRPr="007D765F">
              <w:rPr>
                <w:color w:val="000000"/>
                <w:sz w:val="18"/>
                <w:szCs w:val="18"/>
              </w:rPr>
              <w:t>31,000</w:t>
            </w:r>
          </w:p>
        </w:tc>
        <w:tc>
          <w:tcPr>
            <w:tcW w:w="1516" w:type="dxa"/>
            <w:tcBorders>
              <w:top w:val="nil"/>
              <w:left w:val="nil"/>
              <w:bottom w:val="single" w:sz="4" w:space="0" w:color="auto"/>
              <w:right w:val="nil"/>
            </w:tcBorders>
          </w:tcPr>
          <w:p w:rsidR="007D765F" w:rsidRPr="007D765F" w:rsidRDefault="007D765F" w:rsidP="007D765F">
            <w:pPr>
              <w:spacing w:after="0"/>
              <w:jc w:val="center"/>
              <w:rPr>
                <w:color w:val="000000"/>
                <w:sz w:val="18"/>
                <w:szCs w:val="18"/>
              </w:rPr>
            </w:pPr>
          </w:p>
        </w:tc>
      </w:tr>
    </w:tbl>
    <w:p w:rsidR="00A2496F" w:rsidRPr="005A75B9" w:rsidRDefault="00A2496F" w:rsidP="00A2496F">
      <w:pPr>
        <w:spacing w:before="60" w:after="60"/>
        <w:ind w:left="432" w:hanging="432"/>
        <w:rPr>
          <w:sz w:val="18"/>
          <w:szCs w:val="18"/>
        </w:rPr>
      </w:pPr>
      <w:r w:rsidRPr="005A75B9">
        <w:rPr>
          <w:b/>
          <w:i/>
          <w:sz w:val="18"/>
          <w:szCs w:val="18"/>
        </w:rPr>
        <w:t>Note:</w:t>
      </w:r>
      <w:r w:rsidRPr="005A75B9">
        <w:rPr>
          <w:sz w:val="18"/>
          <w:szCs w:val="18"/>
        </w:rPr>
        <w:t xml:space="preserve"> AS = peak aerial survey, FS = foot survey, BS = boat survey, IE = index escapement, MR = mark-recapture, NA = not available; </w:t>
      </w:r>
      <w:r w:rsidRPr="005A75B9">
        <w:rPr>
          <w:sz w:val="18"/>
          <w:szCs w:val="18"/>
          <w:shd w:val="clear" w:color="auto" w:fill="D9D9D9"/>
        </w:rPr>
        <w:t>gray cells</w:t>
      </w:r>
      <w:r w:rsidRPr="005A75B9">
        <w:rPr>
          <w:sz w:val="18"/>
          <w:szCs w:val="18"/>
        </w:rPr>
        <w:t xml:space="preserve"> indicate lower bound of the escapement goal not met.</w:t>
      </w:r>
    </w:p>
    <w:p w:rsidR="00A2496F" w:rsidRPr="005A75B9" w:rsidRDefault="00A2496F" w:rsidP="00A2496F">
      <w:pPr>
        <w:spacing w:before="60" w:after="0"/>
        <w:ind w:left="432" w:hanging="432"/>
        <w:rPr>
          <w:sz w:val="18"/>
          <w:szCs w:val="18"/>
        </w:rPr>
      </w:pPr>
      <w:proofErr w:type="gramStart"/>
      <w:r w:rsidRPr="005A75B9">
        <w:rPr>
          <w:sz w:val="18"/>
          <w:szCs w:val="18"/>
          <w:vertAlign w:val="superscript"/>
        </w:rPr>
        <w:t>a</w:t>
      </w:r>
      <w:proofErr w:type="gramEnd"/>
      <w:r w:rsidRPr="005A75B9">
        <w:rPr>
          <w:sz w:val="18"/>
          <w:szCs w:val="18"/>
        </w:rPr>
        <w:t xml:space="preserve"> Escapement goal types are biological escapement goal (BEG), sustainable escapement goal (SEG), and lower-bound sustainable escapement goal (LB SEG).</w:t>
      </w:r>
    </w:p>
    <w:p w:rsidR="00A2496F" w:rsidRPr="005A75B9" w:rsidRDefault="004A1746" w:rsidP="00A2496F">
      <w:pPr>
        <w:tabs>
          <w:tab w:val="left" w:pos="2734"/>
          <w:tab w:val="left" w:pos="5054"/>
          <w:tab w:val="left" w:pos="6414"/>
          <w:tab w:val="left" w:pos="7382"/>
          <w:tab w:val="left" w:pos="8334"/>
          <w:tab w:val="left" w:pos="9558"/>
          <w:tab w:val="left" w:pos="10908"/>
          <w:tab w:val="left" w:pos="12348"/>
        </w:tabs>
        <w:spacing w:after="0"/>
        <w:ind w:left="432" w:hanging="432"/>
        <w:jc w:val="left"/>
        <w:rPr>
          <w:sz w:val="18"/>
          <w:szCs w:val="18"/>
        </w:rPr>
      </w:pPr>
      <w:proofErr w:type="gramStart"/>
      <w:r>
        <w:rPr>
          <w:sz w:val="18"/>
          <w:szCs w:val="18"/>
          <w:vertAlign w:val="superscript"/>
        </w:rPr>
        <w:t>b</w:t>
      </w:r>
      <w:proofErr w:type="gramEnd"/>
      <w:r w:rsidR="00A2496F" w:rsidRPr="005A75B9">
        <w:rPr>
          <w:sz w:val="18"/>
          <w:szCs w:val="18"/>
        </w:rPr>
        <w:t xml:space="preserve"> Preliminary estimate pending publication of final report.</w:t>
      </w:r>
    </w:p>
    <w:p w:rsidR="00A2496F" w:rsidRPr="005A75B9" w:rsidRDefault="00A2496F" w:rsidP="00A2496F"/>
    <w:p w:rsidR="00A2496F" w:rsidRPr="005A75B9" w:rsidRDefault="00A2496F" w:rsidP="00A2496F">
      <w:pPr>
        <w:sectPr w:rsidR="00A2496F" w:rsidRPr="005A75B9" w:rsidSect="003D3B4A">
          <w:headerReference w:type="default" r:id="rId11"/>
          <w:footerReference w:type="default" r:id="rId12"/>
          <w:pgSz w:w="15840" w:h="12240" w:orient="landscape" w:code="1"/>
          <w:pgMar w:top="1440" w:right="1440" w:bottom="1440" w:left="1440" w:header="720" w:footer="547" w:gutter="0"/>
          <w:cols w:space="432"/>
          <w:formProt w:val="0"/>
        </w:sectPr>
      </w:pPr>
    </w:p>
    <w:p w:rsidR="00A2496F" w:rsidRPr="005A75B9" w:rsidRDefault="00A2496F" w:rsidP="00A2496F">
      <w:pPr>
        <w:pStyle w:val="Heading2"/>
      </w:pPr>
      <w:bookmarkStart w:id="1" w:name="_Toc484166836"/>
      <w:r w:rsidRPr="005A75B9">
        <w:lastRenderedPageBreak/>
        <w:t>Stock Assessment Overview</w:t>
      </w:r>
      <w:bookmarkEnd w:id="1"/>
    </w:p>
    <w:p w:rsidR="00A2496F" w:rsidRPr="005A75B9" w:rsidRDefault="00A2496F" w:rsidP="00A2496F">
      <w:pPr>
        <w:pStyle w:val="Heading3"/>
      </w:pPr>
      <w:bookmarkStart w:id="2" w:name="_Toc484166839"/>
      <w:r w:rsidRPr="005A75B9">
        <w:t>Coho Salmon</w:t>
      </w:r>
      <w:bookmarkEnd w:id="2"/>
    </w:p>
    <w:p w:rsidR="00A2496F" w:rsidRPr="005A75B9" w:rsidRDefault="00A2496F" w:rsidP="00A2496F">
      <w:r w:rsidRPr="005A75B9">
        <w:t>Excellent coho salmon habitat occurs in thousands of streams distributed throughout Southeast Alaska, many of which are small producers about which little is known. Due to the widely distributed nature of the resource, it is practical and feasible to conduct stock assessment projects on only a small fraction of producing streams. Assessment is further challenged by the wet coastal climate of the region, including frequent freshets during the fall months when spawners return to freshwater. The majority of the harvest is taken in fisheries that harvest a mixture of stocks in areas distant from most contributing streams. In addition to wild stocks within Southeast Alaska, important contributions to the region’s total harvest are made by local hatchery stocks (13 total), several transboundary rivers, and by natural systems and hatcheries on the northern British Columbia coast. Overall, 14 systems or groups of systems have escapement goals, including nine with biological escapement goals, four with sustainable escapement goals, and one (Taku River) with a management threshold (Table 3; Appendix C). Most direct stock assessment occurs at two levels: full indicator stock and escapement indicator.</w:t>
      </w:r>
    </w:p>
    <w:p w:rsidR="00A2496F" w:rsidRPr="005A75B9" w:rsidRDefault="00A2496F" w:rsidP="00A2496F">
      <w:r w:rsidRPr="005A75B9">
        <w:t xml:space="preserve">Full indicator stocks are monitored for total adult abundance, spawning escapement (including age, size, and sex), smolt production (abundance, age, and size), marine survival, fishery contributions by area, gear type and time, and exploitation rates. Over time, these parameters are used to evaluate the relationship between spawning escapement and production and to establish biological escapement goals that produce maximum sustained yield. Annual estimates extend from the early 1980s for four systems (Auke Creek, Berners River, Ford Arm Creek, and Hugh Smith Lake) and were later expanded to include the Taku River in 1992 and the Chilkat River in 2000. </w:t>
      </w:r>
    </w:p>
    <w:p w:rsidR="00A2496F" w:rsidRPr="005A75B9" w:rsidRDefault="00A2496F" w:rsidP="00A2496F">
      <w:r w:rsidRPr="005A75B9">
        <w:t>Escapement indicators have been established in the Haines, Sitka, Ketchikan, and Yakutat areas where foot or helicopter surveys are systematically conducted. Escapement goals for surveyed streams near Sitka and Ketchikan apply to the sum of peak survey counts on an aggregate of streams in each area (5 near Sitka and 14 near Ketchikan). Only peak survey counts that meet standards for timing, survey conditions, and completeness are included in the indices, and statistical interpolations are made for missing counts on individual streams in the index to maintain comparability of the index across years. In the Juneau and Yakutat areas, survey-based escapement goals apply to individual streams (two near Juneau and three near Yakutat). In the Haines area, peak survey counts from four tributaries are expanded to estimate total escapement to the Chilkat River.</w:t>
      </w:r>
    </w:p>
    <w:p w:rsidR="000B1498" w:rsidRPr="005A75B9" w:rsidRDefault="00D10928" w:rsidP="00CD312E">
      <w:pPr>
        <w:pStyle w:val="Heading2"/>
      </w:pPr>
      <w:bookmarkStart w:id="3" w:name="_Toc484166842"/>
      <w:r w:rsidRPr="005A75B9">
        <w:t>Escapement Goal Recommendations</w:t>
      </w:r>
      <w:bookmarkEnd w:id="3"/>
    </w:p>
    <w:p w:rsidR="00811D0C" w:rsidRDefault="00811D0C" w:rsidP="00811D0C">
      <w:pPr>
        <w:pStyle w:val="Heading3"/>
      </w:pPr>
      <w:bookmarkStart w:id="4" w:name="_Toc484166846"/>
      <w:r>
        <w:t>Coho Salmon:</w:t>
      </w:r>
      <w:bookmarkEnd w:id="4"/>
    </w:p>
    <w:p w:rsidR="00A31997" w:rsidRDefault="00A31997" w:rsidP="00A31997">
      <w:pPr>
        <w:pStyle w:val="Heading4"/>
      </w:pPr>
      <w:r>
        <w:t>Berners River Coho Salmon</w:t>
      </w:r>
    </w:p>
    <w:p w:rsidR="00A31997" w:rsidRDefault="00961DC7" w:rsidP="00A31997">
      <w:proofErr w:type="gramStart"/>
      <w:r w:rsidRPr="00961DC7">
        <w:rPr>
          <w:highlight w:val="yellow"/>
        </w:rPr>
        <w:t>[[One to 1.5 page summary on Berners River coho salmon escapement goal review and recommendation.]]</w:t>
      </w:r>
      <w:proofErr w:type="gramEnd"/>
    </w:p>
    <w:p w:rsidR="00961DC7" w:rsidRPr="00961DC7" w:rsidRDefault="00961DC7" w:rsidP="00961DC7">
      <w:pPr>
        <w:rPr>
          <w:b/>
        </w:rPr>
      </w:pPr>
      <w:r w:rsidRPr="00961DC7">
        <w:rPr>
          <w:b/>
        </w:rPr>
        <w:t>Notes from the escapement goal review meeting, January 2017:</w:t>
      </w:r>
    </w:p>
    <w:p w:rsidR="00961DC7" w:rsidRDefault="00961DC7" w:rsidP="00961DC7">
      <w:r>
        <w:t>Berners River coho salmon:  Leon Shaul</w:t>
      </w:r>
    </w:p>
    <w:p w:rsidR="00961DC7" w:rsidRDefault="00961DC7" w:rsidP="00961DC7">
      <w:pPr>
        <w:pStyle w:val="ListParagraph"/>
        <w:numPr>
          <w:ilvl w:val="0"/>
          <w:numId w:val="12"/>
        </w:numPr>
      </w:pPr>
      <w:r>
        <w:lastRenderedPageBreak/>
        <w:t xml:space="preserve">Current goal (established in 1994) is a BEG of 4,000-9,200 fish counted on surveys conducted in October. </w:t>
      </w:r>
    </w:p>
    <w:p w:rsidR="00961DC7" w:rsidRDefault="00961DC7" w:rsidP="00961DC7">
      <w:pPr>
        <w:pStyle w:val="ListParagraph"/>
        <w:numPr>
          <w:ilvl w:val="0"/>
          <w:numId w:val="12"/>
        </w:numPr>
      </w:pPr>
      <w:r>
        <w:t>Leon provided a detailed update on stock assessment information, and stock-recruit analysis of brood years 1989–2010 using Hockey Stick model, which provided best fit over other methods and is more consistent with population dynamics of coho salmon.</w:t>
      </w:r>
    </w:p>
    <w:p w:rsidR="00961DC7" w:rsidRDefault="00961DC7" w:rsidP="00961DC7">
      <w:pPr>
        <w:pStyle w:val="ListParagraph"/>
        <w:numPr>
          <w:ilvl w:val="1"/>
          <w:numId w:val="12"/>
        </w:numPr>
      </w:pPr>
      <w:r>
        <w:t>Evaluation of the different models (question from Sarah and Lowell) was through AIC and Least Squares fitting (Least Sum of Squares), as well as potentially visual/graphical.</w:t>
      </w:r>
    </w:p>
    <w:p w:rsidR="00961DC7" w:rsidRDefault="00961DC7" w:rsidP="00961DC7">
      <w:pPr>
        <w:pStyle w:val="ListParagraph"/>
        <w:numPr>
          <w:ilvl w:val="1"/>
          <w:numId w:val="12"/>
        </w:numPr>
      </w:pPr>
      <w:r>
        <w:t>Leon confirmed that the HS model almost always out-performs Ricker since over-escapement for coho isn’t applicable.</w:t>
      </w:r>
    </w:p>
    <w:p w:rsidR="00961DC7" w:rsidRDefault="00961DC7" w:rsidP="00961DC7">
      <w:pPr>
        <w:pStyle w:val="ListParagraph"/>
        <w:numPr>
          <w:ilvl w:val="0"/>
          <w:numId w:val="12"/>
        </w:numPr>
      </w:pPr>
      <w:r>
        <w:t>Escapement estimates were converted from nominal escapement to effective escapement based on sex ratios and average egg biomass to account for reproductive potential. Returns were adjusted to a constant marine survival rate.</w:t>
      </w:r>
    </w:p>
    <w:p w:rsidR="00961DC7" w:rsidRDefault="00961DC7" w:rsidP="00961DC7">
      <w:pPr>
        <w:pStyle w:val="ListParagraph"/>
        <w:numPr>
          <w:ilvl w:val="1"/>
          <w:numId w:val="12"/>
        </w:numPr>
      </w:pPr>
      <w:r>
        <w:t>Related to Figure 6, Ed asked what if this scenario of decreasing female fecundity changes (for the better); this means the bumping up of the Lower Bound was unnecessary or not warranted</w:t>
      </w:r>
      <w:proofErr w:type="gramStart"/>
      <w:r>
        <w:t>;  folks</w:t>
      </w:r>
      <w:proofErr w:type="gramEnd"/>
      <w:r>
        <w:t xml:space="preserve"> figured this adjustment really wouldn’t allow for more flexible management actions (only 800 fish).  </w:t>
      </w:r>
      <w:proofErr w:type="gramStart"/>
      <w:r>
        <w:t>folks</w:t>
      </w:r>
      <w:proofErr w:type="gramEnd"/>
      <w:r>
        <w:t xml:space="preserve"> agreed however it makes sense.  Bob Clark mentioned this wasn’t as relative for Chinook.</w:t>
      </w:r>
    </w:p>
    <w:p w:rsidR="00961DC7" w:rsidRDefault="00961DC7" w:rsidP="00961DC7">
      <w:pPr>
        <w:pStyle w:val="ListParagraph"/>
        <w:numPr>
          <w:ilvl w:val="0"/>
          <w:numId w:val="12"/>
        </w:numPr>
      </w:pPr>
      <w:r>
        <w:t>Analysis of all years (1989–2010) resulted in a narrow 90% MSY range of about 3,600–6,400 spawners.</w:t>
      </w:r>
    </w:p>
    <w:p w:rsidR="00961DC7" w:rsidRDefault="00961DC7" w:rsidP="00961DC7">
      <w:pPr>
        <w:pStyle w:val="ListParagraph"/>
        <w:numPr>
          <w:ilvl w:val="1"/>
          <w:numId w:val="12"/>
        </w:numPr>
      </w:pPr>
      <w:r>
        <w:t>There seemed to be consensus that a narrow BEG range is not preferred</w:t>
      </w:r>
    </w:p>
    <w:p w:rsidR="00961DC7" w:rsidRDefault="00961DC7" w:rsidP="00961DC7">
      <w:pPr>
        <w:pStyle w:val="ListParagraph"/>
        <w:numPr>
          <w:ilvl w:val="0"/>
          <w:numId w:val="12"/>
        </w:numPr>
      </w:pPr>
      <w:r>
        <w:t>Analysis then adjusted to account for expected lower productivity potential at lower escapements and to ensure that upper reference point was sufficiently high to account for periods of high freshwater productivity.  A broader range would also allow for a more realistically achievable BEG range.</w:t>
      </w:r>
    </w:p>
    <w:p w:rsidR="00961DC7" w:rsidRDefault="00961DC7" w:rsidP="00961DC7">
      <w:pPr>
        <w:pStyle w:val="ListParagraph"/>
        <w:numPr>
          <w:ilvl w:val="0"/>
          <w:numId w:val="12"/>
        </w:numPr>
      </w:pPr>
      <w:r>
        <w:t>Results suggested a lower bound of 4,500 spawners and an upper bound of 10,000 spawners, which translates to a BEG of 3,600–8,100 when converted to survey counts.</w:t>
      </w:r>
    </w:p>
    <w:p w:rsidR="00961DC7" w:rsidRDefault="00961DC7" w:rsidP="00961DC7">
      <w:pPr>
        <w:pStyle w:val="ListParagraph"/>
        <w:numPr>
          <w:ilvl w:val="0"/>
          <w:numId w:val="12"/>
        </w:numPr>
      </w:pPr>
      <w:r>
        <w:t>Steve asked the Fishery Scientists to provide a technical review of Leon’s forthcoming manuscript, which could further assist with escapement goal review needs.</w:t>
      </w:r>
    </w:p>
    <w:p w:rsidR="00961DC7" w:rsidRDefault="00961DC7" w:rsidP="00961DC7">
      <w:r w:rsidRPr="00961DC7">
        <w:rPr>
          <w:b/>
        </w:rPr>
        <w:t>RECOMMENDATION</w:t>
      </w:r>
      <w:r>
        <w:t>:  The analysis and recommended escapement goal of 3,600–8,100 fish counted on surveys seemed reasonable.</w:t>
      </w:r>
    </w:p>
    <w:p w:rsidR="00961DC7" w:rsidRDefault="00961DC7" w:rsidP="00A31997"/>
    <w:p w:rsidR="00961DC7" w:rsidRDefault="00961DC7" w:rsidP="00961DC7">
      <w:pPr>
        <w:pStyle w:val="Heading4"/>
      </w:pPr>
      <w:proofErr w:type="spellStart"/>
      <w:r>
        <w:t>Tsiu-Tsivat</w:t>
      </w:r>
      <w:proofErr w:type="spellEnd"/>
      <w:r>
        <w:t xml:space="preserve"> Rive Coho Salmon</w:t>
      </w:r>
    </w:p>
    <w:p w:rsidR="00961DC7" w:rsidRDefault="00961DC7" w:rsidP="00961DC7">
      <w:r>
        <w:t xml:space="preserve">Coho salmon runs in the </w:t>
      </w:r>
      <w:proofErr w:type="spellStart"/>
      <w:r>
        <w:t>Tsiu</w:t>
      </w:r>
      <w:proofErr w:type="spellEnd"/>
      <w:r>
        <w:t xml:space="preserve"> and </w:t>
      </w:r>
      <w:proofErr w:type="spellStart"/>
      <w:r>
        <w:t>Tsivat</w:t>
      </w:r>
      <w:proofErr w:type="spellEnd"/>
      <w:r>
        <w:t xml:space="preserve"> rivers, located approximately 190 km northwest of Yakutat, are harvested primarily in the District 192-42 commercial set gillnet fishery that takes place in the estuary immediately below where the two rivers meet. The commercial </w:t>
      </w:r>
      <w:proofErr w:type="gramStart"/>
      <w:r>
        <w:t>set gillnet</w:t>
      </w:r>
      <w:proofErr w:type="gramEnd"/>
      <w:r>
        <w:t xml:space="preserve"> coho salmon harvest averaged 39,574 fish from 1973 to 2016 (Appendix Table C 1). </w:t>
      </w:r>
      <w:proofErr w:type="spellStart"/>
      <w:r>
        <w:t>Tsiu-Tsivat</w:t>
      </w:r>
      <w:proofErr w:type="spellEnd"/>
      <w:r>
        <w:t xml:space="preserve"> river coho salmon are also harvested in inriver sport fisheries and offshore commercial troll fisheries (Clark and Clark 1994). Escapement information consists of aerial survey counts, which have been conducted weekly since the early 1970s in conjunction with management of the commercial fishery, and both rivers are surveyed to obtain a total index count (Zeiser 2015). In 1994, ADF&amp;G established a biological escapement goal of 10,000–29,000 coho salmon counted on a peak survey, based on a stock-recruit analysis by Clark and Clark (1994). </w:t>
      </w:r>
    </w:p>
    <w:p w:rsidR="00961DC7" w:rsidRDefault="00961DC7" w:rsidP="00961DC7">
      <w:r>
        <w:lastRenderedPageBreak/>
        <w:t xml:space="preserve">Review of the </w:t>
      </w:r>
      <w:proofErr w:type="spellStart"/>
      <w:r>
        <w:t>Tsiu-Tsivat</w:t>
      </w:r>
      <w:proofErr w:type="spellEnd"/>
      <w:r>
        <w:t xml:space="preserve"> river escapement goal is best suited to the percentile approach as stock assessment information is limited primarily to maximum survey counts (available for 38 of 44 years since 1973; Appendix Table). Lack of total escapement estimates, limited age composition data, and lack of commercial troll harvest estimates precludes escapement goal analysis based on production models. The </w:t>
      </w:r>
      <w:proofErr w:type="spellStart"/>
      <w:r>
        <w:t>Tsiu-Tsivat</w:t>
      </w:r>
      <w:proofErr w:type="spellEnd"/>
      <w:r>
        <w:t xml:space="preserve"> river coho salmon run fits the criteria of a Tier 3 stock following the percentile approach recommended by Clark et al. (2014; Table 6 [[ </w:t>
      </w:r>
      <w:r w:rsidRPr="00961DC7">
        <w:rPr>
          <w:highlight w:val="yellow"/>
        </w:rPr>
        <w:t>in the body of the EG review report</w:t>
      </w:r>
      <w:r>
        <w:t xml:space="preserve">]]). There is high measurement error and low contrast in </w:t>
      </w:r>
      <w:proofErr w:type="spellStart"/>
      <w:r>
        <w:t>Tsiu-Tsivat</w:t>
      </w:r>
      <w:proofErr w:type="spellEnd"/>
      <w:r>
        <w:t xml:space="preserve"> river coho salmon escapement survey counts (the maximum count divided by the minimum count = 6.7). Although commercial troll harvest information is lacking, the harvest rate has likely averaged less than 0.40. Potential harvest rate was assessed in two steps. First, escapement survey counts were multiplied by 5.3, the median ratio of peak survey counts to total escapement at two other Yakutat-area coho salmon streams (Appendix Table C 2), to approximate total escapement. Second, known terminal harvest (set gillnet and sport) was divided by harvest + total escapement to approximate harvest rate, which averaged less than 0.30. The commercial troll harvest rate in 1986, the only year that information is available, was thought to be 0.08 (Clark and Clark 1994); however, the commercial troll harvest rate on Situk River coho salmon (another Yakutat-area run) was estimated to be 0.03 in 2005 and 0.05 in 2006 (Shaul et al. 2010), and was likely to have been even lower on </w:t>
      </w:r>
      <w:proofErr w:type="spellStart"/>
      <w:r>
        <w:t>Tsiu-Tsivat</w:t>
      </w:r>
      <w:proofErr w:type="spellEnd"/>
      <w:r>
        <w:t xml:space="preserve"> river coho salmon. It is highly probable, therefore, that the overall harvest rate on </w:t>
      </w:r>
      <w:proofErr w:type="spellStart"/>
      <w:r>
        <w:t>Tsiu-Tsivat</w:t>
      </w:r>
      <w:proofErr w:type="spellEnd"/>
      <w:r>
        <w:t xml:space="preserve"> river coho salmon has averaged less than 0.40.</w:t>
      </w:r>
      <w:bookmarkStart w:id="5" w:name="_GoBack"/>
      <w:bookmarkEnd w:id="5"/>
    </w:p>
    <w:p w:rsidR="00A31997" w:rsidRPr="00A31997" w:rsidRDefault="00961DC7" w:rsidP="00961DC7">
      <w:r>
        <w:t xml:space="preserve">The 5th and 65th percentiles of </w:t>
      </w:r>
      <w:proofErr w:type="spellStart"/>
      <w:r>
        <w:t>Tsiu-Tsivat</w:t>
      </w:r>
      <w:proofErr w:type="spellEnd"/>
      <w:r>
        <w:t xml:space="preserve"> river coho salmon escapement survey counts produced a range of 10,940–30,000 fish, which is very close to the current escapement goal of 10,000–29,000 fish. The current escapement goal was met or exceeded in every year since 1973, with the exception of years when survey effort was curtailed by inclement weather. The escapement goal review committee recommended maintaining the current escapement goal of 10,000–29,000 coho salmon counted on a peak aerial survey, but recommended changing the goal from a biological to a sustainable escapement goal.</w:t>
      </w:r>
    </w:p>
    <w:p w:rsidR="00A31997" w:rsidRDefault="00A31997" w:rsidP="00A31997">
      <w:pPr>
        <w:pStyle w:val="Heading4"/>
      </w:pPr>
      <w:r>
        <w:t>Ford Arm Coho Salmon</w:t>
      </w:r>
    </w:p>
    <w:p w:rsidR="001E3F8A" w:rsidRPr="001E3F8A" w:rsidRDefault="001E3F8A" w:rsidP="001E3F8A">
      <w:pPr>
        <w:rPr>
          <w:highlight w:val="yellow"/>
        </w:rPr>
      </w:pPr>
      <w:r w:rsidRPr="001E3F8A">
        <w:rPr>
          <w:highlight w:val="yellow"/>
        </w:rPr>
        <w:t>Funding for stock assessment at Ford Arm Lake was discontinued in FY17 due to state budget cuts.</w:t>
      </w:r>
    </w:p>
    <w:p w:rsidR="00A31997" w:rsidRDefault="001E3F8A" w:rsidP="001E3F8A">
      <w:r w:rsidRPr="001E3F8A">
        <w:rPr>
          <w:b/>
          <w:highlight w:val="yellow"/>
        </w:rPr>
        <w:t>RECOMMENDATION:</w:t>
      </w:r>
      <w:r w:rsidRPr="001E3F8A">
        <w:rPr>
          <w:highlight w:val="yellow"/>
        </w:rPr>
        <w:t xml:space="preserve">  eliminate the goal.</w:t>
      </w:r>
    </w:p>
    <w:p w:rsidR="002F4677" w:rsidRPr="005A75B9" w:rsidRDefault="002F4677" w:rsidP="002F4677">
      <w:pPr>
        <w:pStyle w:val="Heading1"/>
        <w:spacing w:before="4000"/>
      </w:pPr>
      <w:r w:rsidRPr="005A75B9">
        <w:br w:type="page"/>
      </w:r>
      <w:bookmarkStart w:id="6" w:name="_Toc484166858"/>
      <w:r w:rsidRPr="005A75B9">
        <w:lastRenderedPageBreak/>
        <w:t>Appendix C</w:t>
      </w:r>
      <w:proofErr w:type="gramStart"/>
      <w:r w:rsidRPr="005A75B9">
        <w:t>.</w:t>
      </w:r>
      <w:proofErr w:type="gramEnd"/>
      <w:r w:rsidRPr="005A75B9">
        <w:br/>
      </w:r>
      <w:r w:rsidR="001C376E" w:rsidRPr="005A75B9">
        <w:t>Coho</w:t>
      </w:r>
      <w:r w:rsidRPr="005A75B9">
        <w:t xml:space="preserve"> Salmon</w:t>
      </w:r>
      <w:r w:rsidR="00BC5282" w:rsidRPr="005A75B9">
        <w:t xml:space="preserve"> Escapement Goal Performance</w:t>
      </w:r>
      <w:bookmarkEnd w:id="6"/>
    </w:p>
    <w:p w:rsidR="002F4677" w:rsidRPr="005A75B9" w:rsidRDefault="002F4677" w:rsidP="002F4677">
      <w:pPr>
        <w:pStyle w:val="Caption"/>
        <w:sectPr w:rsidR="002F4677" w:rsidRPr="005A75B9" w:rsidSect="00106844">
          <w:headerReference w:type="default" r:id="rId13"/>
          <w:footerReference w:type="default" r:id="rId14"/>
          <w:pgSz w:w="12240" w:h="15840" w:code="1"/>
          <w:pgMar w:top="1440" w:right="1440" w:bottom="1440" w:left="1440" w:header="720" w:footer="547" w:gutter="0"/>
          <w:cols w:space="432"/>
          <w:formProt w:val="0"/>
        </w:sectPr>
      </w:pPr>
    </w:p>
    <w:p w:rsidR="001C376E" w:rsidRPr="005A75B9" w:rsidRDefault="001C376E" w:rsidP="001C376E">
      <w:pPr>
        <w:pStyle w:val="Caption"/>
      </w:pPr>
      <w:bookmarkStart w:id="7" w:name="_Toc395791363"/>
      <w:bookmarkStart w:id="8" w:name="_Toc484171918"/>
      <w:bookmarkStart w:id="9" w:name="_Toc395791338"/>
      <w:proofErr w:type="gramStart"/>
      <w:r w:rsidRPr="005A75B9">
        <w:lastRenderedPageBreak/>
        <w:t xml:space="preserve">Appendix C </w:t>
      </w:r>
      <w:r w:rsidR="00BD469F" w:rsidRPr="005A75B9">
        <w:fldChar w:fldCharType="begin"/>
      </w:r>
      <w:r w:rsidR="006D5F73" w:rsidRPr="005A75B9">
        <w:instrText xml:space="preserve"> SEQ Appendix_C \* ARABIC </w:instrText>
      </w:r>
      <w:r w:rsidR="00BD469F" w:rsidRPr="005A75B9">
        <w:fldChar w:fldCharType="separate"/>
      </w:r>
      <w:r w:rsidR="00796C48" w:rsidRPr="005A75B9">
        <w:rPr>
          <w:noProof/>
        </w:rPr>
        <w:t>1</w:t>
      </w:r>
      <w:r w:rsidR="00BD469F" w:rsidRPr="005A75B9">
        <w:rPr>
          <w:noProof/>
        </w:rPr>
        <w:fldChar w:fldCharType="end"/>
      </w:r>
      <w:r w:rsidRPr="005A75B9">
        <w:t>.–Berners and Chilkat rivers coho salmon.</w:t>
      </w:r>
      <w:bookmarkEnd w:id="7"/>
      <w:bookmarkEnd w:id="8"/>
      <w:proofErr w:type="gramEnd"/>
    </w:p>
    <w:p w:rsidR="001C376E" w:rsidRPr="005A75B9" w:rsidRDefault="001C376E" w:rsidP="001C376E">
      <w:pPr>
        <w:rPr>
          <w:sz w:val="22"/>
          <w:szCs w:val="22"/>
        </w:rPr>
      </w:pPr>
      <w:r w:rsidRPr="005A75B9">
        <w:rPr>
          <w:sz w:val="22"/>
          <w:szCs w:val="22"/>
        </w:rPr>
        <w:t xml:space="preserve">Coho salmon from the Berners River in lower Lynn Canal and the Chilkat River in upper Lynn Canal are harvested primarily in the northern Southeast troll fishery and the Lynn Canal drift gillnet fishery, with lesser exploitation rates by purse seine fisheries and marine and freshwater sport fisheries (Shaul et al. 2011; Elliott 2013). The Chilkat River stock is also exploited by a subsistence fishery conducted in the Chilkat River and Chilkat Inlet. Both systems have similar mainland valley rearing habitat, including wetlands, ponds, and sloughs. The Berners River is a compact system with concentrated, high-quality coho spawning and rearing habitat. It has a late, highly migratory run that typically increases in the outside troll catch throughout August, primarily in the vicinity of Cross Sound and northward, </w:t>
      </w:r>
      <w:r w:rsidR="004A7DE3" w:rsidRPr="005A75B9">
        <w:rPr>
          <w:sz w:val="22"/>
          <w:szCs w:val="22"/>
        </w:rPr>
        <w:t>peaks</w:t>
      </w:r>
      <w:r w:rsidRPr="005A75B9">
        <w:rPr>
          <w:sz w:val="22"/>
          <w:szCs w:val="22"/>
        </w:rPr>
        <w:t xml:space="preserve"> around 1 September</w:t>
      </w:r>
      <w:r w:rsidR="004A7DE3" w:rsidRPr="005A75B9">
        <w:rPr>
          <w:sz w:val="22"/>
          <w:szCs w:val="22"/>
        </w:rPr>
        <w:t>,</w:t>
      </w:r>
      <w:r w:rsidRPr="005A75B9">
        <w:rPr>
          <w:sz w:val="22"/>
          <w:szCs w:val="22"/>
        </w:rPr>
        <w:t xml:space="preserve"> and continu</w:t>
      </w:r>
      <w:r w:rsidR="004A7DE3" w:rsidRPr="005A75B9">
        <w:rPr>
          <w:sz w:val="22"/>
          <w:szCs w:val="22"/>
        </w:rPr>
        <w:t>es</w:t>
      </w:r>
      <w:r w:rsidRPr="005A75B9">
        <w:rPr>
          <w:sz w:val="22"/>
          <w:szCs w:val="22"/>
        </w:rPr>
        <w:t xml:space="preserve"> to contribute to the troll catch until late-September. Compressed timing, combined with the specific physical features of the Berners River drainage, make it possible to consistently observe and count a high proportion of the total escapement during foot and helicopter surveys in mid- to late October. The Chilkat River is a much larger, more complex system, with several important spawning areas. </w:t>
      </w:r>
      <w:r w:rsidR="004A7DE3" w:rsidRPr="005A75B9">
        <w:rPr>
          <w:sz w:val="22"/>
          <w:szCs w:val="22"/>
        </w:rPr>
        <w:t>Although</w:t>
      </w:r>
      <w:r w:rsidRPr="005A75B9">
        <w:rPr>
          <w:sz w:val="22"/>
          <w:szCs w:val="22"/>
        </w:rPr>
        <w:t xml:space="preserve"> coded-wire tag recoveries indicate that the majority of returning Chilkat River fish exhibit late, compressed migratory behavior similar to the Berners River stock, the Chilkat run also includes earlier segments that enter the river beginning in late August and early September, with peak spawning in upper tributaries (Assignation Creek and the Tahini River) typically occurring in early October.</w:t>
      </w:r>
    </w:p>
    <w:p w:rsidR="001C376E" w:rsidRPr="005A75B9" w:rsidRDefault="001C376E" w:rsidP="001C376E">
      <w:pPr>
        <w:rPr>
          <w:sz w:val="22"/>
          <w:szCs w:val="22"/>
        </w:rPr>
      </w:pPr>
      <w:r w:rsidRPr="005A75B9">
        <w:rPr>
          <w:b/>
          <w:sz w:val="22"/>
          <w:szCs w:val="22"/>
        </w:rPr>
        <w:t>Escapement Goals and Stock Status:</w:t>
      </w:r>
      <w:r w:rsidRPr="005A75B9">
        <w:rPr>
          <w:sz w:val="22"/>
          <w:szCs w:val="22"/>
        </w:rPr>
        <w:t xml:space="preserve"> Preliminary results of an ongoing analysis of the existing biological escapement goal of 4,000–9,200 spawners for the Berners River (Clark et al. 1994) suggest that little if any adjustment is warranted. The biological escapement goal for the Chilkat River is 30,000–70,000 (</w:t>
      </w:r>
      <w:proofErr w:type="spellStart"/>
      <w:r w:rsidRPr="005A75B9">
        <w:rPr>
          <w:sz w:val="22"/>
          <w:szCs w:val="22"/>
        </w:rPr>
        <w:t>Ericksen</w:t>
      </w:r>
      <w:proofErr w:type="spellEnd"/>
      <w:r w:rsidRPr="005A75B9">
        <w:rPr>
          <w:sz w:val="22"/>
          <w:szCs w:val="22"/>
        </w:rPr>
        <w:t xml:space="preserve"> and Fleischman 2006). Escapements in both rivers were below their respective goals in 2007, but both stocks have been within or above the current goals in all other years since 1989 (Appendix Figures </w:t>
      </w:r>
      <w:r w:rsidR="00190338" w:rsidRPr="005A75B9">
        <w:rPr>
          <w:sz w:val="22"/>
          <w:szCs w:val="22"/>
        </w:rPr>
        <w:t>C</w:t>
      </w:r>
      <w:r w:rsidRPr="005A75B9">
        <w:rPr>
          <w:sz w:val="22"/>
          <w:szCs w:val="22"/>
        </w:rPr>
        <w:t xml:space="preserve"> 1 and </w:t>
      </w:r>
      <w:r w:rsidR="00190338" w:rsidRPr="005A75B9">
        <w:rPr>
          <w:sz w:val="22"/>
          <w:szCs w:val="22"/>
        </w:rPr>
        <w:t>C</w:t>
      </w:r>
      <w:r w:rsidRPr="005A75B9">
        <w:rPr>
          <w:sz w:val="22"/>
          <w:szCs w:val="22"/>
        </w:rPr>
        <w:t xml:space="preserve"> 2).</w:t>
      </w:r>
    </w:p>
    <w:p w:rsidR="001C376E" w:rsidRPr="005A75B9" w:rsidRDefault="001C376E" w:rsidP="001C376E">
      <w:pPr>
        <w:rPr>
          <w:sz w:val="22"/>
          <w:szCs w:val="22"/>
        </w:rPr>
      </w:pPr>
      <w:r w:rsidRPr="005A75B9">
        <w:rPr>
          <w:sz w:val="22"/>
          <w:szCs w:val="22"/>
        </w:rPr>
        <w:t>Total adult returns to the Berners and Chilkat rivers have been closely correlated (R</w:t>
      </w:r>
      <w:r w:rsidRPr="005A75B9">
        <w:rPr>
          <w:sz w:val="22"/>
          <w:szCs w:val="22"/>
          <w:vertAlign w:val="superscript"/>
        </w:rPr>
        <w:t>2</w:t>
      </w:r>
      <w:r w:rsidRPr="005A75B9">
        <w:rPr>
          <w:sz w:val="22"/>
          <w:szCs w:val="22"/>
        </w:rPr>
        <w:t xml:space="preserve"> = 0.88) over the 14-year period since full assessment of the Chilkat River stock was initiated in 2000 (Appendix Figures </w:t>
      </w:r>
      <w:r w:rsidR="00190338" w:rsidRPr="005A75B9">
        <w:rPr>
          <w:sz w:val="22"/>
          <w:szCs w:val="22"/>
        </w:rPr>
        <w:t>C</w:t>
      </w:r>
      <w:r w:rsidRPr="005A75B9">
        <w:rPr>
          <w:sz w:val="22"/>
          <w:szCs w:val="22"/>
        </w:rPr>
        <w:t xml:space="preserve"> 1 and </w:t>
      </w:r>
      <w:r w:rsidR="00190338" w:rsidRPr="005A75B9">
        <w:rPr>
          <w:sz w:val="22"/>
          <w:szCs w:val="22"/>
        </w:rPr>
        <w:t>C</w:t>
      </w:r>
      <w:r w:rsidRPr="005A75B9">
        <w:rPr>
          <w:sz w:val="22"/>
          <w:szCs w:val="22"/>
        </w:rPr>
        <w:t xml:space="preserve"> 2). Both runs exhibited a marked decline beginning in 2005. The estimated total adult return to the Berners River remained at a high level (average 38,000 fish) for a 15-year period, 1990–2004, before declining abruptly to an average of 15,000 fish during 2005–2013 (Appendix Figure </w:t>
      </w:r>
      <w:r w:rsidR="00190338" w:rsidRPr="005A75B9">
        <w:rPr>
          <w:sz w:val="22"/>
          <w:szCs w:val="22"/>
        </w:rPr>
        <w:t>C</w:t>
      </w:r>
      <w:r w:rsidRPr="005A75B9">
        <w:rPr>
          <w:sz w:val="22"/>
          <w:szCs w:val="22"/>
        </w:rPr>
        <w:t xml:space="preserve"> 1). The compounded effect of 38% declines in both smolt production and marine survival resulted in a 61% reduction in the average number of returning adults between the periods. The recent cooling trend in the Northeast Pacific was likely an important agent in both declines. Berners River smolt production closely tracked total precipitation during July–November, as measured at the Juneau Airport for a decade and a half, before smolt abundance began consistently falling below predictions based on precipitation (Shaul et al. 2011). The cause of the change is unknown, but thought likely to have been caused by reduced over-winter survival of juveniles in off-channel rearing habitats, perhaps due to oxygen levels reaching critical levels during longer periods of ice cover with an increase in the ratio of snow to rain in precipitation falling in winter and early spring months.</w:t>
      </w:r>
    </w:p>
    <w:p w:rsidR="001C376E" w:rsidRPr="005A75B9" w:rsidRDefault="001C376E" w:rsidP="001C376E">
      <w:pPr>
        <w:rPr>
          <w:sz w:val="22"/>
          <w:szCs w:val="22"/>
        </w:rPr>
      </w:pPr>
      <w:r w:rsidRPr="005A75B9">
        <w:rPr>
          <w:sz w:val="22"/>
          <w:szCs w:val="22"/>
        </w:rPr>
        <w:t>The decrease in marine survival may also have been affected by climatic conditions in local marine waters during early ocean residence. However, there are also indications that increased mortality during later ocean residence, particularly in years of poor growth, has reduced over-all marine survival. During the most-recent 10-year period, marine survival was strongly positively correlated with the average size of both male and female 1-ocean spawners and with the ratio of females to males in the escapement. The best predictive models developed thus far to explain average spawner size explain 54% if inter-annual variation in average length of males, and 64% for females</w:t>
      </w:r>
      <w:r w:rsidR="00376847" w:rsidRPr="005A75B9">
        <w:rPr>
          <w:sz w:val="22"/>
          <w:szCs w:val="22"/>
        </w:rPr>
        <w:t>,</w:t>
      </w:r>
      <w:r w:rsidRPr="005A75B9">
        <w:rPr>
          <w:sz w:val="22"/>
          <w:szCs w:val="22"/>
        </w:rPr>
        <w:t xml:space="preserve"> with the Pacific Decadal Oscillation (an index of North Pacific climate) and pink salmon abundance (as measured by the commercial catch of fish rearing primarily in the Gulf of Alaska) both explaining about equal proportions of variation in average size. Females have averaged both smaller and fewer (relative to males) in poor growth years, resulting in substantially fewer (&gt;30%) eggs-per-spawner, on average, in years of poor growth (usually odd years).</w:t>
      </w:r>
    </w:p>
    <w:p w:rsidR="001C376E" w:rsidRPr="005A75B9" w:rsidRDefault="007E22D6" w:rsidP="001C376E">
      <w:pPr>
        <w:jc w:val="center"/>
      </w:pPr>
      <w:r w:rsidRPr="007E22D6">
        <w:rPr>
          <w:noProof/>
        </w:rPr>
        <w:lastRenderedPageBreak/>
        <w:drawing>
          <wp:inline distT="0" distB="0" distL="0" distR="0" wp14:anchorId="43FA6282" wp14:editId="77A1E566">
            <wp:extent cx="4297680" cy="3118104"/>
            <wp:effectExtent l="19050" t="19050" r="26670" b="2540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7680" cy="3118104"/>
                    </a:xfrm>
                    <a:prstGeom prst="rect">
                      <a:avLst/>
                    </a:prstGeom>
                    <a:noFill/>
                    <a:ln>
                      <a:solidFill>
                        <a:schemeClr val="tx1"/>
                      </a:solidFill>
                    </a:ln>
                  </pic:spPr>
                </pic:pic>
              </a:graphicData>
            </a:graphic>
          </wp:inline>
        </w:drawing>
      </w:r>
    </w:p>
    <w:p w:rsidR="001C376E" w:rsidRPr="005A75B9" w:rsidRDefault="001C1E16" w:rsidP="001C1E16">
      <w:pPr>
        <w:pStyle w:val="Caption"/>
      </w:pPr>
      <w:bookmarkStart w:id="10" w:name="_Toc395791364"/>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00796C48" w:rsidRPr="005A75B9">
        <w:rPr>
          <w:noProof/>
        </w:rPr>
        <w:t>1</w:t>
      </w:r>
      <w:r w:rsidR="00BD469F" w:rsidRPr="005A75B9">
        <w:rPr>
          <w:noProof/>
        </w:rPr>
        <w:fldChar w:fldCharType="end"/>
      </w:r>
      <w:r w:rsidR="001C376E" w:rsidRPr="005A75B9">
        <w:t>.–Total estimated run size, catch, and escapement of coho salmon bound for the Berners River, 1982–201</w:t>
      </w:r>
      <w:bookmarkEnd w:id="10"/>
      <w:r w:rsidR="007E22D6">
        <w:t>6</w:t>
      </w:r>
      <w:r w:rsidR="001C376E" w:rsidRPr="005A75B9">
        <w:t xml:space="preserve">, and biological escapement goal of 4,000–9,200 fish counted on a peak survey. </w:t>
      </w:r>
      <w:proofErr w:type="gramStart"/>
      <w:r w:rsidR="001C376E" w:rsidRPr="005A75B9">
        <w:t>(Harvest estimates are not available for 1984).</w:t>
      </w:r>
      <w:proofErr w:type="gramEnd"/>
    </w:p>
    <w:p w:rsidR="001C376E" w:rsidRPr="005A75B9" w:rsidRDefault="001C376E" w:rsidP="001C376E"/>
    <w:p w:rsidR="001C376E" w:rsidRPr="005A75B9" w:rsidRDefault="007E22D6" w:rsidP="00A31997">
      <w:pPr>
        <w:jc w:val="center"/>
      </w:pPr>
      <w:r w:rsidRPr="007E22D6">
        <w:rPr>
          <w:noProof/>
        </w:rPr>
        <w:drawing>
          <wp:inline distT="0" distB="0" distL="0" distR="0" wp14:anchorId="18EA6189" wp14:editId="72AC7266">
            <wp:extent cx="4297680" cy="3118104"/>
            <wp:effectExtent l="19050" t="19050" r="26670" b="2540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7680" cy="3118104"/>
                    </a:xfrm>
                    <a:prstGeom prst="rect">
                      <a:avLst/>
                    </a:prstGeom>
                    <a:noFill/>
                    <a:ln>
                      <a:solidFill>
                        <a:schemeClr val="tx1"/>
                      </a:solidFill>
                    </a:ln>
                  </pic:spPr>
                </pic:pic>
              </a:graphicData>
            </a:graphic>
          </wp:inline>
        </w:drawing>
      </w:r>
    </w:p>
    <w:p w:rsidR="001C376E" w:rsidRPr="005A75B9" w:rsidRDefault="001C1E16" w:rsidP="001C1E16">
      <w:pPr>
        <w:pStyle w:val="Caption"/>
      </w:pPr>
      <w:bookmarkStart w:id="11" w:name="_Toc395791365"/>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00796C48" w:rsidRPr="005A75B9">
        <w:rPr>
          <w:noProof/>
        </w:rPr>
        <w:t>2</w:t>
      </w:r>
      <w:r w:rsidR="00BD469F" w:rsidRPr="005A75B9">
        <w:rPr>
          <w:noProof/>
        </w:rPr>
        <w:fldChar w:fldCharType="end"/>
      </w:r>
      <w:r w:rsidR="001C376E" w:rsidRPr="005A75B9">
        <w:t>.–Total estimated run size, catch, and escapement of coho salmon bound for the Berners and Chilkat rivers, 1982–201</w:t>
      </w:r>
      <w:r w:rsidR="007E22D6">
        <w:t>6</w:t>
      </w:r>
      <w:r w:rsidR="001C376E" w:rsidRPr="005A75B9">
        <w:t>, and biological escapement goal of 30,000–70,000 spawners.</w:t>
      </w:r>
      <w:bookmarkEnd w:id="11"/>
      <w:r w:rsidR="001C376E" w:rsidRPr="005A75B9">
        <w:t xml:space="preserve"> </w:t>
      </w:r>
      <w:proofErr w:type="gramStart"/>
      <w:r w:rsidR="001C376E" w:rsidRPr="005A75B9">
        <w:t>(Catch estimates are not available for 1987–1999.)</w:t>
      </w:r>
      <w:proofErr w:type="gramEnd"/>
    </w:p>
    <w:p w:rsidR="001C376E" w:rsidRPr="005A75B9" w:rsidRDefault="001C376E" w:rsidP="001C376E">
      <w:pPr>
        <w:pStyle w:val="Caption"/>
      </w:pPr>
      <w:r w:rsidRPr="005A75B9">
        <w:br w:type="page"/>
      </w:r>
      <w:bookmarkStart w:id="12" w:name="_Toc395791367"/>
      <w:bookmarkStart w:id="13" w:name="_Toc484171919"/>
      <w:proofErr w:type="gramStart"/>
      <w:r w:rsidRPr="005A75B9">
        <w:lastRenderedPageBreak/>
        <w:t xml:space="preserve">Appendix C </w:t>
      </w:r>
      <w:r w:rsidR="00BD469F" w:rsidRPr="005A75B9">
        <w:fldChar w:fldCharType="begin"/>
      </w:r>
      <w:r w:rsidR="006D5F73" w:rsidRPr="005A75B9">
        <w:instrText xml:space="preserve"> SEQ Appendix_C \* ARABIC </w:instrText>
      </w:r>
      <w:r w:rsidR="00BD469F" w:rsidRPr="005A75B9">
        <w:fldChar w:fldCharType="separate"/>
      </w:r>
      <w:r w:rsidR="00796C48" w:rsidRPr="005A75B9">
        <w:rPr>
          <w:noProof/>
        </w:rPr>
        <w:t>2</w:t>
      </w:r>
      <w:r w:rsidR="00BD469F" w:rsidRPr="005A75B9">
        <w:rPr>
          <w:noProof/>
        </w:rPr>
        <w:fldChar w:fldCharType="end"/>
      </w:r>
      <w:r w:rsidRPr="005A75B9">
        <w:t>.–Taku River coho salmon.</w:t>
      </w:r>
      <w:bookmarkEnd w:id="12"/>
      <w:bookmarkEnd w:id="13"/>
      <w:proofErr w:type="gramEnd"/>
    </w:p>
    <w:p w:rsidR="001C376E" w:rsidRPr="005A75B9" w:rsidRDefault="001C376E" w:rsidP="001C376E">
      <w:pPr>
        <w:rPr>
          <w:sz w:val="22"/>
          <w:szCs w:val="22"/>
        </w:rPr>
      </w:pPr>
      <w:r w:rsidRPr="005A75B9">
        <w:rPr>
          <w:sz w:val="22"/>
          <w:szCs w:val="22"/>
        </w:rPr>
        <w:t>The transboundary Taku River may be the single largest coho salmon-producing system in the region, and it supports a diversity of runs, ranging from early-run stocks bound for high interior tributaries that are harvested primarily in sockeye-directed fisheries, to fall-run stocks located primarily in mainstem tributaries that are harvested primarily in coho-directed troll and drift gillnet fisheries. Escapement estimates were first made in 1987 and run reconstruction estimates are available since 1992 (</w:t>
      </w:r>
      <w:r w:rsidR="001C7E1B" w:rsidRPr="005A75B9">
        <w:rPr>
          <w:sz w:val="22"/>
          <w:szCs w:val="22"/>
        </w:rPr>
        <w:t>Shaul et al. 2011</w:t>
      </w:r>
      <w:r w:rsidR="006A3C7D" w:rsidRPr="005A75B9">
        <w:rPr>
          <w:sz w:val="22"/>
          <w:szCs w:val="22"/>
        </w:rPr>
        <w:t>)</w:t>
      </w:r>
      <w:r w:rsidRPr="005A75B9">
        <w:rPr>
          <w:sz w:val="22"/>
          <w:szCs w:val="22"/>
        </w:rPr>
        <w:t xml:space="preserve">. The inriver run past Canyon Island, near the U.S./Canada boundary, is estimated through a mark-recapture project. Marking is </w:t>
      </w:r>
      <w:r w:rsidR="006A3C7D" w:rsidRPr="005A75B9">
        <w:rPr>
          <w:sz w:val="22"/>
          <w:szCs w:val="22"/>
        </w:rPr>
        <w:t>conducted</w:t>
      </w:r>
      <w:r w:rsidRPr="005A75B9">
        <w:rPr>
          <w:sz w:val="22"/>
          <w:szCs w:val="22"/>
        </w:rPr>
        <w:t xml:space="preserve"> at research fish wheel sites in the canyon, </w:t>
      </w:r>
      <w:r w:rsidR="004A7DE3" w:rsidRPr="005A75B9">
        <w:rPr>
          <w:sz w:val="22"/>
          <w:szCs w:val="22"/>
        </w:rPr>
        <w:t>and</w:t>
      </w:r>
      <w:r w:rsidRPr="005A75B9">
        <w:rPr>
          <w:sz w:val="22"/>
          <w:szCs w:val="22"/>
        </w:rPr>
        <w:t xml:space="preserve"> recovery sampling is </w:t>
      </w:r>
      <w:r w:rsidR="006A3C7D" w:rsidRPr="005A75B9">
        <w:rPr>
          <w:sz w:val="22"/>
          <w:szCs w:val="22"/>
        </w:rPr>
        <w:t xml:space="preserve">conducted </w:t>
      </w:r>
      <w:r w:rsidRPr="005A75B9">
        <w:rPr>
          <w:sz w:val="22"/>
          <w:szCs w:val="22"/>
        </w:rPr>
        <w:t>in test and Canadian commercial fisheries. Results of a 1991 radio-telemetry study indicated that the fish wheel estimate represented about 78% of the total system escapement, with about 22% spawning in Alaska below Canyon Island (</w:t>
      </w:r>
      <w:proofErr w:type="spellStart"/>
      <w:r w:rsidRPr="005A75B9">
        <w:rPr>
          <w:sz w:val="22"/>
          <w:szCs w:val="22"/>
        </w:rPr>
        <w:t>Eiler</w:t>
      </w:r>
      <w:proofErr w:type="spellEnd"/>
      <w:r w:rsidRPr="005A75B9">
        <w:rPr>
          <w:sz w:val="22"/>
          <w:szCs w:val="22"/>
        </w:rPr>
        <w:t xml:space="preserve"> et al. 1993).</w:t>
      </w:r>
    </w:p>
    <w:p w:rsidR="001C376E" w:rsidRPr="005A75B9" w:rsidRDefault="001C376E" w:rsidP="001C376E">
      <w:pPr>
        <w:rPr>
          <w:sz w:val="22"/>
          <w:szCs w:val="22"/>
        </w:rPr>
      </w:pPr>
      <w:r w:rsidRPr="005A75B9">
        <w:rPr>
          <w:b/>
          <w:sz w:val="22"/>
          <w:szCs w:val="22"/>
        </w:rPr>
        <w:t>Escapement Goals and Stock Status:</w:t>
      </w:r>
      <w:r w:rsidRPr="005A75B9">
        <w:rPr>
          <w:sz w:val="22"/>
          <w:szCs w:val="22"/>
        </w:rPr>
        <w:t xml:space="preserve"> A biological escapement goal has not yet been established for the Taku River. The 1999 Pacific Salmon Treaty specifie</w:t>
      </w:r>
      <w:r w:rsidR="00A85F47" w:rsidRPr="005A75B9">
        <w:rPr>
          <w:sz w:val="22"/>
          <w:szCs w:val="22"/>
        </w:rPr>
        <w:t>d</w:t>
      </w:r>
      <w:r w:rsidRPr="005A75B9">
        <w:rPr>
          <w:sz w:val="22"/>
          <w:szCs w:val="22"/>
        </w:rPr>
        <w:t xml:space="preserve"> that the U.S. </w:t>
      </w:r>
      <w:r w:rsidR="006A3C7D" w:rsidRPr="005A75B9">
        <w:rPr>
          <w:sz w:val="22"/>
          <w:szCs w:val="22"/>
        </w:rPr>
        <w:t>would</w:t>
      </w:r>
      <w:r w:rsidRPr="005A75B9">
        <w:rPr>
          <w:sz w:val="22"/>
          <w:szCs w:val="22"/>
        </w:rPr>
        <w:t xml:space="preserve"> pass a minimum of 38,000 fish above the border, which effectively translates to an escapement of about 35,000 spawners after an expected Canadian inriver catch of about 3,000 fish. In 2013, the Transboundary River Panel </w:t>
      </w:r>
      <w:r w:rsidR="00A85F47" w:rsidRPr="005A75B9">
        <w:rPr>
          <w:sz w:val="22"/>
          <w:szCs w:val="22"/>
        </w:rPr>
        <w:t xml:space="preserve">of the Pacific Salmon Commission </w:t>
      </w:r>
      <w:r w:rsidRPr="005A75B9">
        <w:rPr>
          <w:sz w:val="22"/>
          <w:szCs w:val="22"/>
        </w:rPr>
        <w:t>agreed to a provisional escapement target of 70,000 spawners, pending completion of a biological analysis</w:t>
      </w:r>
      <w:r w:rsidR="006A3C7D" w:rsidRPr="005A75B9">
        <w:rPr>
          <w:sz w:val="22"/>
          <w:szCs w:val="22"/>
        </w:rPr>
        <w:t xml:space="preserve"> (TTC 2014)</w:t>
      </w:r>
      <w:r w:rsidRPr="005A75B9">
        <w:rPr>
          <w:sz w:val="22"/>
          <w:szCs w:val="22"/>
        </w:rPr>
        <w:t xml:space="preserve">. Estimated escapements in the past three years, ranging from 68,100–70,700 in 2011–2013, have been close to the interim objective (Appendix Figure </w:t>
      </w:r>
      <w:r w:rsidR="00190338" w:rsidRPr="005A75B9">
        <w:rPr>
          <w:sz w:val="22"/>
          <w:szCs w:val="22"/>
        </w:rPr>
        <w:t>C</w:t>
      </w:r>
      <w:r w:rsidRPr="005A75B9">
        <w:rPr>
          <w:sz w:val="22"/>
          <w:szCs w:val="22"/>
        </w:rPr>
        <w:t xml:space="preserve"> 3).</w:t>
      </w:r>
    </w:p>
    <w:p w:rsidR="001C376E" w:rsidRPr="005A75B9" w:rsidRDefault="007E22D6" w:rsidP="001C376E">
      <w:pPr>
        <w:jc w:val="center"/>
        <w:rPr>
          <w:sz w:val="22"/>
          <w:szCs w:val="22"/>
        </w:rPr>
      </w:pPr>
      <w:r w:rsidRPr="007E22D6">
        <w:rPr>
          <w:noProof/>
        </w:rPr>
        <w:drawing>
          <wp:inline distT="0" distB="0" distL="0" distR="0" wp14:anchorId="5CADA4A5" wp14:editId="0C9235DF">
            <wp:extent cx="4297680" cy="3118104"/>
            <wp:effectExtent l="19050" t="19050" r="26670" b="254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7680" cy="3118104"/>
                    </a:xfrm>
                    <a:prstGeom prst="rect">
                      <a:avLst/>
                    </a:prstGeom>
                    <a:noFill/>
                    <a:ln>
                      <a:solidFill>
                        <a:schemeClr val="tx1"/>
                      </a:solidFill>
                    </a:ln>
                  </pic:spPr>
                </pic:pic>
              </a:graphicData>
            </a:graphic>
          </wp:inline>
        </w:drawing>
      </w:r>
    </w:p>
    <w:p w:rsidR="001C376E" w:rsidRPr="005A75B9" w:rsidRDefault="001C1E16" w:rsidP="001C1E16">
      <w:pPr>
        <w:pStyle w:val="Caption"/>
        <w:rPr>
          <w:szCs w:val="22"/>
        </w:rPr>
      </w:pPr>
      <w:bookmarkStart w:id="14" w:name="_Toc395791368"/>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00796C48" w:rsidRPr="005A75B9">
        <w:rPr>
          <w:noProof/>
        </w:rPr>
        <w:t>3</w:t>
      </w:r>
      <w:r w:rsidR="00BD469F" w:rsidRPr="005A75B9">
        <w:rPr>
          <w:noProof/>
        </w:rPr>
        <w:fldChar w:fldCharType="end"/>
      </w:r>
      <w:r w:rsidR="001C376E" w:rsidRPr="005A75B9">
        <w:t>.–Total estimated run size, catch, and escapement of coho salmon bound from the Taku River above Canyon Island, 1987–201</w:t>
      </w:r>
      <w:r w:rsidR="007E22D6">
        <w:t>6</w:t>
      </w:r>
      <w:r w:rsidR="001C376E" w:rsidRPr="005A75B9">
        <w:t xml:space="preserve">, and </w:t>
      </w:r>
      <w:r w:rsidR="007E22D6" w:rsidRPr="007E22D6">
        <w:t xml:space="preserve">biological escapement goal of </w:t>
      </w:r>
      <w:r w:rsidR="007E22D6">
        <w:t>5</w:t>
      </w:r>
      <w:r w:rsidR="007E22D6" w:rsidRPr="007E22D6">
        <w:t>0,000–</w:t>
      </w:r>
      <w:r w:rsidR="007E22D6">
        <w:t>9</w:t>
      </w:r>
      <w:r w:rsidR="007E22D6" w:rsidRPr="007E22D6">
        <w:t>0,000 spawners</w:t>
      </w:r>
      <w:r w:rsidR="001C376E" w:rsidRPr="005A75B9">
        <w:t>.</w:t>
      </w:r>
      <w:bookmarkEnd w:id="14"/>
      <w:r w:rsidR="001C376E" w:rsidRPr="005A75B9">
        <w:t xml:space="preserve"> </w:t>
      </w:r>
      <w:proofErr w:type="gramStart"/>
      <w:r w:rsidR="001C376E" w:rsidRPr="005A75B9">
        <w:t xml:space="preserve">(Marine catch estimates </w:t>
      </w:r>
      <w:r w:rsidR="007B49CE" w:rsidRPr="005A75B9">
        <w:t xml:space="preserve">are </w:t>
      </w:r>
      <w:r w:rsidR="001C376E" w:rsidRPr="005A75B9">
        <w:t>not available 1987–1991.)</w:t>
      </w:r>
      <w:proofErr w:type="gramEnd"/>
    </w:p>
    <w:p w:rsidR="001C376E" w:rsidRPr="005A75B9" w:rsidRDefault="001C376E" w:rsidP="001C376E">
      <w:pPr>
        <w:pStyle w:val="Caption"/>
        <w:rPr>
          <w:szCs w:val="22"/>
        </w:rPr>
      </w:pPr>
      <w:r w:rsidRPr="005A75B9">
        <w:rPr>
          <w:szCs w:val="22"/>
        </w:rPr>
        <w:br w:type="page"/>
      </w:r>
      <w:bookmarkStart w:id="15" w:name="_Toc395791369"/>
      <w:bookmarkStart w:id="16" w:name="_Toc484171920"/>
      <w:proofErr w:type="gramStart"/>
      <w:r w:rsidRPr="005A75B9">
        <w:lastRenderedPageBreak/>
        <w:t xml:space="preserve">Appendix C </w:t>
      </w:r>
      <w:r w:rsidR="00BD469F" w:rsidRPr="005A75B9">
        <w:fldChar w:fldCharType="begin"/>
      </w:r>
      <w:r w:rsidR="006D5F73" w:rsidRPr="005A75B9">
        <w:instrText xml:space="preserve"> SEQ Appendix_C \* ARABIC </w:instrText>
      </w:r>
      <w:r w:rsidR="00BD469F" w:rsidRPr="005A75B9">
        <w:fldChar w:fldCharType="separate"/>
      </w:r>
      <w:r w:rsidR="00796C48" w:rsidRPr="005A75B9">
        <w:rPr>
          <w:noProof/>
        </w:rPr>
        <w:t>3</w:t>
      </w:r>
      <w:r w:rsidR="00BD469F" w:rsidRPr="005A75B9">
        <w:rPr>
          <w:noProof/>
        </w:rPr>
        <w:fldChar w:fldCharType="end"/>
      </w:r>
      <w:r w:rsidRPr="005A75B9">
        <w:t>.–Auke Creek coho salmon.</w:t>
      </w:r>
      <w:bookmarkEnd w:id="15"/>
      <w:bookmarkEnd w:id="16"/>
      <w:proofErr w:type="gramEnd"/>
    </w:p>
    <w:p w:rsidR="001C376E" w:rsidRPr="005A75B9" w:rsidRDefault="001C376E" w:rsidP="001C376E">
      <w:pPr>
        <w:rPr>
          <w:sz w:val="22"/>
          <w:szCs w:val="22"/>
        </w:rPr>
      </w:pPr>
      <w:r w:rsidRPr="005A75B9">
        <w:rPr>
          <w:sz w:val="22"/>
          <w:szCs w:val="22"/>
        </w:rPr>
        <w:t xml:space="preserve">Auke Creek, located in Juneau, is a long-term indicator stock with migratory characteristics similar to the nearby Berners and Chilkat rivers. However, because of its location outside the boundaries of major drift gillnet fishing areas, it is subjected to lower average all-fishery exploitation rates (long-term average 39%) compared with nearby major river stocks in Lynn Canal and Taku Inlet that are targeted by drift gillnet fisheries. Rearing habitat in Auke Creek is dominated by the environment of Auke Lake. </w:t>
      </w:r>
      <w:r w:rsidR="006A3C7D" w:rsidRPr="005A75B9">
        <w:rPr>
          <w:sz w:val="22"/>
          <w:szCs w:val="22"/>
        </w:rPr>
        <w:t>As a result</w:t>
      </w:r>
      <w:r w:rsidRPr="005A75B9">
        <w:rPr>
          <w:sz w:val="22"/>
          <w:szCs w:val="22"/>
        </w:rPr>
        <w:t xml:space="preserve"> of the high (100%) tagging rate on smolts and precise total accounting of returning adults, the Auke Creek stock is an important indicator of the troll exploitation rate on northern inside stocks that is used in estimation of regional wild coho salmon abundance.</w:t>
      </w:r>
    </w:p>
    <w:p w:rsidR="001C376E" w:rsidRPr="005A75B9" w:rsidRDefault="001C376E" w:rsidP="001C376E">
      <w:pPr>
        <w:rPr>
          <w:sz w:val="22"/>
          <w:szCs w:val="22"/>
        </w:rPr>
      </w:pPr>
      <w:r w:rsidRPr="005A75B9">
        <w:rPr>
          <w:b/>
          <w:sz w:val="22"/>
          <w:szCs w:val="22"/>
        </w:rPr>
        <w:t>Escapement Goals and Stock Status:</w:t>
      </w:r>
      <w:r w:rsidRPr="005A75B9">
        <w:rPr>
          <w:sz w:val="22"/>
          <w:szCs w:val="22"/>
        </w:rPr>
        <w:t xml:space="preserve"> A biological escapement goal of 200–500 fish was established in 1994 (Clark et al. 1994). Smolt production underwent a protracted decline over the course of two decades from an average of 8,000 smolts during 1979–1984 to a lowest 5-year average of 4,100 smolts during 2002–2006, prior to a sharp rebound to an average of 7,500 smolts since 2010. Although the trend in smolt production is thought to be related to changes in rearing habitat, specific reasons for the decline and recent rebound are poorly understood. Auke Creek produces smolts that are large, on average, and tend to survive well at sea with a high proportion of males returning as age-.0 jacks. Average marine survival decreased from 23% during 1990–2004 to 17% during 2005–2013, similar to the pattern exhibited by other northern inside stocks. Escapements have consistently remained within or above the upper half of the escapement goal range (Appendix Figure </w:t>
      </w:r>
      <w:r w:rsidR="00190338" w:rsidRPr="005A75B9">
        <w:rPr>
          <w:sz w:val="22"/>
          <w:szCs w:val="22"/>
        </w:rPr>
        <w:t>C</w:t>
      </w:r>
      <w:r w:rsidRPr="005A75B9">
        <w:rPr>
          <w:sz w:val="22"/>
          <w:szCs w:val="22"/>
        </w:rPr>
        <w:t xml:space="preserve"> 4), even throughout a recent period of both lower smolt production and survival and lower total returns that averaged only 753 adults 2004–2011. Exploitation rates have been moderate over the past decade (2004–2013) at an average of 37% (range</w:t>
      </w:r>
      <w:r w:rsidR="00496872" w:rsidRPr="005A75B9">
        <w:rPr>
          <w:sz w:val="22"/>
          <w:szCs w:val="22"/>
        </w:rPr>
        <w:t>:</w:t>
      </w:r>
      <w:r w:rsidRPr="005A75B9">
        <w:rPr>
          <w:sz w:val="22"/>
          <w:szCs w:val="22"/>
        </w:rPr>
        <w:t xml:space="preserve"> 17–33%), of which the majority (26%) was harvested by the troll fishery, with exploitation rates by other fisheries averaging 1% purse seine, 8% drift gillnet, and 2% marine sport. </w:t>
      </w:r>
    </w:p>
    <w:p w:rsidR="001C376E" w:rsidRPr="005A75B9" w:rsidRDefault="006817EB" w:rsidP="001C376E">
      <w:pPr>
        <w:jc w:val="center"/>
        <w:rPr>
          <w:sz w:val="22"/>
          <w:szCs w:val="22"/>
        </w:rPr>
      </w:pPr>
      <w:r w:rsidRPr="006817EB">
        <w:rPr>
          <w:noProof/>
        </w:rPr>
        <w:drawing>
          <wp:inline distT="0" distB="0" distL="0" distR="0" wp14:anchorId="60295D03" wp14:editId="2DE2345A">
            <wp:extent cx="4297680" cy="3118104"/>
            <wp:effectExtent l="19050" t="19050" r="2667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97680" cy="3118104"/>
                    </a:xfrm>
                    <a:prstGeom prst="rect">
                      <a:avLst/>
                    </a:prstGeom>
                    <a:noFill/>
                    <a:ln>
                      <a:solidFill>
                        <a:schemeClr val="tx1"/>
                      </a:solidFill>
                    </a:ln>
                  </pic:spPr>
                </pic:pic>
              </a:graphicData>
            </a:graphic>
          </wp:inline>
        </w:drawing>
      </w:r>
    </w:p>
    <w:p w:rsidR="001C376E" w:rsidRPr="005A75B9" w:rsidRDefault="001C1E16" w:rsidP="001C1E16">
      <w:pPr>
        <w:pStyle w:val="Caption"/>
      </w:pPr>
      <w:bookmarkStart w:id="17" w:name="_Toc395791370"/>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00796C48" w:rsidRPr="005A75B9">
        <w:rPr>
          <w:noProof/>
        </w:rPr>
        <w:t>4</w:t>
      </w:r>
      <w:r w:rsidR="00BD469F" w:rsidRPr="005A75B9">
        <w:rPr>
          <w:noProof/>
        </w:rPr>
        <w:fldChar w:fldCharType="end"/>
      </w:r>
      <w:r w:rsidR="001C376E" w:rsidRPr="005A75B9">
        <w:t>.–Total estimated run size, catch, and escapement (weir counts) of coho salmon returning to Auke Creek, 1980–201</w:t>
      </w:r>
      <w:bookmarkEnd w:id="17"/>
      <w:r w:rsidR="006817EB">
        <w:t>6</w:t>
      </w:r>
      <w:r w:rsidR="001C376E" w:rsidRPr="005A75B9">
        <w:t>, and biological escapement goal of 200–500 spawners.</w:t>
      </w:r>
    </w:p>
    <w:p w:rsidR="001C376E" w:rsidRPr="005A75B9" w:rsidRDefault="001C376E" w:rsidP="001C376E"/>
    <w:p w:rsidR="001C376E" w:rsidRPr="005A75B9" w:rsidRDefault="001C376E" w:rsidP="001C376E">
      <w:pPr>
        <w:pStyle w:val="Caption"/>
        <w:rPr>
          <w:szCs w:val="22"/>
        </w:rPr>
      </w:pPr>
      <w:r w:rsidRPr="005A75B9">
        <w:rPr>
          <w:szCs w:val="22"/>
        </w:rPr>
        <w:br w:type="page"/>
      </w:r>
      <w:bookmarkStart w:id="18" w:name="_Toc395791371"/>
      <w:bookmarkStart w:id="19" w:name="_Toc484171921"/>
      <w:proofErr w:type="gramStart"/>
      <w:r w:rsidRPr="005A75B9">
        <w:lastRenderedPageBreak/>
        <w:t xml:space="preserve">Appendix C </w:t>
      </w:r>
      <w:r w:rsidR="00BD469F" w:rsidRPr="005A75B9">
        <w:fldChar w:fldCharType="begin"/>
      </w:r>
      <w:r w:rsidR="006D5F73" w:rsidRPr="005A75B9">
        <w:instrText xml:space="preserve"> SEQ Appendix_C \* ARABIC </w:instrText>
      </w:r>
      <w:r w:rsidR="00BD469F" w:rsidRPr="005A75B9">
        <w:fldChar w:fldCharType="separate"/>
      </w:r>
      <w:r w:rsidR="00796C48" w:rsidRPr="005A75B9">
        <w:rPr>
          <w:noProof/>
        </w:rPr>
        <w:t>4</w:t>
      </w:r>
      <w:r w:rsidR="00BD469F" w:rsidRPr="005A75B9">
        <w:rPr>
          <w:noProof/>
        </w:rPr>
        <w:fldChar w:fldCharType="end"/>
      </w:r>
      <w:r w:rsidRPr="005A75B9">
        <w:t>.–Ford Arm Creek coho salmon.</w:t>
      </w:r>
      <w:bookmarkEnd w:id="18"/>
      <w:bookmarkEnd w:id="19"/>
      <w:proofErr w:type="gramEnd"/>
    </w:p>
    <w:p w:rsidR="001C376E" w:rsidRPr="005A75B9" w:rsidRDefault="001C376E" w:rsidP="001C376E">
      <w:pPr>
        <w:rPr>
          <w:sz w:val="22"/>
          <w:szCs w:val="22"/>
        </w:rPr>
      </w:pPr>
      <w:r w:rsidRPr="005A75B9">
        <w:rPr>
          <w:sz w:val="22"/>
          <w:szCs w:val="22"/>
        </w:rPr>
        <w:t>Ford Arm Creek, located on western Chichagof Island, is currently the only outer coastal coho salmon indicator stock in the region. The system is small but pristine, with a variety of rearing habitats (lake, pond, and stream). Unlike other wild coho indicator stocks, the Ford Arm Creek population is a less migratory “milling” stock that is already concentrated along the coast by the beginning of the summer troll season (1 July) and is heavily exploited by hook and line fisheries through early September.</w:t>
      </w:r>
    </w:p>
    <w:p w:rsidR="001C376E" w:rsidRPr="005A75B9" w:rsidRDefault="001C376E" w:rsidP="001C376E">
      <w:pPr>
        <w:rPr>
          <w:sz w:val="22"/>
          <w:szCs w:val="22"/>
        </w:rPr>
      </w:pPr>
      <w:r w:rsidRPr="005A75B9">
        <w:rPr>
          <w:b/>
          <w:sz w:val="22"/>
          <w:szCs w:val="22"/>
        </w:rPr>
        <w:t>Escapement Goals and Stock Status:</w:t>
      </w:r>
      <w:r w:rsidRPr="005A75B9">
        <w:rPr>
          <w:sz w:val="22"/>
          <w:szCs w:val="22"/>
        </w:rPr>
        <w:t xml:space="preserve"> A biological escapement goal of 1,300–2,900 spawners was established in 1994 (Clark et al. 1994)</w:t>
      </w:r>
      <w:r w:rsidR="006A3C7D" w:rsidRPr="005A75B9">
        <w:rPr>
          <w:sz w:val="22"/>
          <w:szCs w:val="22"/>
        </w:rPr>
        <w:t>. The goal</w:t>
      </w:r>
      <w:r w:rsidRPr="005A75B9">
        <w:rPr>
          <w:sz w:val="22"/>
          <w:szCs w:val="22"/>
        </w:rPr>
        <w:t xml:space="preserve"> was recently reviewed but left unchanged (Shaul et al. 2014).</w:t>
      </w:r>
      <w:r w:rsidR="006A3C7D" w:rsidRPr="005A75B9">
        <w:rPr>
          <w:sz w:val="22"/>
          <w:szCs w:val="22"/>
        </w:rPr>
        <w:t xml:space="preserve"> Although</w:t>
      </w:r>
      <w:r w:rsidRPr="005A75B9">
        <w:rPr>
          <w:sz w:val="22"/>
          <w:szCs w:val="22"/>
        </w:rPr>
        <w:t xml:space="preserve"> marine survival has shown a level long-term trend, nutrients from increasing pink salmon escapements in the 1990s and 2000s are thought to be the primary factor responsible for a doubling of average adult returns from 1982–1991 to 1992–2009 (Shaul et al. 2014). While total nutrient inputs from spawning salmon have remained high in recent years, average coho salmon returns have declined since the mid-2000s to an intermediate level, possibly reflecting effects of a </w:t>
      </w:r>
      <w:r w:rsidR="00496872" w:rsidRPr="005A75B9">
        <w:rPr>
          <w:sz w:val="22"/>
          <w:szCs w:val="22"/>
        </w:rPr>
        <w:t>recent cooling trend in the North Pacific climate cycle</w:t>
      </w:r>
      <w:r w:rsidRPr="005A75B9">
        <w:rPr>
          <w:sz w:val="22"/>
          <w:szCs w:val="22"/>
        </w:rPr>
        <w:t xml:space="preserve">. Age 1-ocean Ford Arm Creek spawners have exhibited a dramatic long-term decrease in average size between 1982–1986 and 2011–2013 (43% decrease in weight for males, 29% for females) that was likely caused by a decline in their principal high seas prey, </w:t>
      </w:r>
      <w:proofErr w:type="spellStart"/>
      <w:r w:rsidRPr="005A75B9">
        <w:rPr>
          <w:sz w:val="22"/>
          <w:szCs w:val="22"/>
        </w:rPr>
        <w:t>gonatid</w:t>
      </w:r>
      <w:proofErr w:type="spellEnd"/>
      <w:r w:rsidRPr="005A75B9">
        <w:rPr>
          <w:sz w:val="22"/>
          <w:szCs w:val="22"/>
        </w:rPr>
        <w:t xml:space="preserve"> squids. The decline in size of females has likely had a substantial effect on the per capital reproductive potential of the spawning escapement. Coincidentally, during 2011–2013, the stock exhibited uncharacteristic migratory behavior in which a large number of fish left the ocean earlier than in previous years and migrated into local inlets where a substantial fraction were harvested incidentally by a purse seine fishery targeting pink salmon. The estimated purse seine exploitation rate averaged 34% during 2011–2013, compared with only 4% during 1982–2010. Although the troll fishery harvested an average of 39% of the total run in 2011–2013 (down from 53%) and the marine sport fishery accounted for 2% (down from 4%), overall exploitation rates during 2011–2013 were still relatively high (average 75%; range</w:t>
      </w:r>
      <w:r w:rsidR="00496872" w:rsidRPr="005A75B9">
        <w:rPr>
          <w:sz w:val="22"/>
          <w:szCs w:val="22"/>
        </w:rPr>
        <w:t>:</w:t>
      </w:r>
      <w:r w:rsidRPr="005A75B9">
        <w:rPr>
          <w:sz w:val="22"/>
          <w:szCs w:val="22"/>
        </w:rPr>
        <w:t xml:space="preserve"> 63–82%). However, the biological escapement goal continued to be met (Appendix Figure </w:t>
      </w:r>
      <w:r w:rsidR="00190338" w:rsidRPr="005A75B9">
        <w:rPr>
          <w:sz w:val="22"/>
          <w:szCs w:val="22"/>
        </w:rPr>
        <w:t>C</w:t>
      </w:r>
      <w:r w:rsidRPr="005A75B9">
        <w:rPr>
          <w:sz w:val="22"/>
          <w:szCs w:val="22"/>
        </w:rPr>
        <w:t xml:space="preserve"> 5).</w:t>
      </w:r>
    </w:p>
    <w:p w:rsidR="001C376E" w:rsidRPr="005A75B9" w:rsidRDefault="006817EB" w:rsidP="001C376E">
      <w:pPr>
        <w:jc w:val="center"/>
        <w:rPr>
          <w:sz w:val="22"/>
          <w:szCs w:val="22"/>
        </w:rPr>
      </w:pPr>
      <w:r w:rsidRPr="006817EB">
        <w:rPr>
          <w:noProof/>
        </w:rPr>
        <w:drawing>
          <wp:inline distT="0" distB="0" distL="0" distR="0" wp14:anchorId="59FF28A0" wp14:editId="2CC66A5A">
            <wp:extent cx="4297680" cy="3118104"/>
            <wp:effectExtent l="19050" t="19050" r="26670" b="254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7680" cy="3118104"/>
                    </a:xfrm>
                    <a:prstGeom prst="rect">
                      <a:avLst/>
                    </a:prstGeom>
                    <a:noFill/>
                    <a:ln>
                      <a:solidFill>
                        <a:schemeClr val="tx1"/>
                      </a:solidFill>
                    </a:ln>
                  </pic:spPr>
                </pic:pic>
              </a:graphicData>
            </a:graphic>
          </wp:inline>
        </w:drawing>
      </w:r>
    </w:p>
    <w:p w:rsidR="001C376E" w:rsidRPr="005A75B9" w:rsidRDefault="001C1E16" w:rsidP="001C1E16">
      <w:pPr>
        <w:pStyle w:val="Caption"/>
        <w:rPr>
          <w:szCs w:val="22"/>
        </w:rPr>
      </w:pPr>
      <w:bookmarkStart w:id="20" w:name="_Toc395791372"/>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00796C48" w:rsidRPr="005A75B9">
        <w:rPr>
          <w:noProof/>
        </w:rPr>
        <w:t>5</w:t>
      </w:r>
      <w:r w:rsidR="00BD469F" w:rsidRPr="005A75B9">
        <w:rPr>
          <w:noProof/>
        </w:rPr>
        <w:fldChar w:fldCharType="end"/>
      </w:r>
      <w:r w:rsidR="001C376E" w:rsidRPr="005A75B9">
        <w:t>.–Total estimated run size, catch, and escapement (weir counts) of coho salmon returning to Ford Arm Creek, 1982–201</w:t>
      </w:r>
      <w:bookmarkEnd w:id="20"/>
      <w:r w:rsidR="006817EB">
        <w:t>5</w:t>
      </w:r>
      <w:r w:rsidR="001C376E" w:rsidRPr="005A75B9">
        <w:t>, and biological escapement goal of 1,300–2,900 spawners.</w:t>
      </w:r>
      <w:r w:rsidR="006817EB">
        <w:t xml:space="preserve"> </w:t>
      </w:r>
      <w:r w:rsidR="006817EB" w:rsidRPr="00707262">
        <w:rPr>
          <w:highlight w:val="darkCyan"/>
        </w:rPr>
        <w:t>Due to budget cuts, this project was discontinued after the 2015 season.</w:t>
      </w:r>
      <w:r w:rsidR="006817EB">
        <w:t xml:space="preserve"> </w:t>
      </w:r>
    </w:p>
    <w:p w:rsidR="001C376E" w:rsidRPr="005A75B9" w:rsidRDefault="001C376E" w:rsidP="001C376E">
      <w:pPr>
        <w:pStyle w:val="Caption"/>
        <w:rPr>
          <w:szCs w:val="22"/>
        </w:rPr>
      </w:pPr>
      <w:r w:rsidRPr="005A75B9">
        <w:rPr>
          <w:szCs w:val="22"/>
        </w:rPr>
        <w:br w:type="page"/>
      </w:r>
      <w:bookmarkStart w:id="21" w:name="_Toc395791373"/>
      <w:bookmarkStart w:id="22" w:name="_Toc484171922"/>
      <w:proofErr w:type="gramStart"/>
      <w:r w:rsidRPr="005A75B9">
        <w:lastRenderedPageBreak/>
        <w:t xml:space="preserve">Appendix C </w:t>
      </w:r>
      <w:r w:rsidR="00BD469F" w:rsidRPr="005A75B9">
        <w:fldChar w:fldCharType="begin"/>
      </w:r>
      <w:r w:rsidR="006D5F73" w:rsidRPr="005A75B9">
        <w:instrText xml:space="preserve"> SEQ Appendix_C \* ARABIC </w:instrText>
      </w:r>
      <w:r w:rsidR="00BD469F" w:rsidRPr="005A75B9">
        <w:fldChar w:fldCharType="separate"/>
      </w:r>
      <w:r w:rsidR="00796C48" w:rsidRPr="005A75B9">
        <w:rPr>
          <w:noProof/>
        </w:rPr>
        <w:t>5</w:t>
      </w:r>
      <w:r w:rsidR="00BD469F" w:rsidRPr="005A75B9">
        <w:rPr>
          <w:noProof/>
        </w:rPr>
        <w:fldChar w:fldCharType="end"/>
      </w:r>
      <w:r w:rsidRPr="005A75B9">
        <w:t>.–Hugh Smith Lake coho salmon.</w:t>
      </w:r>
      <w:bookmarkEnd w:id="21"/>
      <w:bookmarkEnd w:id="22"/>
      <w:proofErr w:type="gramEnd"/>
    </w:p>
    <w:p w:rsidR="001C376E" w:rsidRPr="005A75B9" w:rsidRDefault="001C376E" w:rsidP="001C376E">
      <w:pPr>
        <w:rPr>
          <w:sz w:val="22"/>
          <w:szCs w:val="22"/>
        </w:rPr>
      </w:pPr>
      <w:r w:rsidRPr="005A75B9">
        <w:rPr>
          <w:sz w:val="22"/>
          <w:szCs w:val="22"/>
        </w:rPr>
        <w:t xml:space="preserve">Hugh Smith Lake, located on the mainland southeast of Ketchikan, is currently the only wild coho salmon indicator stock in southern Southeast. Returning adults are counted at a weir across the short lake outlet and spawn in two inlet streams, Cobb and Buschmann creeks. A limited amount of rearing habitat is available in the inlet streams, but most </w:t>
      </w:r>
      <w:proofErr w:type="gramStart"/>
      <w:r w:rsidRPr="005A75B9">
        <w:rPr>
          <w:sz w:val="22"/>
          <w:szCs w:val="22"/>
        </w:rPr>
        <w:t>juveniles</w:t>
      </w:r>
      <w:proofErr w:type="gramEnd"/>
      <w:r w:rsidRPr="005A75B9">
        <w:rPr>
          <w:sz w:val="22"/>
          <w:szCs w:val="22"/>
        </w:rPr>
        <w:t xml:space="preserve"> rear around wood and rock structure along the steep lakeshore and in the extensive log jam at the outlet. Smolt production has varied around a stable trend, averaging 31,800 smolts. Marine survival has been more variable, ranging from 4–21% around a long-term average of 13%. Marine survival and adult abundance were strongly correlated with the Berners River (located 490 km to the north) from the early-1980s until the mid-2000s. However, in contrast with the Berners River, where both smolt production and marine survival have both declined since the mid-2000s, the 2008–2013 average survival </w:t>
      </w:r>
      <w:proofErr w:type="gramStart"/>
      <w:r w:rsidRPr="005A75B9">
        <w:rPr>
          <w:sz w:val="22"/>
          <w:szCs w:val="22"/>
        </w:rPr>
        <w:t>rate</w:t>
      </w:r>
      <w:proofErr w:type="gramEnd"/>
      <w:r w:rsidRPr="005A75B9">
        <w:rPr>
          <w:sz w:val="22"/>
          <w:szCs w:val="22"/>
        </w:rPr>
        <w:t xml:space="preserve"> of 15.4% for the Hugh Smith Lake stock was higher than the 1983–2007 average (12.3%). A geographic shift in marine survival in favor of southern areas of the region is also evident in hatchery stocks (Shaul et al. 2011).</w:t>
      </w:r>
    </w:p>
    <w:p w:rsidR="001C376E" w:rsidRPr="005A75B9" w:rsidRDefault="001C376E" w:rsidP="001C376E">
      <w:pPr>
        <w:rPr>
          <w:sz w:val="22"/>
          <w:szCs w:val="22"/>
        </w:rPr>
      </w:pPr>
      <w:r w:rsidRPr="005A75B9">
        <w:rPr>
          <w:b/>
          <w:sz w:val="22"/>
          <w:szCs w:val="22"/>
        </w:rPr>
        <w:t>Escapement Goals and Stock Status:</w:t>
      </w:r>
      <w:r w:rsidRPr="005A75B9">
        <w:rPr>
          <w:sz w:val="22"/>
          <w:szCs w:val="22"/>
        </w:rPr>
        <w:t xml:space="preserve"> A biological escapement goal was first established at 500–1,100 spawners in 1994 (Clark et al. 1994) and expanded to 500–1,600 spawners in 2009 (Shaul et al. 2009). In contrast with northern Southeast indicator stocks, a coincidence of favorable freshwater and marine conditions resulted in a series of average or larger returns to Hugh Smith Lake during the most recent 6-year period (2008–2013)</w:t>
      </w:r>
      <w:r w:rsidR="008E4BBF" w:rsidRPr="005A75B9">
        <w:rPr>
          <w:sz w:val="22"/>
          <w:szCs w:val="22"/>
        </w:rPr>
        <w:t>,</w:t>
      </w:r>
      <w:r w:rsidRPr="005A75B9">
        <w:rPr>
          <w:sz w:val="22"/>
          <w:szCs w:val="22"/>
        </w:rPr>
        <w:t xml:space="preserve"> with the estimated 2013 return (6,936 adults) being the second largest on record. Despite liberal fishing opportunity in most of those years, including reduced or eliminated mid-season troll fishery closures, extended Tree Point drift gillnet fishery openings, and 10-day troll season extensions, the all-fishery exploitation rate during 2008–2013 averaged only 50% (range</w:t>
      </w:r>
      <w:r w:rsidR="00496872" w:rsidRPr="005A75B9">
        <w:rPr>
          <w:sz w:val="22"/>
          <w:szCs w:val="22"/>
        </w:rPr>
        <w:t>:</w:t>
      </w:r>
      <w:r w:rsidRPr="005A75B9">
        <w:rPr>
          <w:sz w:val="22"/>
          <w:szCs w:val="22"/>
        </w:rPr>
        <w:t xml:space="preserve"> 45–54%) compared with an average of 75% (range</w:t>
      </w:r>
      <w:r w:rsidR="00496872" w:rsidRPr="005A75B9">
        <w:rPr>
          <w:sz w:val="22"/>
          <w:szCs w:val="22"/>
        </w:rPr>
        <w:t>:</w:t>
      </w:r>
      <w:r w:rsidRPr="005A75B9">
        <w:rPr>
          <w:sz w:val="22"/>
          <w:szCs w:val="22"/>
        </w:rPr>
        <w:t xml:space="preserve"> 68–82%) in the 1990s. The stock recently appears to have been making landfall farther south during the recent cooling trend in the North Pacific climate cycle compared with the warmer period in late-1980s and 1990s, resulting in reduced exposure to intensive fisheries to the north. The combined result of strong returns and moderate exploitation rates has been escapements that consistently exceeded even the recently expanded escapement goal range during the past 6 years (Appendix Figure </w:t>
      </w:r>
      <w:r w:rsidR="00190338" w:rsidRPr="005A75B9">
        <w:rPr>
          <w:sz w:val="22"/>
          <w:szCs w:val="22"/>
        </w:rPr>
        <w:t>C</w:t>
      </w:r>
      <w:r w:rsidRPr="005A75B9">
        <w:rPr>
          <w:sz w:val="22"/>
          <w:szCs w:val="22"/>
        </w:rPr>
        <w:t xml:space="preserve"> 6).</w:t>
      </w:r>
    </w:p>
    <w:p w:rsidR="001C376E" w:rsidRPr="005A75B9" w:rsidRDefault="00707262" w:rsidP="001C376E">
      <w:pPr>
        <w:jc w:val="center"/>
        <w:rPr>
          <w:sz w:val="22"/>
          <w:szCs w:val="22"/>
        </w:rPr>
      </w:pPr>
      <w:r w:rsidRPr="00707262">
        <w:rPr>
          <w:noProof/>
        </w:rPr>
        <w:drawing>
          <wp:inline distT="0" distB="0" distL="0" distR="0" wp14:anchorId="52EACB92" wp14:editId="149087D1">
            <wp:extent cx="4297680" cy="3118104"/>
            <wp:effectExtent l="19050" t="19050" r="26670" b="2540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7680" cy="3118104"/>
                    </a:xfrm>
                    <a:prstGeom prst="rect">
                      <a:avLst/>
                    </a:prstGeom>
                    <a:noFill/>
                    <a:ln>
                      <a:solidFill>
                        <a:schemeClr val="tx1"/>
                      </a:solidFill>
                    </a:ln>
                  </pic:spPr>
                </pic:pic>
              </a:graphicData>
            </a:graphic>
          </wp:inline>
        </w:drawing>
      </w:r>
    </w:p>
    <w:p w:rsidR="001C376E" w:rsidRPr="005A75B9" w:rsidRDefault="001C1E16" w:rsidP="001C1E16">
      <w:pPr>
        <w:pStyle w:val="Caption"/>
      </w:pPr>
      <w:bookmarkStart w:id="23" w:name="_Toc395791374"/>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00796C48" w:rsidRPr="005A75B9">
        <w:rPr>
          <w:noProof/>
        </w:rPr>
        <w:t>6</w:t>
      </w:r>
      <w:r w:rsidR="00BD469F" w:rsidRPr="005A75B9">
        <w:rPr>
          <w:noProof/>
        </w:rPr>
        <w:fldChar w:fldCharType="end"/>
      </w:r>
      <w:r w:rsidR="001C376E" w:rsidRPr="005A75B9">
        <w:t>.–Total estimated run size, catch, and escapement (weir counts) of coho salmon returning to Hugh Smith Lake, 1982–201</w:t>
      </w:r>
      <w:bookmarkEnd w:id="23"/>
      <w:r w:rsidR="00707262">
        <w:t>6</w:t>
      </w:r>
      <w:r w:rsidR="001C376E" w:rsidRPr="005A75B9">
        <w:t>, and biological escapement goal of 500–1,600 spawners.</w:t>
      </w:r>
    </w:p>
    <w:p w:rsidR="001C376E" w:rsidRPr="005A75B9" w:rsidRDefault="001C376E" w:rsidP="001C376E">
      <w:pPr>
        <w:pStyle w:val="Caption"/>
        <w:rPr>
          <w:szCs w:val="22"/>
        </w:rPr>
      </w:pPr>
      <w:bookmarkStart w:id="24" w:name="_Toc395791375"/>
      <w:r w:rsidRPr="005A75B9">
        <w:br w:type="page"/>
      </w:r>
      <w:bookmarkStart w:id="25" w:name="_Toc484171923"/>
      <w:proofErr w:type="gramStart"/>
      <w:r w:rsidRPr="005A75B9">
        <w:lastRenderedPageBreak/>
        <w:t xml:space="preserve">Appendix C </w:t>
      </w:r>
      <w:r w:rsidR="00BD469F" w:rsidRPr="005A75B9">
        <w:fldChar w:fldCharType="begin"/>
      </w:r>
      <w:r w:rsidR="006D5F73" w:rsidRPr="005A75B9">
        <w:instrText xml:space="preserve"> SEQ Appendix_C \* ARABIC </w:instrText>
      </w:r>
      <w:r w:rsidR="00BD469F" w:rsidRPr="005A75B9">
        <w:fldChar w:fldCharType="separate"/>
      </w:r>
      <w:r w:rsidR="00796C48" w:rsidRPr="005A75B9">
        <w:rPr>
          <w:noProof/>
        </w:rPr>
        <w:t>6</w:t>
      </w:r>
      <w:r w:rsidR="00BD469F" w:rsidRPr="005A75B9">
        <w:rPr>
          <w:noProof/>
        </w:rPr>
        <w:fldChar w:fldCharType="end"/>
      </w:r>
      <w:r w:rsidRPr="005A75B9">
        <w:t>.–Montana and Peterson creeks coho salmon.</w:t>
      </w:r>
      <w:bookmarkEnd w:id="24"/>
      <w:bookmarkEnd w:id="25"/>
      <w:proofErr w:type="gramEnd"/>
    </w:p>
    <w:p w:rsidR="001C376E" w:rsidRPr="005A75B9" w:rsidRDefault="001C376E" w:rsidP="001C376E">
      <w:pPr>
        <w:rPr>
          <w:sz w:val="22"/>
          <w:szCs w:val="22"/>
        </w:rPr>
      </w:pPr>
      <w:r w:rsidRPr="005A75B9">
        <w:rPr>
          <w:sz w:val="22"/>
          <w:szCs w:val="22"/>
        </w:rPr>
        <w:t>Escapement goals have been established based on peak survey counts for two stocks accessible from the Juneau road system, Montana and Peterson creeks. Both stocks are likely harvested at moderate rates, similar to nearby Auke Creek, where the all-fishery exploitation rate during 1980–2013 averaged 39% (range</w:t>
      </w:r>
      <w:r w:rsidR="00496872" w:rsidRPr="005A75B9">
        <w:rPr>
          <w:sz w:val="22"/>
          <w:szCs w:val="22"/>
        </w:rPr>
        <w:t>:</w:t>
      </w:r>
      <w:r w:rsidRPr="005A75B9">
        <w:rPr>
          <w:sz w:val="22"/>
          <w:szCs w:val="22"/>
        </w:rPr>
        <w:t xml:space="preserve"> 20–55%).</w:t>
      </w:r>
    </w:p>
    <w:p w:rsidR="001C376E" w:rsidRPr="005A75B9" w:rsidRDefault="001C376E" w:rsidP="001C376E">
      <w:pPr>
        <w:rPr>
          <w:sz w:val="22"/>
          <w:szCs w:val="22"/>
        </w:rPr>
      </w:pPr>
      <w:r w:rsidRPr="005A75B9">
        <w:rPr>
          <w:b/>
          <w:sz w:val="22"/>
          <w:szCs w:val="22"/>
        </w:rPr>
        <w:t>Escapement Goals and Stock Status:</w:t>
      </w:r>
      <w:r w:rsidRPr="005A75B9">
        <w:rPr>
          <w:sz w:val="22"/>
          <w:szCs w:val="22"/>
        </w:rPr>
        <w:t xml:space="preserve"> Escapement goals were initially established as biological escapement goals of 200–500 for Montana Creek and 100–350 for Peterson Creek</w:t>
      </w:r>
      <w:r w:rsidR="008E4BBF" w:rsidRPr="005A75B9">
        <w:rPr>
          <w:sz w:val="22"/>
          <w:szCs w:val="22"/>
        </w:rPr>
        <w:t>,</w:t>
      </w:r>
      <w:r w:rsidRPr="005A75B9">
        <w:rPr>
          <w:sz w:val="22"/>
          <w:szCs w:val="22"/>
        </w:rPr>
        <w:t xml:space="preserve"> based on an analysis by Clark (1995</w:t>
      </w:r>
      <w:r w:rsidR="00CD55A1" w:rsidRPr="005A75B9">
        <w:rPr>
          <w:sz w:val="22"/>
          <w:szCs w:val="22"/>
        </w:rPr>
        <w:t>b</w:t>
      </w:r>
      <w:r w:rsidRPr="005A75B9">
        <w:rPr>
          <w:sz w:val="22"/>
          <w:szCs w:val="22"/>
        </w:rPr>
        <w:t xml:space="preserve">) but were more recently changed to sustainable escapement goals of 400–1,200 spawners for Montana Creek and 100–250 spawners for Petersen Creek (Clark 2005). The Peterson Creek </w:t>
      </w:r>
      <w:r w:rsidR="00496872" w:rsidRPr="005A75B9">
        <w:rPr>
          <w:sz w:val="22"/>
          <w:szCs w:val="22"/>
        </w:rPr>
        <w:t xml:space="preserve">escapement goal </w:t>
      </w:r>
      <w:r w:rsidRPr="005A75B9">
        <w:rPr>
          <w:sz w:val="22"/>
          <w:szCs w:val="22"/>
        </w:rPr>
        <w:t xml:space="preserve">has been met or exceeded annually since surveys were initiated in 1981. The Montana Creek </w:t>
      </w:r>
      <w:r w:rsidR="00496872" w:rsidRPr="005A75B9">
        <w:rPr>
          <w:sz w:val="22"/>
          <w:szCs w:val="22"/>
        </w:rPr>
        <w:t xml:space="preserve">escapement goal </w:t>
      </w:r>
      <w:r w:rsidRPr="005A75B9">
        <w:rPr>
          <w:sz w:val="22"/>
          <w:szCs w:val="22"/>
        </w:rPr>
        <w:t>was not met in 9 years out of 33, including the two most recent years</w:t>
      </w:r>
      <w:r w:rsidR="008E4BBF" w:rsidRPr="005A75B9">
        <w:rPr>
          <w:sz w:val="22"/>
          <w:szCs w:val="22"/>
        </w:rPr>
        <w:t>—</w:t>
      </w:r>
      <w:r w:rsidRPr="005A75B9">
        <w:rPr>
          <w:sz w:val="22"/>
          <w:szCs w:val="22"/>
        </w:rPr>
        <w:t xml:space="preserve">394 spawners in 2012 and 357 spawners in 2013 (Appendix Figure </w:t>
      </w:r>
      <w:r w:rsidR="00190338" w:rsidRPr="005A75B9">
        <w:rPr>
          <w:sz w:val="22"/>
          <w:szCs w:val="22"/>
        </w:rPr>
        <w:t>C</w:t>
      </w:r>
      <w:r w:rsidRPr="005A75B9">
        <w:rPr>
          <w:sz w:val="22"/>
          <w:szCs w:val="22"/>
        </w:rPr>
        <w:t xml:space="preserve"> 7). Escapements to Montana Creek during 1982–2013 closely tracked escapements in the Berners River (R</w:t>
      </w:r>
      <w:r w:rsidRPr="005A75B9">
        <w:rPr>
          <w:sz w:val="22"/>
          <w:szCs w:val="22"/>
          <w:vertAlign w:val="superscript"/>
        </w:rPr>
        <w:t>2</w:t>
      </w:r>
      <w:r w:rsidR="00496872" w:rsidRPr="005A75B9">
        <w:rPr>
          <w:sz w:val="22"/>
          <w:szCs w:val="22"/>
        </w:rPr>
        <w:t xml:space="preserve"> = 0.60)</w:t>
      </w:r>
      <w:r w:rsidRPr="005A75B9">
        <w:rPr>
          <w:sz w:val="22"/>
          <w:szCs w:val="22"/>
        </w:rPr>
        <w:t xml:space="preserve"> where returns and escapements have declined substantially since the mid-2000s, due in about equal part to lower smolt production and marine survival during a recent cooling trend in the North Pacific climate cycle. Recent peak counts for Peterson Creek have been more variable, with historically high counts above the goal in 2008 and 2010 mixed with lower counts of 123–138 spawners near the lower bound </w:t>
      </w:r>
      <w:r w:rsidR="00496872" w:rsidRPr="005A75B9">
        <w:rPr>
          <w:sz w:val="22"/>
          <w:szCs w:val="22"/>
        </w:rPr>
        <w:t xml:space="preserve">of the escapement goal </w:t>
      </w:r>
      <w:r w:rsidRPr="005A75B9">
        <w:rPr>
          <w:sz w:val="22"/>
          <w:szCs w:val="22"/>
        </w:rPr>
        <w:t>in 2009, 2011</w:t>
      </w:r>
      <w:r w:rsidR="00496872" w:rsidRPr="005A75B9">
        <w:rPr>
          <w:sz w:val="22"/>
          <w:szCs w:val="22"/>
        </w:rPr>
        <w:t>,</w:t>
      </w:r>
      <w:r w:rsidRPr="005A75B9">
        <w:rPr>
          <w:sz w:val="22"/>
          <w:szCs w:val="22"/>
        </w:rPr>
        <w:t xml:space="preserve"> and 2013 (Appendix Figure </w:t>
      </w:r>
      <w:r w:rsidR="00190338" w:rsidRPr="005A75B9">
        <w:rPr>
          <w:sz w:val="22"/>
          <w:szCs w:val="22"/>
        </w:rPr>
        <w:t>C</w:t>
      </w:r>
      <w:r w:rsidRPr="005A75B9">
        <w:rPr>
          <w:sz w:val="22"/>
          <w:szCs w:val="22"/>
        </w:rPr>
        <w:t xml:space="preserve"> 7).</w:t>
      </w:r>
    </w:p>
    <w:p w:rsidR="001C376E" w:rsidRPr="005A75B9" w:rsidRDefault="001C376E" w:rsidP="001C376E">
      <w:pPr>
        <w:rPr>
          <w:sz w:val="22"/>
          <w:szCs w:val="22"/>
        </w:rPr>
      </w:pPr>
    </w:p>
    <w:p w:rsidR="001C376E" w:rsidRPr="005A75B9" w:rsidRDefault="00707262" w:rsidP="001C376E">
      <w:pPr>
        <w:jc w:val="center"/>
        <w:rPr>
          <w:sz w:val="22"/>
          <w:szCs w:val="22"/>
        </w:rPr>
      </w:pPr>
      <w:r w:rsidRPr="00707262">
        <w:rPr>
          <w:noProof/>
        </w:rPr>
        <w:drawing>
          <wp:inline distT="0" distB="0" distL="0" distR="0" wp14:anchorId="07B7265C" wp14:editId="18474B33">
            <wp:extent cx="4434840" cy="3648456"/>
            <wp:effectExtent l="19050" t="19050" r="22860"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34840" cy="3648456"/>
                    </a:xfrm>
                    <a:prstGeom prst="rect">
                      <a:avLst/>
                    </a:prstGeom>
                    <a:noFill/>
                    <a:ln>
                      <a:solidFill>
                        <a:schemeClr val="tx1"/>
                      </a:solidFill>
                    </a:ln>
                  </pic:spPr>
                </pic:pic>
              </a:graphicData>
            </a:graphic>
          </wp:inline>
        </w:drawing>
      </w:r>
    </w:p>
    <w:p w:rsidR="001C376E" w:rsidRPr="005A75B9" w:rsidRDefault="001C1E16" w:rsidP="001C1E16">
      <w:pPr>
        <w:pStyle w:val="Caption"/>
        <w:rPr>
          <w:szCs w:val="22"/>
        </w:rPr>
      </w:pPr>
      <w:bookmarkStart w:id="26" w:name="_Toc395791376"/>
      <w:proofErr w:type="gramStart"/>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00796C48" w:rsidRPr="005A75B9">
        <w:rPr>
          <w:noProof/>
        </w:rPr>
        <w:t>7</w:t>
      </w:r>
      <w:r w:rsidR="00BD469F" w:rsidRPr="005A75B9">
        <w:rPr>
          <w:noProof/>
        </w:rPr>
        <w:fldChar w:fldCharType="end"/>
      </w:r>
      <w:r w:rsidR="001C376E" w:rsidRPr="005A75B9">
        <w:t xml:space="preserve">.–Peak coho salmon escapement survey counts and sustainable escapement goals for two Juneau roadside </w:t>
      </w:r>
      <w:r w:rsidR="007B49CE" w:rsidRPr="005A75B9">
        <w:t>s</w:t>
      </w:r>
      <w:r w:rsidR="001C376E" w:rsidRPr="005A75B9">
        <w:t>treams, Montana Creek and Peterson Creek, 1981–201</w:t>
      </w:r>
      <w:r w:rsidR="00707262">
        <w:t>6</w:t>
      </w:r>
      <w:r w:rsidR="001C376E" w:rsidRPr="005A75B9">
        <w:t>.</w:t>
      </w:r>
      <w:bookmarkEnd w:id="26"/>
      <w:proofErr w:type="gramEnd"/>
    </w:p>
    <w:p w:rsidR="001C376E" w:rsidRPr="005A75B9" w:rsidRDefault="001C376E" w:rsidP="001C376E">
      <w:pPr>
        <w:pStyle w:val="Caption"/>
        <w:rPr>
          <w:szCs w:val="22"/>
        </w:rPr>
      </w:pPr>
      <w:r w:rsidRPr="005A75B9">
        <w:rPr>
          <w:szCs w:val="22"/>
        </w:rPr>
        <w:br w:type="page"/>
      </w:r>
      <w:bookmarkStart w:id="27" w:name="_Toc395791377"/>
      <w:bookmarkStart w:id="28" w:name="_Toc484171924"/>
      <w:proofErr w:type="gramStart"/>
      <w:r w:rsidRPr="005A75B9">
        <w:lastRenderedPageBreak/>
        <w:t xml:space="preserve">Appendix C </w:t>
      </w:r>
      <w:r w:rsidR="00BD469F" w:rsidRPr="005A75B9">
        <w:fldChar w:fldCharType="begin"/>
      </w:r>
      <w:r w:rsidR="006D5F73" w:rsidRPr="005A75B9">
        <w:instrText xml:space="preserve"> SEQ Appendix_C \* ARABIC </w:instrText>
      </w:r>
      <w:r w:rsidR="00BD469F" w:rsidRPr="005A75B9">
        <w:fldChar w:fldCharType="separate"/>
      </w:r>
      <w:r w:rsidR="00796C48" w:rsidRPr="005A75B9">
        <w:rPr>
          <w:noProof/>
        </w:rPr>
        <w:t>7</w:t>
      </w:r>
      <w:r w:rsidR="00BD469F" w:rsidRPr="005A75B9">
        <w:rPr>
          <w:noProof/>
        </w:rPr>
        <w:fldChar w:fldCharType="end"/>
      </w:r>
      <w:r w:rsidRPr="005A75B9">
        <w:t>.–Sitka Area coho salmon survey index.</w:t>
      </w:r>
      <w:bookmarkEnd w:id="27"/>
      <w:bookmarkEnd w:id="28"/>
      <w:proofErr w:type="gramEnd"/>
    </w:p>
    <w:p w:rsidR="001C376E" w:rsidRPr="005A75B9" w:rsidRDefault="001C376E" w:rsidP="001C376E">
      <w:pPr>
        <w:rPr>
          <w:sz w:val="22"/>
          <w:szCs w:val="22"/>
        </w:rPr>
      </w:pPr>
      <w:r w:rsidRPr="005A75B9">
        <w:rPr>
          <w:sz w:val="22"/>
          <w:szCs w:val="22"/>
        </w:rPr>
        <w:t xml:space="preserve">Five small streams within and north of Sitka Sound, that </w:t>
      </w:r>
      <w:proofErr w:type="gramStart"/>
      <w:r w:rsidRPr="005A75B9">
        <w:rPr>
          <w:sz w:val="22"/>
          <w:szCs w:val="22"/>
        </w:rPr>
        <w:t>comprise</w:t>
      </w:r>
      <w:proofErr w:type="gramEnd"/>
      <w:r w:rsidRPr="005A75B9">
        <w:rPr>
          <w:sz w:val="22"/>
          <w:szCs w:val="22"/>
        </w:rPr>
        <w:t xml:space="preserve"> the Sitka survey index, have been surveyed one or more times annually by foot since 1982. The streams include </w:t>
      </w:r>
      <w:proofErr w:type="spellStart"/>
      <w:r w:rsidRPr="005A75B9">
        <w:rPr>
          <w:sz w:val="22"/>
          <w:szCs w:val="22"/>
        </w:rPr>
        <w:t>Starrigavan</w:t>
      </w:r>
      <w:proofErr w:type="spellEnd"/>
      <w:r w:rsidRPr="005A75B9">
        <w:rPr>
          <w:sz w:val="22"/>
          <w:szCs w:val="22"/>
        </w:rPr>
        <w:t xml:space="preserve"> Creek, </w:t>
      </w:r>
      <w:proofErr w:type="spellStart"/>
      <w:r w:rsidRPr="005A75B9">
        <w:rPr>
          <w:sz w:val="22"/>
          <w:szCs w:val="22"/>
        </w:rPr>
        <w:t>Sinitsin</w:t>
      </w:r>
      <w:proofErr w:type="spellEnd"/>
      <w:r w:rsidRPr="005A75B9">
        <w:rPr>
          <w:sz w:val="22"/>
          <w:szCs w:val="22"/>
        </w:rPr>
        <w:t xml:space="preserve"> Creek, St. John’s Creek, </w:t>
      </w:r>
      <w:proofErr w:type="spellStart"/>
      <w:r w:rsidRPr="005A75B9">
        <w:rPr>
          <w:sz w:val="22"/>
          <w:szCs w:val="22"/>
        </w:rPr>
        <w:t>Nakwasina</w:t>
      </w:r>
      <w:proofErr w:type="spellEnd"/>
      <w:r w:rsidRPr="005A75B9">
        <w:rPr>
          <w:sz w:val="22"/>
          <w:szCs w:val="22"/>
        </w:rPr>
        <w:t xml:space="preserve"> River, and Eagle River. </w:t>
      </w:r>
    </w:p>
    <w:p w:rsidR="001C376E" w:rsidRPr="005A75B9" w:rsidRDefault="001C376E" w:rsidP="001C376E">
      <w:pPr>
        <w:rPr>
          <w:sz w:val="22"/>
          <w:szCs w:val="22"/>
        </w:rPr>
      </w:pPr>
      <w:r w:rsidRPr="005A75B9">
        <w:rPr>
          <w:b/>
          <w:sz w:val="22"/>
          <w:szCs w:val="22"/>
        </w:rPr>
        <w:t>Escapement Goals and Stock Status:</w:t>
      </w:r>
      <w:r w:rsidRPr="005A75B9">
        <w:rPr>
          <w:sz w:val="22"/>
          <w:szCs w:val="22"/>
        </w:rPr>
        <w:t xml:space="preserve"> Shaul and Tydingco (2006) recommended the current biological escapement goal of 400–800 spawners for the aggregate count in the 5 index streams, based on an analysis that assumes productivity (smolts per spawner at </w:t>
      </w:r>
      <w:r w:rsidR="006A3C7D" w:rsidRPr="005A75B9">
        <w:rPr>
          <w:sz w:val="22"/>
          <w:szCs w:val="22"/>
        </w:rPr>
        <w:t>maximum sustained yield</w:t>
      </w:r>
      <w:r w:rsidRPr="005A75B9">
        <w:rPr>
          <w:sz w:val="22"/>
          <w:szCs w:val="22"/>
        </w:rPr>
        <w:t>) for Sitka Sound stocks to be average for coho stocks that have been studied. Escapement</w:t>
      </w:r>
      <w:r w:rsidR="00496872" w:rsidRPr="005A75B9">
        <w:rPr>
          <w:sz w:val="22"/>
          <w:szCs w:val="22"/>
        </w:rPr>
        <w:t xml:space="preserve"> counts</w:t>
      </w:r>
      <w:r w:rsidRPr="005A75B9">
        <w:rPr>
          <w:sz w:val="22"/>
          <w:szCs w:val="22"/>
        </w:rPr>
        <w:t xml:space="preserve"> </w:t>
      </w:r>
      <w:r w:rsidR="00496872" w:rsidRPr="005A75B9">
        <w:rPr>
          <w:sz w:val="22"/>
          <w:szCs w:val="22"/>
        </w:rPr>
        <w:t>have exceeded</w:t>
      </w:r>
      <w:r w:rsidRPr="005A75B9">
        <w:rPr>
          <w:sz w:val="22"/>
          <w:szCs w:val="22"/>
        </w:rPr>
        <w:t xml:space="preserve"> the lower </w:t>
      </w:r>
      <w:r w:rsidR="00496872" w:rsidRPr="005A75B9">
        <w:rPr>
          <w:sz w:val="22"/>
          <w:szCs w:val="22"/>
        </w:rPr>
        <w:t xml:space="preserve">bound of the escapement </w:t>
      </w:r>
      <w:r w:rsidRPr="005A75B9">
        <w:rPr>
          <w:sz w:val="22"/>
          <w:szCs w:val="22"/>
        </w:rPr>
        <w:t xml:space="preserve">goal in every year except one (1987) </w:t>
      </w:r>
      <w:r w:rsidR="004A7DE3" w:rsidRPr="005A75B9">
        <w:rPr>
          <w:sz w:val="22"/>
          <w:szCs w:val="22"/>
        </w:rPr>
        <w:t xml:space="preserve">and have </w:t>
      </w:r>
      <w:r w:rsidRPr="005A75B9">
        <w:rPr>
          <w:sz w:val="22"/>
          <w:szCs w:val="22"/>
        </w:rPr>
        <w:t xml:space="preserve">exceeded the goal range </w:t>
      </w:r>
      <w:r w:rsidR="004A7DE3" w:rsidRPr="005A75B9">
        <w:rPr>
          <w:sz w:val="22"/>
          <w:szCs w:val="22"/>
        </w:rPr>
        <w:t xml:space="preserve">annually </w:t>
      </w:r>
      <w:r w:rsidRPr="005A75B9">
        <w:rPr>
          <w:sz w:val="22"/>
          <w:szCs w:val="22"/>
        </w:rPr>
        <w:t xml:space="preserve">since 2000 (Appendix Figure </w:t>
      </w:r>
      <w:r w:rsidR="00190338" w:rsidRPr="005A75B9">
        <w:rPr>
          <w:sz w:val="22"/>
          <w:szCs w:val="22"/>
        </w:rPr>
        <w:t>C</w:t>
      </w:r>
      <w:r w:rsidRPr="005A75B9">
        <w:rPr>
          <w:sz w:val="22"/>
          <w:szCs w:val="22"/>
        </w:rPr>
        <w:t xml:space="preserve"> 8).</w:t>
      </w:r>
    </w:p>
    <w:p w:rsidR="001C376E" w:rsidRPr="005A75B9" w:rsidRDefault="001C376E" w:rsidP="001C376E">
      <w:pPr>
        <w:rPr>
          <w:sz w:val="22"/>
          <w:szCs w:val="22"/>
        </w:rPr>
      </w:pPr>
    </w:p>
    <w:p w:rsidR="001C376E" w:rsidRPr="005A75B9" w:rsidRDefault="00707262" w:rsidP="001C376E">
      <w:pPr>
        <w:jc w:val="center"/>
        <w:rPr>
          <w:noProof/>
          <w:sz w:val="22"/>
          <w:szCs w:val="22"/>
        </w:rPr>
      </w:pPr>
      <w:r w:rsidRPr="00707262">
        <w:rPr>
          <w:noProof/>
        </w:rPr>
        <w:drawing>
          <wp:inline distT="0" distB="0" distL="0" distR="0" wp14:anchorId="021CAAB7" wp14:editId="20CDD106">
            <wp:extent cx="4297680" cy="3118104"/>
            <wp:effectExtent l="19050" t="19050" r="26670" b="254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7680" cy="3118104"/>
                    </a:xfrm>
                    <a:prstGeom prst="rect">
                      <a:avLst/>
                    </a:prstGeom>
                    <a:noFill/>
                    <a:ln>
                      <a:solidFill>
                        <a:schemeClr val="tx1"/>
                      </a:solidFill>
                    </a:ln>
                  </pic:spPr>
                </pic:pic>
              </a:graphicData>
            </a:graphic>
          </wp:inline>
        </w:drawing>
      </w:r>
    </w:p>
    <w:p w:rsidR="001C376E" w:rsidRPr="005A75B9" w:rsidRDefault="001C1E16" w:rsidP="001C1E16">
      <w:pPr>
        <w:pStyle w:val="Caption"/>
        <w:rPr>
          <w:noProof/>
          <w:szCs w:val="22"/>
        </w:rPr>
      </w:pPr>
      <w:bookmarkStart w:id="29" w:name="_Toc395791378"/>
      <w:proofErr w:type="gramStart"/>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00796C48" w:rsidRPr="005A75B9">
        <w:rPr>
          <w:noProof/>
        </w:rPr>
        <w:t>8</w:t>
      </w:r>
      <w:r w:rsidR="00BD469F" w:rsidRPr="005A75B9">
        <w:rPr>
          <w:noProof/>
        </w:rPr>
        <w:fldChar w:fldCharType="end"/>
      </w:r>
      <w:r w:rsidR="001C376E" w:rsidRPr="005A75B9">
        <w:t xml:space="preserve">.–Aggregate peak coho salmon escapement survey counts and biological escapement goal for five </w:t>
      </w:r>
      <w:r w:rsidR="007B49CE" w:rsidRPr="005A75B9">
        <w:t xml:space="preserve">index </w:t>
      </w:r>
      <w:r w:rsidR="001C376E" w:rsidRPr="005A75B9">
        <w:t>streams in the Sitka area, 1982–201</w:t>
      </w:r>
      <w:r w:rsidR="00707262">
        <w:t>6</w:t>
      </w:r>
      <w:r w:rsidR="001C376E" w:rsidRPr="005A75B9">
        <w:t>.</w:t>
      </w:r>
      <w:bookmarkEnd w:id="29"/>
      <w:proofErr w:type="gramEnd"/>
    </w:p>
    <w:p w:rsidR="001C376E" w:rsidRPr="005A75B9" w:rsidRDefault="001C376E" w:rsidP="001C376E">
      <w:pPr>
        <w:pStyle w:val="Caption"/>
        <w:rPr>
          <w:noProof/>
          <w:szCs w:val="22"/>
        </w:rPr>
      </w:pPr>
      <w:r w:rsidRPr="005A75B9">
        <w:rPr>
          <w:noProof/>
          <w:szCs w:val="22"/>
        </w:rPr>
        <w:br w:type="page"/>
      </w:r>
      <w:bookmarkStart w:id="30" w:name="_Toc395791379"/>
      <w:bookmarkStart w:id="31" w:name="_Toc484171925"/>
      <w:proofErr w:type="gramStart"/>
      <w:r w:rsidRPr="005A75B9">
        <w:lastRenderedPageBreak/>
        <w:t xml:space="preserve">Appendix C </w:t>
      </w:r>
      <w:r w:rsidR="00BD469F" w:rsidRPr="005A75B9">
        <w:fldChar w:fldCharType="begin"/>
      </w:r>
      <w:r w:rsidR="006D5F73" w:rsidRPr="005A75B9">
        <w:instrText xml:space="preserve"> SEQ Appendix_C \* ARABIC </w:instrText>
      </w:r>
      <w:r w:rsidR="00BD469F" w:rsidRPr="005A75B9">
        <w:fldChar w:fldCharType="separate"/>
      </w:r>
      <w:r w:rsidR="00796C48" w:rsidRPr="005A75B9">
        <w:rPr>
          <w:noProof/>
        </w:rPr>
        <w:t>8</w:t>
      </w:r>
      <w:r w:rsidR="00BD469F" w:rsidRPr="005A75B9">
        <w:rPr>
          <w:noProof/>
        </w:rPr>
        <w:fldChar w:fldCharType="end"/>
      </w:r>
      <w:r w:rsidRPr="005A75B9">
        <w:t>.–Ketchikan Area coho salmon survey index.</w:t>
      </w:r>
      <w:bookmarkEnd w:id="30"/>
      <w:bookmarkEnd w:id="31"/>
      <w:proofErr w:type="gramEnd"/>
    </w:p>
    <w:p w:rsidR="001C376E" w:rsidRPr="005A75B9" w:rsidRDefault="001C376E" w:rsidP="001C376E">
      <w:pPr>
        <w:rPr>
          <w:noProof/>
          <w:sz w:val="22"/>
          <w:szCs w:val="22"/>
        </w:rPr>
      </w:pPr>
      <w:r w:rsidRPr="005A75B9">
        <w:rPr>
          <w:noProof/>
          <w:sz w:val="22"/>
          <w:szCs w:val="22"/>
        </w:rPr>
        <w:t>Coho salmon escapements in 14 streams in District 1, comprising the Ketchikan survey index, have been surveyed annually since 1987. The surveys are conducted by helicopter and are usually done separately in two circuits, with the northern circuit comprising tributaries of the Chickamin River (Indian River, Barrier Creek, King Creek, Choca Creek) and streams in Burroughs Bay near the mouth of the Unuk River (Herman Creek, Grant Creek, Eulachon River, Klahini River). The southern circuit includes Carroll River, Blossom River, Keta River, Marten River, Humpback Creek</w:t>
      </w:r>
      <w:r w:rsidR="004A7DE3" w:rsidRPr="005A75B9">
        <w:rPr>
          <w:noProof/>
          <w:sz w:val="22"/>
          <w:szCs w:val="22"/>
        </w:rPr>
        <w:t>,</w:t>
      </w:r>
      <w:r w:rsidRPr="005A75B9">
        <w:rPr>
          <w:noProof/>
          <w:sz w:val="22"/>
          <w:szCs w:val="22"/>
        </w:rPr>
        <w:t xml:space="preserve"> and the Tombstone River. Two surveys of each stream are tentatively scheduled (contingent on favorable weather and water conditions), with the early survey scheduled for 28 September–1 October and the later survey scheduled for 15–20 October. The </w:t>
      </w:r>
      <w:r w:rsidR="004A7DE3" w:rsidRPr="005A75B9">
        <w:rPr>
          <w:noProof/>
          <w:sz w:val="22"/>
          <w:szCs w:val="22"/>
        </w:rPr>
        <w:t>largest</w:t>
      </w:r>
      <w:r w:rsidRPr="005A75B9">
        <w:rPr>
          <w:noProof/>
          <w:sz w:val="22"/>
          <w:szCs w:val="22"/>
        </w:rPr>
        <w:t xml:space="preserve"> (peak) survey for each stream is summed with the others in the total index. Only peak survey counts that meet standards for timing, survey conditions, and completeness are included in the annual index, and missing counts are interpolated in order to maintain a comparable aggregate escapement index (Shaul et al. 2011).</w:t>
      </w:r>
    </w:p>
    <w:p w:rsidR="001C376E" w:rsidRDefault="001C376E" w:rsidP="001C376E">
      <w:pPr>
        <w:rPr>
          <w:noProof/>
          <w:sz w:val="22"/>
          <w:szCs w:val="22"/>
        </w:rPr>
      </w:pPr>
      <w:r w:rsidRPr="005A75B9">
        <w:rPr>
          <w:b/>
          <w:sz w:val="22"/>
          <w:szCs w:val="22"/>
        </w:rPr>
        <w:t>Escapement Goals and Stock Status:</w:t>
      </w:r>
      <w:r w:rsidRPr="005A75B9">
        <w:rPr>
          <w:sz w:val="22"/>
          <w:szCs w:val="22"/>
        </w:rPr>
        <w:t xml:space="preserve"> </w:t>
      </w:r>
      <w:r w:rsidRPr="005A75B9">
        <w:rPr>
          <w:noProof/>
          <w:sz w:val="22"/>
          <w:szCs w:val="22"/>
        </w:rPr>
        <w:t xml:space="preserve">Shaul and Tydingco (2006) recommended the current biological escapement goal of 4,250–8,500 spawners for the aggregate count in the 14 </w:t>
      </w:r>
      <w:r w:rsidR="004A7DE3" w:rsidRPr="005A75B9">
        <w:rPr>
          <w:noProof/>
          <w:sz w:val="22"/>
          <w:szCs w:val="22"/>
        </w:rPr>
        <w:t xml:space="preserve">index </w:t>
      </w:r>
      <w:r w:rsidRPr="005A75B9">
        <w:rPr>
          <w:noProof/>
          <w:sz w:val="22"/>
          <w:szCs w:val="22"/>
        </w:rPr>
        <w:t xml:space="preserve">streams, based on an analysis that assumes productivity (smolts per spawner at </w:t>
      </w:r>
      <w:r w:rsidR="006A3C7D" w:rsidRPr="005A75B9">
        <w:rPr>
          <w:noProof/>
          <w:sz w:val="22"/>
          <w:szCs w:val="22"/>
        </w:rPr>
        <w:t>maximum sustained yield</w:t>
      </w:r>
      <w:r w:rsidRPr="005A75B9">
        <w:rPr>
          <w:noProof/>
          <w:sz w:val="22"/>
          <w:szCs w:val="22"/>
        </w:rPr>
        <w:t xml:space="preserve">) for Ketchikan area stocks to be average for coho stocks that have been studied. </w:t>
      </w:r>
      <w:r w:rsidR="004A7DE3" w:rsidRPr="005A75B9">
        <w:rPr>
          <w:noProof/>
          <w:sz w:val="22"/>
          <w:szCs w:val="22"/>
        </w:rPr>
        <w:t>Since 1987, e</w:t>
      </w:r>
      <w:r w:rsidRPr="005A75B9">
        <w:rPr>
          <w:noProof/>
          <w:sz w:val="22"/>
          <w:szCs w:val="22"/>
        </w:rPr>
        <w:t xml:space="preserve">scapements </w:t>
      </w:r>
      <w:r w:rsidR="004A7DE3" w:rsidRPr="005A75B9">
        <w:rPr>
          <w:noProof/>
          <w:sz w:val="22"/>
          <w:szCs w:val="22"/>
        </w:rPr>
        <w:t xml:space="preserve">counts exceeded the lower bound of the escapement goal in every year but one </w:t>
      </w:r>
      <w:r w:rsidRPr="005A75B9">
        <w:rPr>
          <w:noProof/>
          <w:sz w:val="22"/>
          <w:szCs w:val="22"/>
        </w:rPr>
        <w:t xml:space="preserve">(in 1990), were within the </w:t>
      </w:r>
      <w:r w:rsidR="004A7DE3" w:rsidRPr="005A75B9">
        <w:rPr>
          <w:noProof/>
          <w:sz w:val="22"/>
          <w:szCs w:val="22"/>
        </w:rPr>
        <w:t xml:space="preserve">escapement goal </w:t>
      </w:r>
      <w:r w:rsidRPr="005A75B9">
        <w:rPr>
          <w:noProof/>
          <w:sz w:val="22"/>
          <w:szCs w:val="22"/>
        </w:rPr>
        <w:t xml:space="preserve">range 13 times, and </w:t>
      </w:r>
      <w:r w:rsidR="004A7DE3" w:rsidRPr="005A75B9">
        <w:rPr>
          <w:noProof/>
          <w:sz w:val="22"/>
          <w:szCs w:val="22"/>
        </w:rPr>
        <w:t>exceeded</w:t>
      </w:r>
      <w:r w:rsidRPr="005A75B9">
        <w:rPr>
          <w:noProof/>
          <w:sz w:val="22"/>
          <w:szCs w:val="22"/>
        </w:rPr>
        <w:t xml:space="preserve"> the</w:t>
      </w:r>
      <w:r w:rsidR="004A7DE3" w:rsidRPr="005A75B9">
        <w:rPr>
          <w:noProof/>
          <w:sz w:val="22"/>
          <w:szCs w:val="22"/>
        </w:rPr>
        <w:t xml:space="preserve"> escapement goal</w:t>
      </w:r>
      <w:r w:rsidRPr="005A75B9">
        <w:rPr>
          <w:noProof/>
          <w:sz w:val="22"/>
          <w:szCs w:val="22"/>
        </w:rPr>
        <w:t xml:space="preserve"> range 13 times (Appendix Figure </w:t>
      </w:r>
      <w:r w:rsidR="00190338" w:rsidRPr="005A75B9">
        <w:rPr>
          <w:noProof/>
          <w:sz w:val="22"/>
          <w:szCs w:val="22"/>
        </w:rPr>
        <w:t>C</w:t>
      </w:r>
      <w:r w:rsidRPr="005A75B9">
        <w:rPr>
          <w:noProof/>
          <w:sz w:val="22"/>
          <w:szCs w:val="22"/>
        </w:rPr>
        <w:t xml:space="preserve"> 9).</w:t>
      </w:r>
    </w:p>
    <w:p w:rsidR="00707262" w:rsidRPr="005A75B9" w:rsidRDefault="00707262" w:rsidP="001C376E">
      <w:pPr>
        <w:rPr>
          <w:noProof/>
          <w:sz w:val="22"/>
          <w:szCs w:val="22"/>
        </w:rPr>
      </w:pPr>
    </w:p>
    <w:p w:rsidR="001C376E" w:rsidRPr="005A75B9" w:rsidRDefault="00707262" w:rsidP="001C376E">
      <w:pPr>
        <w:jc w:val="center"/>
        <w:rPr>
          <w:noProof/>
          <w:sz w:val="22"/>
          <w:szCs w:val="22"/>
        </w:rPr>
      </w:pPr>
      <w:r w:rsidRPr="00707262">
        <w:rPr>
          <w:noProof/>
        </w:rPr>
        <w:drawing>
          <wp:inline distT="0" distB="0" distL="0" distR="0" wp14:anchorId="12D8A2E9" wp14:editId="1BEE72F4">
            <wp:extent cx="4315968" cy="3127248"/>
            <wp:effectExtent l="19050" t="19050" r="27940" b="165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15968" cy="3127248"/>
                    </a:xfrm>
                    <a:prstGeom prst="rect">
                      <a:avLst/>
                    </a:prstGeom>
                    <a:noFill/>
                    <a:ln>
                      <a:solidFill>
                        <a:schemeClr val="tx1"/>
                      </a:solidFill>
                    </a:ln>
                  </pic:spPr>
                </pic:pic>
              </a:graphicData>
            </a:graphic>
          </wp:inline>
        </w:drawing>
      </w:r>
    </w:p>
    <w:p w:rsidR="001C1E16" w:rsidRPr="005A75B9" w:rsidRDefault="001C1E16" w:rsidP="001C1E16">
      <w:pPr>
        <w:pStyle w:val="Caption"/>
      </w:pPr>
      <w:bookmarkStart w:id="32" w:name="_Toc395791380"/>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00796C48" w:rsidRPr="005A75B9">
        <w:rPr>
          <w:noProof/>
        </w:rPr>
        <w:t>9</w:t>
      </w:r>
      <w:r w:rsidR="00BD469F" w:rsidRPr="005A75B9">
        <w:rPr>
          <w:noProof/>
        </w:rPr>
        <w:fldChar w:fldCharType="end"/>
      </w:r>
      <w:r w:rsidR="001C376E" w:rsidRPr="005A75B9">
        <w:t xml:space="preserve">.–Aggregate peak coho salmon escapement survey counts and biological escapement goal for 14 </w:t>
      </w:r>
      <w:r w:rsidR="007B49CE" w:rsidRPr="005A75B9">
        <w:t xml:space="preserve">index </w:t>
      </w:r>
      <w:r w:rsidR="001C376E" w:rsidRPr="005A75B9">
        <w:t>streams in the Ketchikan area, 1987–201</w:t>
      </w:r>
      <w:r w:rsidR="00707262">
        <w:t>6</w:t>
      </w:r>
      <w:r w:rsidR="001C376E" w:rsidRPr="005A75B9">
        <w:t>.</w:t>
      </w:r>
      <w:bookmarkEnd w:id="32"/>
    </w:p>
    <w:p w:rsidR="00796C48" w:rsidRPr="005A75B9" w:rsidRDefault="00796C48" w:rsidP="00796C48">
      <w:pPr>
        <w:pStyle w:val="Caption"/>
      </w:pPr>
      <w:r w:rsidRPr="005A75B9">
        <w:br w:type="page"/>
      </w:r>
      <w:bookmarkStart w:id="33" w:name="_Toc484171926"/>
      <w:proofErr w:type="gramStart"/>
      <w:r w:rsidRPr="005A75B9">
        <w:lastRenderedPageBreak/>
        <w:t xml:space="preserve">Appendix C </w:t>
      </w:r>
      <w:r w:rsidR="00BD469F" w:rsidRPr="005A75B9">
        <w:fldChar w:fldCharType="begin"/>
      </w:r>
      <w:r w:rsidR="006D5F73" w:rsidRPr="005A75B9">
        <w:instrText xml:space="preserve"> SEQ Appendix_C \* ARABIC </w:instrText>
      </w:r>
      <w:r w:rsidR="00BD469F" w:rsidRPr="005A75B9">
        <w:fldChar w:fldCharType="separate"/>
      </w:r>
      <w:r w:rsidRPr="005A75B9">
        <w:rPr>
          <w:noProof/>
        </w:rPr>
        <w:t>9</w:t>
      </w:r>
      <w:r w:rsidR="00BD469F" w:rsidRPr="005A75B9">
        <w:rPr>
          <w:noProof/>
        </w:rPr>
        <w:fldChar w:fldCharType="end"/>
      </w:r>
      <w:r w:rsidRPr="005A75B9">
        <w:t>.–Klawock River coho salmon.</w:t>
      </w:r>
      <w:bookmarkEnd w:id="33"/>
      <w:proofErr w:type="gramEnd"/>
    </w:p>
    <w:p w:rsidR="00326AE4" w:rsidRPr="005A75B9" w:rsidRDefault="00326AE4" w:rsidP="00326AE4">
      <w:pPr>
        <w:rPr>
          <w:sz w:val="22"/>
          <w:szCs w:val="22"/>
        </w:rPr>
      </w:pPr>
      <w:r w:rsidRPr="005A75B9">
        <w:rPr>
          <w:sz w:val="22"/>
          <w:szCs w:val="22"/>
        </w:rPr>
        <w:t>The Klawock River is located on the west side of Prince of Wales Island, near the town of Klawock. The Prince of Wales Hatchery Association operates a hatchery (Klawock River Hatchery) and weir on the Klawock River</w:t>
      </w:r>
      <w:r w:rsidR="007E03F2" w:rsidRPr="005A75B9">
        <w:rPr>
          <w:sz w:val="22"/>
          <w:szCs w:val="22"/>
        </w:rPr>
        <w:t xml:space="preserve">, </w:t>
      </w:r>
      <w:r w:rsidR="00386A91" w:rsidRPr="005A75B9">
        <w:rPr>
          <w:sz w:val="22"/>
          <w:szCs w:val="22"/>
        </w:rPr>
        <w:t xml:space="preserve">approximately 300 m </w:t>
      </w:r>
      <w:r w:rsidR="007E03F2" w:rsidRPr="005A75B9">
        <w:rPr>
          <w:sz w:val="22"/>
          <w:szCs w:val="22"/>
        </w:rPr>
        <w:t>below Klawock Lake</w:t>
      </w:r>
      <w:r w:rsidRPr="005A75B9">
        <w:rPr>
          <w:sz w:val="22"/>
          <w:szCs w:val="22"/>
        </w:rPr>
        <w:t xml:space="preserve">. </w:t>
      </w:r>
      <w:r w:rsidR="00C006D7" w:rsidRPr="005A75B9">
        <w:rPr>
          <w:sz w:val="22"/>
          <w:szCs w:val="22"/>
        </w:rPr>
        <w:t xml:space="preserve">Over the past decade, the hatchery released an average of 3.6 million coho smolt per year in Klawock </w:t>
      </w:r>
      <w:r w:rsidR="00F76BC6" w:rsidRPr="005A75B9">
        <w:rPr>
          <w:sz w:val="22"/>
          <w:szCs w:val="22"/>
        </w:rPr>
        <w:t>Lake</w:t>
      </w:r>
      <w:r w:rsidRPr="005A75B9">
        <w:rPr>
          <w:sz w:val="22"/>
          <w:szCs w:val="22"/>
        </w:rPr>
        <w:t>. A portion of the annual coho salmon run is used for broodstock and cost recovery. The remainder of the run is allowed to pass through the weir to spawn naturally. Progeny from t</w:t>
      </w:r>
      <w:r w:rsidR="000F2D6E" w:rsidRPr="005A75B9">
        <w:rPr>
          <w:sz w:val="22"/>
          <w:szCs w:val="22"/>
        </w:rPr>
        <w:t>hese fish are regarded as “wild</w:t>
      </w:r>
      <w:r w:rsidRPr="005A75B9">
        <w:rPr>
          <w:sz w:val="22"/>
          <w:szCs w:val="22"/>
        </w:rPr>
        <w:t>”</w:t>
      </w:r>
      <w:r w:rsidR="000F2D6E" w:rsidRPr="005A75B9">
        <w:rPr>
          <w:sz w:val="22"/>
          <w:szCs w:val="22"/>
        </w:rPr>
        <w:t xml:space="preserve"> (Der </w:t>
      </w:r>
      <w:proofErr w:type="spellStart"/>
      <w:r w:rsidR="000F2D6E" w:rsidRPr="005A75B9">
        <w:rPr>
          <w:sz w:val="22"/>
          <w:szCs w:val="22"/>
        </w:rPr>
        <w:t>Hovanisian</w:t>
      </w:r>
      <w:proofErr w:type="spellEnd"/>
      <w:r w:rsidR="000F2D6E" w:rsidRPr="005A75B9">
        <w:rPr>
          <w:sz w:val="22"/>
          <w:szCs w:val="22"/>
        </w:rPr>
        <w:t xml:space="preserve"> 2013).</w:t>
      </w:r>
    </w:p>
    <w:p w:rsidR="009A7114" w:rsidRPr="005A75B9" w:rsidRDefault="00326AE4" w:rsidP="00326AE4">
      <w:pPr>
        <w:rPr>
          <w:sz w:val="22"/>
          <w:szCs w:val="22"/>
        </w:rPr>
      </w:pPr>
      <w:r w:rsidRPr="005A75B9">
        <w:rPr>
          <w:b/>
          <w:sz w:val="22"/>
          <w:szCs w:val="22"/>
        </w:rPr>
        <w:t>Escapement Goals and Stock Status:</w:t>
      </w:r>
      <w:r w:rsidRPr="005A75B9">
        <w:rPr>
          <w:sz w:val="22"/>
          <w:szCs w:val="22"/>
        </w:rPr>
        <w:t xml:space="preserve"> Prior to 2007, an informal, </w:t>
      </w:r>
      <w:r w:rsidR="00D75213" w:rsidRPr="005A75B9">
        <w:rPr>
          <w:sz w:val="22"/>
          <w:szCs w:val="22"/>
        </w:rPr>
        <w:t>maximum</w:t>
      </w:r>
      <w:r w:rsidRPr="005A75B9">
        <w:rPr>
          <w:sz w:val="22"/>
          <w:szCs w:val="22"/>
        </w:rPr>
        <w:t xml:space="preserve"> escapement goal of 6,000 coho salmon was established for the </w:t>
      </w:r>
      <w:proofErr w:type="spellStart"/>
      <w:r w:rsidRPr="005A75B9">
        <w:rPr>
          <w:sz w:val="22"/>
          <w:szCs w:val="22"/>
        </w:rPr>
        <w:t>Klawock</w:t>
      </w:r>
      <w:proofErr w:type="spellEnd"/>
      <w:r w:rsidRPr="005A75B9">
        <w:rPr>
          <w:sz w:val="22"/>
          <w:szCs w:val="22"/>
        </w:rPr>
        <w:t xml:space="preserve"> River (Der </w:t>
      </w:r>
      <w:proofErr w:type="spellStart"/>
      <w:r w:rsidRPr="005A75B9">
        <w:rPr>
          <w:sz w:val="22"/>
          <w:szCs w:val="22"/>
        </w:rPr>
        <w:t>Hovanisian</w:t>
      </w:r>
      <w:proofErr w:type="spellEnd"/>
      <w:r w:rsidRPr="005A75B9">
        <w:rPr>
          <w:sz w:val="22"/>
          <w:szCs w:val="22"/>
        </w:rPr>
        <w:t xml:space="preserve"> 2013). </w:t>
      </w:r>
      <w:r w:rsidR="009A7114" w:rsidRPr="005A75B9">
        <w:rPr>
          <w:sz w:val="22"/>
          <w:szCs w:val="22"/>
        </w:rPr>
        <w:t>A</w:t>
      </w:r>
      <w:r w:rsidRPr="005A75B9">
        <w:rPr>
          <w:sz w:val="22"/>
          <w:szCs w:val="22"/>
        </w:rPr>
        <w:t xml:space="preserve"> sustainable escapement goal</w:t>
      </w:r>
      <w:r w:rsidR="00F20E02" w:rsidRPr="005A75B9">
        <w:rPr>
          <w:sz w:val="22"/>
          <w:szCs w:val="22"/>
        </w:rPr>
        <w:t xml:space="preserve"> range</w:t>
      </w:r>
      <w:r w:rsidRPr="005A75B9">
        <w:rPr>
          <w:sz w:val="22"/>
          <w:szCs w:val="22"/>
        </w:rPr>
        <w:t xml:space="preserve"> of 4,000–9,000 fish was established </w:t>
      </w:r>
      <w:r w:rsidR="009A7114" w:rsidRPr="005A75B9">
        <w:rPr>
          <w:sz w:val="22"/>
          <w:szCs w:val="22"/>
        </w:rPr>
        <w:t xml:space="preserve">in 2007 </w:t>
      </w:r>
      <w:r w:rsidRPr="005A75B9">
        <w:rPr>
          <w:sz w:val="22"/>
          <w:szCs w:val="22"/>
        </w:rPr>
        <w:t>(</w:t>
      </w:r>
      <w:r w:rsidR="005467E4" w:rsidRPr="005A75B9">
        <w:rPr>
          <w:sz w:val="22"/>
          <w:szCs w:val="22"/>
        </w:rPr>
        <w:t xml:space="preserve">though the goal was not formally adopted until 2013; </w:t>
      </w:r>
      <w:r w:rsidRPr="005A75B9">
        <w:rPr>
          <w:sz w:val="22"/>
          <w:szCs w:val="22"/>
        </w:rPr>
        <w:t xml:space="preserve">Der </w:t>
      </w:r>
      <w:proofErr w:type="spellStart"/>
      <w:r w:rsidRPr="005A75B9">
        <w:rPr>
          <w:sz w:val="22"/>
          <w:szCs w:val="22"/>
        </w:rPr>
        <w:t>Hovanisian</w:t>
      </w:r>
      <w:proofErr w:type="spellEnd"/>
      <w:r w:rsidRPr="005A75B9">
        <w:rPr>
          <w:sz w:val="22"/>
          <w:szCs w:val="22"/>
        </w:rPr>
        <w:t xml:space="preserve"> 2013</w:t>
      </w:r>
      <w:r w:rsidR="005467E4" w:rsidRPr="005A75B9">
        <w:rPr>
          <w:sz w:val="22"/>
          <w:szCs w:val="22"/>
        </w:rPr>
        <w:t>; and see Appendix E in Munro and Volk 2014</w:t>
      </w:r>
      <w:r w:rsidRPr="005A75B9">
        <w:rPr>
          <w:sz w:val="22"/>
          <w:szCs w:val="22"/>
        </w:rPr>
        <w:t xml:space="preserve">). </w:t>
      </w:r>
      <w:r w:rsidR="005467E4" w:rsidRPr="005A75B9">
        <w:rPr>
          <w:sz w:val="22"/>
          <w:szCs w:val="22"/>
        </w:rPr>
        <w:t xml:space="preserve">The goal was based on smolt-per-spawner and theoretical </w:t>
      </w:r>
      <w:r w:rsidR="007B49CE" w:rsidRPr="005A75B9">
        <w:rPr>
          <w:sz w:val="22"/>
          <w:szCs w:val="22"/>
        </w:rPr>
        <w:t>stock</w:t>
      </w:r>
      <w:r w:rsidR="005467E4" w:rsidRPr="005A75B9">
        <w:rPr>
          <w:sz w:val="22"/>
          <w:szCs w:val="22"/>
        </w:rPr>
        <w:t xml:space="preserve">-recruit analyses, because, although </w:t>
      </w:r>
      <w:r w:rsidR="00386A91" w:rsidRPr="005A75B9">
        <w:rPr>
          <w:sz w:val="22"/>
          <w:szCs w:val="22"/>
        </w:rPr>
        <w:t xml:space="preserve">some </w:t>
      </w:r>
      <w:r w:rsidR="005467E4" w:rsidRPr="005A75B9">
        <w:rPr>
          <w:sz w:val="22"/>
          <w:szCs w:val="22"/>
        </w:rPr>
        <w:t>c</w:t>
      </w:r>
      <w:r w:rsidR="009A7114" w:rsidRPr="005A75B9">
        <w:rPr>
          <w:sz w:val="22"/>
          <w:szCs w:val="22"/>
        </w:rPr>
        <w:t>oho salmon run abundance and escapement data were available for 1999–2005, exploitation rate, marine survival rate, and smolt age composition information was not available, and estimates from nearby Chuck Creek were used as surrogates</w:t>
      </w:r>
      <w:r w:rsidR="005467E4" w:rsidRPr="005A75B9">
        <w:rPr>
          <w:sz w:val="22"/>
          <w:szCs w:val="22"/>
        </w:rPr>
        <w:t xml:space="preserve"> (Der </w:t>
      </w:r>
      <w:proofErr w:type="spellStart"/>
      <w:r w:rsidR="005467E4" w:rsidRPr="005A75B9">
        <w:rPr>
          <w:sz w:val="22"/>
          <w:szCs w:val="22"/>
        </w:rPr>
        <w:t>Hovanisian</w:t>
      </w:r>
      <w:proofErr w:type="spellEnd"/>
      <w:r w:rsidR="005467E4" w:rsidRPr="005A75B9">
        <w:rPr>
          <w:sz w:val="22"/>
          <w:szCs w:val="22"/>
        </w:rPr>
        <w:t xml:space="preserve"> 2013)</w:t>
      </w:r>
      <w:r w:rsidR="009A7114" w:rsidRPr="005A75B9">
        <w:rPr>
          <w:sz w:val="22"/>
          <w:szCs w:val="22"/>
        </w:rPr>
        <w:t xml:space="preserve">. </w:t>
      </w:r>
      <w:r w:rsidR="00041751" w:rsidRPr="005A75B9">
        <w:rPr>
          <w:sz w:val="22"/>
          <w:szCs w:val="22"/>
        </w:rPr>
        <w:t xml:space="preserve">The </w:t>
      </w:r>
      <w:r w:rsidR="00F20E02" w:rsidRPr="005A75B9">
        <w:rPr>
          <w:sz w:val="22"/>
          <w:szCs w:val="22"/>
        </w:rPr>
        <w:t xml:space="preserve">annual </w:t>
      </w:r>
      <w:r w:rsidR="00041751" w:rsidRPr="005A75B9">
        <w:rPr>
          <w:sz w:val="22"/>
          <w:szCs w:val="22"/>
        </w:rPr>
        <w:t>Prince of Wales Hatchery management plan</w:t>
      </w:r>
      <w:r w:rsidR="003D2835" w:rsidRPr="005A75B9">
        <w:rPr>
          <w:rStyle w:val="FootnoteReference"/>
          <w:sz w:val="22"/>
          <w:szCs w:val="22"/>
        </w:rPr>
        <w:footnoteReference w:id="1"/>
      </w:r>
      <w:r w:rsidR="00041751" w:rsidRPr="005A75B9">
        <w:rPr>
          <w:sz w:val="22"/>
          <w:szCs w:val="22"/>
        </w:rPr>
        <w:t xml:space="preserve"> </w:t>
      </w:r>
      <w:r w:rsidR="007B49CE" w:rsidRPr="005A75B9">
        <w:rPr>
          <w:sz w:val="22"/>
          <w:szCs w:val="22"/>
        </w:rPr>
        <w:t xml:space="preserve">currently </w:t>
      </w:r>
      <w:r w:rsidR="00F20E02" w:rsidRPr="005A75B9">
        <w:rPr>
          <w:sz w:val="22"/>
          <w:szCs w:val="22"/>
        </w:rPr>
        <w:t>includes stipulations for the hatcher</w:t>
      </w:r>
      <w:r w:rsidR="007B49CE" w:rsidRPr="005A75B9">
        <w:rPr>
          <w:sz w:val="22"/>
          <w:szCs w:val="22"/>
        </w:rPr>
        <w:t>y to operate the weir from early July</w:t>
      </w:r>
      <w:r w:rsidR="00F20E02" w:rsidRPr="005A75B9">
        <w:rPr>
          <w:sz w:val="22"/>
          <w:szCs w:val="22"/>
        </w:rPr>
        <w:t xml:space="preserve"> through 30 November, and includes a weekly escapement schedule that provides for a target escapement of 6,500 coho salmon. </w:t>
      </w:r>
      <w:r w:rsidR="007E03F2" w:rsidRPr="005A75B9">
        <w:rPr>
          <w:sz w:val="22"/>
          <w:szCs w:val="22"/>
        </w:rPr>
        <w:t>Escapements were within or above the escapement goal range in all years since 1997 (Appendix Figure C 10).</w:t>
      </w:r>
    </w:p>
    <w:p w:rsidR="00796C48" w:rsidRPr="005A75B9" w:rsidRDefault="00796C48" w:rsidP="00796C48">
      <w:pPr>
        <w:rPr>
          <w:sz w:val="22"/>
          <w:szCs w:val="22"/>
        </w:rPr>
      </w:pPr>
    </w:p>
    <w:p w:rsidR="00796C48" w:rsidRPr="005A75B9" w:rsidRDefault="00707262" w:rsidP="00796C48">
      <w:pPr>
        <w:jc w:val="center"/>
      </w:pPr>
      <w:r w:rsidRPr="00707262">
        <w:rPr>
          <w:noProof/>
        </w:rPr>
        <w:drawing>
          <wp:inline distT="0" distB="0" distL="0" distR="0" wp14:anchorId="25BCB7DC" wp14:editId="53E635C2">
            <wp:extent cx="4315968" cy="3127248"/>
            <wp:effectExtent l="19050" t="19050" r="27940" b="165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15968" cy="3127248"/>
                    </a:xfrm>
                    <a:prstGeom prst="rect">
                      <a:avLst/>
                    </a:prstGeom>
                    <a:noFill/>
                    <a:ln>
                      <a:solidFill>
                        <a:schemeClr val="tx1"/>
                      </a:solidFill>
                    </a:ln>
                  </pic:spPr>
                </pic:pic>
              </a:graphicData>
            </a:graphic>
          </wp:inline>
        </w:drawing>
      </w:r>
    </w:p>
    <w:p w:rsidR="00796C48" w:rsidRPr="005A75B9" w:rsidRDefault="00796C48" w:rsidP="00796C48">
      <w:pPr>
        <w:pStyle w:val="Caption"/>
      </w:pPr>
      <w:proofErr w:type="gramStart"/>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Pr="005A75B9">
        <w:rPr>
          <w:noProof/>
        </w:rPr>
        <w:t>10</w:t>
      </w:r>
      <w:r w:rsidR="00BD469F" w:rsidRPr="005A75B9">
        <w:rPr>
          <w:noProof/>
        </w:rPr>
        <w:fldChar w:fldCharType="end"/>
      </w:r>
      <w:r w:rsidRPr="005A75B9">
        <w:t>.–Klawock River coho salmon escapement (weir counts), 1997–201</w:t>
      </w:r>
      <w:r w:rsidR="00707262">
        <w:t>6</w:t>
      </w:r>
      <w:r w:rsidRPr="005A75B9">
        <w:t>, and sustainable escapement goal range of 4,000–9,000 fish.</w:t>
      </w:r>
      <w:proofErr w:type="gramEnd"/>
    </w:p>
    <w:p w:rsidR="001C1E16" w:rsidRPr="005A75B9" w:rsidRDefault="001C1E16" w:rsidP="001C1E16">
      <w:pPr>
        <w:pStyle w:val="Caption"/>
        <w:rPr>
          <w:noProof/>
          <w:szCs w:val="22"/>
        </w:rPr>
      </w:pPr>
      <w:r w:rsidRPr="005A75B9">
        <w:br w:type="page"/>
      </w:r>
      <w:bookmarkStart w:id="34" w:name="_Toc395791381"/>
      <w:bookmarkStart w:id="35" w:name="_Toc484171927"/>
      <w:proofErr w:type="gramStart"/>
      <w:r w:rsidRPr="005A75B9">
        <w:lastRenderedPageBreak/>
        <w:t xml:space="preserve">Appendix C </w:t>
      </w:r>
      <w:r w:rsidR="00BD469F" w:rsidRPr="005A75B9">
        <w:fldChar w:fldCharType="begin"/>
      </w:r>
      <w:r w:rsidR="006D5F73" w:rsidRPr="005A75B9">
        <w:instrText xml:space="preserve"> SEQ Appendix_C \* ARABIC </w:instrText>
      </w:r>
      <w:r w:rsidR="00BD469F" w:rsidRPr="005A75B9">
        <w:fldChar w:fldCharType="separate"/>
      </w:r>
      <w:r w:rsidR="00796C48" w:rsidRPr="005A75B9">
        <w:rPr>
          <w:noProof/>
        </w:rPr>
        <w:t>10</w:t>
      </w:r>
      <w:r w:rsidR="00BD469F" w:rsidRPr="005A75B9">
        <w:rPr>
          <w:noProof/>
        </w:rPr>
        <w:fldChar w:fldCharType="end"/>
      </w:r>
      <w:r w:rsidRPr="005A75B9">
        <w:t>.–Yakutat Area coho salmon.</w:t>
      </w:r>
      <w:bookmarkEnd w:id="34"/>
      <w:bookmarkEnd w:id="35"/>
      <w:proofErr w:type="gramEnd"/>
    </w:p>
    <w:p w:rsidR="001C376E" w:rsidRPr="005A75B9" w:rsidRDefault="001C376E" w:rsidP="001C376E">
      <w:pPr>
        <w:rPr>
          <w:noProof/>
          <w:sz w:val="22"/>
          <w:szCs w:val="22"/>
        </w:rPr>
      </w:pPr>
      <w:r w:rsidRPr="005A75B9">
        <w:rPr>
          <w:noProof/>
          <w:sz w:val="22"/>
          <w:szCs w:val="22"/>
        </w:rPr>
        <w:t>Yakutat stocks are harvested primarily in set gillnet and sport fisheries that target runs to discrete systems, but trollers fishing on mixed stocks off the coast account for some of the catch. Yakutat area escapements have been assessed through foot, boat, and aerial surveys. Although the data series starts in 1972, the quality and comparability of peak survey counts in the Yakutat area are somewhat lower than is the case in other areas of the Southeast Region. Most surveys have been conducted early in the run to support inseason management of the set gillnet fisheries. Comparable peak escapement surveys have been conducted relatively consistently in recent years on only three systems: the Lost, Situk, and Tsiu/Tsivat rivers.</w:t>
      </w:r>
    </w:p>
    <w:p w:rsidR="001C376E" w:rsidRPr="005A75B9" w:rsidRDefault="001C376E" w:rsidP="001C376E">
      <w:pPr>
        <w:rPr>
          <w:noProof/>
          <w:sz w:val="22"/>
          <w:szCs w:val="22"/>
        </w:rPr>
      </w:pPr>
      <w:r w:rsidRPr="005A75B9">
        <w:rPr>
          <w:b/>
          <w:sz w:val="22"/>
          <w:szCs w:val="22"/>
        </w:rPr>
        <w:t>Escapement Goals and Stock Status:</w:t>
      </w:r>
      <w:r w:rsidRPr="005A75B9">
        <w:rPr>
          <w:sz w:val="22"/>
          <w:szCs w:val="22"/>
        </w:rPr>
        <w:t xml:space="preserve"> </w:t>
      </w:r>
      <w:r w:rsidRPr="005A75B9">
        <w:rPr>
          <w:noProof/>
          <w:sz w:val="22"/>
          <w:szCs w:val="22"/>
        </w:rPr>
        <w:t>Biological escapement goals based on peak survey counts were developed for Yakutat coho salmon stocks in 1994 (Clark and Clark 1994), including 2,200–6,500 for the Lost River, 3,300–9,800 for the Situk River, and 10,000–29,000 for the Tsiu/Tsivat River. The upper bound of the Lost River goal of 2,200–6,500 spawners was dropped in 2009, and it was re-designated a lower-bound sustainable escapement goal, following a geological shift that resulted in the Lost River draining into the Situk-Ahrnklin Lagoon instead of directly into the Gulf of Alaska. This shift made it difficult to actively manage the commercial set gillnet fishery for a goal specific for the Lost River. Mark-recapture studies were conducted to estimate escapement</w:t>
      </w:r>
      <w:r w:rsidR="006A3C7D" w:rsidRPr="005A75B9">
        <w:rPr>
          <w:noProof/>
          <w:sz w:val="22"/>
          <w:szCs w:val="22"/>
        </w:rPr>
        <w:t>s</w:t>
      </w:r>
      <w:r w:rsidRPr="005A75B9">
        <w:rPr>
          <w:noProof/>
          <w:sz w:val="22"/>
          <w:szCs w:val="22"/>
        </w:rPr>
        <w:t xml:space="preserve"> of </w:t>
      </w:r>
      <w:r w:rsidR="006A3C7D" w:rsidRPr="005A75B9">
        <w:rPr>
          <w:noProof/>
          <w:sz w:val="22"/>
          <w:szCs w:val="22"/>
        </w:rPr>
        <w:t xml:space="preserve">coho salmon in both the </w:t>
      </w:r>
      <w:r w:rsidRPr="005A75B9">
        <w:rPr>
          <w:noProof/>
          <w:sz w:val="22"/>
          <w:szCs w:val="22"/>
        </w:rPr>
        <w:t xml:space="preserve">Situk </w:t>
      </w:r>
      <w:r w:rsidR="006A3C7D" w:rsidRPr="005A75B9">
        <w:rPr>
          <w:noProof/>
          <w:sz w:val="22"/>
          <w:szCs w:val="22"/>
        </w:rPr>
        <w:t>(2004–2006)</w:t>
      </w:r>
      <w:r w:rsidRPr="005A75B9">
        <w:rPr>
          <w:noProof/>
          <w:sz w:val="22"/>
          <w:szCs w:val="22"/>
        </w:rPr>
        <w:t xml:space="preserve"> and Lost </w:t>
      </w:r>
      <w:r w:rsidR="006A3C7D" w:rsidRPr="005A75B9">
        <w:rPr>
          <w:noProof/>
          <w:sz w:val="22"/>
          <w:szCs w:val="22"/>
        </w:rPr>
        <w:t>(</w:t>
      </w:r>
      <w:r w:rsidRPr="005A75B9">
        <w:rPr>
          <w:noProof/>
          <w:sz w:val="22"/>
          <w:szCs w:val="22"/>
        </w:rPr>
        <w:t>2003</w:t>
      </w:r>
      <w:r w:rsidR="006A3C7D" w:rsidRPr="005A75B9">
        <w:rPr>
          <w:noProof/>
          <w:sz w:val="22"/>
          <w:szCs w:val="22"/>
        </w:rPr>
        <w:t>–</w:t>
      </w:r>
      <w:r w:rsidRPr="005A75B9">
        <w:rPr>
          <w:noProof/>
          <w:sz w:val="22"/>
          <w:szCs w:val="22"/>
        </w:rPr>
        <w:t>2004</w:t>
      </w:r>
      <w:r w:rsidR="006A3C7D" w:rsidRPr="005A75B9">
        <w:rPr>
          <w:noProof/>
          <w:sz w:val="22"/>
          <w:szCs w:val="22"/>
        </w:rPr>
        <w:t>)</w:t>
      </w:r>
      <w:r w:rsidRPr="005A75B9">
        <w:rPr>
          <w:noProof/>
          <w:sz w:val="22"/>
          <w:szCs w:val="22"/>
        </w:rPr>
        <w:t xml:space="preserve"> </w:t>
      </w:r>
      <w:r w:rsidR="006A3C7D" w:rsidRPr="005A75B9">
        <w:rPr>
          <w:noProof/>
          <w:sz w:val="22"/>
          <w:szCs w:val="22"/>
        </w:rPr>
        <w:t xml:space="preserve">rivers </w:t>
      </w:r>
      <w:r w:rsidRPr="005A75B9">
        <w:rPr>
          <w:noProof/>
          <w:sz w:val="22"/>
          <w:szCs w:val="22"/>
        </w:rPr>
        <w:t>in hopes of providing a calibration for index counts</w:t>
      </w:r>
      <w:r w:rsidR="006A3C7D" w:rsidRPr="005A75B9">
        <w:rPr>
          <w:noProof/>
          <w:sz w:val="22"/>
          <w:szCs w:val="22"/>
        </w:rPr>
        <w:t>; however,</w:t>
      </w:r>
      <w:r w:rsidRPr="005A75B9">
        <w:rPr>
          <w:noProof/>
          <w:sz w:val="22"/>
          <w:szCs w:val="22"/>
        </w:rPr>
        <w:t xml:space="preserve"> </w:t>
      </w:r>
      <w:r w:rsidR="006A3C7D" w:rsidRPr="005A75B9">
        <w:rPr>
          <w:noProof/>
          <w:sz w:val="22"/>
          <w:szCs w:val="22"/>
        </w:rPr>
        <w:t>m</w:t>
      </w:r>
      <w:r w:rsidRPr="005A75B9">
        <w:rPr>
          <w:noProof/>
          <w:sz w:val="22"/>
          <w:szCs w:val="22"/>
        </w:rPr>
        <w:t>ark-recapture estimates were not consistent with index counts and meaningful expansion factors could not be estimated</w:t>
      </w:r>
      <w:r w:rsidR="006A3C7D" w:rsidRPr="005A75B9">
        <w:rPr>
          <w:noProof/>
          <w:sz w:val="22"/>
          <w:szCs w:val="22"/>
        </w:rPr>
        <w:t xml:space="preserve"> (Shaul et al. 2010)</w:t>
      </w:r>
      <w:r w:rsidRPr="005A75B9">
        <w:rPr>
          <w:noProof/>
          <w:sz w:val="22"/>
          <w:szCs w:val="22"/>
        </w:rPr>
        <w:t>. Index counts were substantially lower than total escapement in all years and accounted for minor and variable portions of total escapements. Based on estimates of average smolt production from the Lost River, Shaul et al. (2010) suggested that the current escapement goal for the Lost River is conservatively high if intrinsic productivity of the stock is similar to other coho indicator stocks. However, they did not recommend that the goal be changed based on that observation, because of inconsistency in the estimated survey expansions.</w:t>
      </w:r>
    </w:p>
    <w:p w:rsidR="00797B49" w:rsidRPr="005A75B9" w:rsidRDefault="001C376E" w:rsidP="001C376E">
      <w:pPr>
        <w:rPr>
          <w:noProof/>
          <w:sz w:val="22"/>
          <w:szCs w:val="22"/>
        </w:rPr>
      </w:pPr>
      <w:r w:rsidRPr="005A75B9">
        <w:rPr>
          <w:noProof/>
          <w:sz w:val="22"/>
          <w:szCs w:val="22"/>
        </w:rPr>
        <w:t xml:space="preserve">In the most recent review of the Lost River goal (in this report) it was determined that a return to a target range would be useful for management of the freshwater sport fishery. Also, a review of historical counts indicated that locations included in the index had not been consistent over time. Therefore, the historical index was reconstructed based only on peak counts obtained from Tawah Creek, a primary tributary </w:t>
      </w:r>
      <w:r w:rsidR="00797B49" w:rsidRPr="005A75B9">
        <w:rPr>
          <w:noProof/>
          <w:sz w:val="22"/>
          <w:szCs w:val="22"/>
        </w:rPr>
        <w:t>where the majority of historical survey counts were conducted and the area</w:t>
      </w:r>
      <w:r w:rsidRPr="005A75B9">
        <w:rPr>
          <w:noProof/>
          <w:sz w:val="22"/>
          <w:szCs w:val="22"/>
        </w:rPr>
        <w:t xml:space="preserve"> most conducive to pro</w:t>
      </w:r>
      <w:r w:rsidR="00797B49" w:rsidRPr="005A75B9">
        <w:rPr>
          <w:noProof/>
          <w:sz w:val="22"/>
          <w:szCs w:val="22"/>
        </w:rPr>
        <w:t>viding comparable survey counts (Appendix Table C 1)</w:t>
      </w:r>
      <w:r w:rsidRPr="005A75B9">
        <w:rPr>
          <w:noProof/>
          <w:sz w:val="22"/>
          <w:szCs w:val="22"/>
        </w:rPr>
        <w:t>.</w:t>
      </w:r>
      <w:r w:rsidR="00797B49" w:rsidRPr="005A75B9">
        <w:rPr>
          <w:noProof/>
          <w:sz w:val="22"/>
          <w:szCs w:val="22"/>
        </w:rPr>
        <w:t xml:space="preserve"> The department recommends changing the goal to a sustainable escapement goal range of 1,400–4,200 fish counted on a peak survey of Tawah Creek, based on the 15</w:t>
      </w:r>
      <w:r w:rsidR="00797B49" w:rsidRPr="005A75B9">
        <w:rPr>
          <w:noProof/>
          <w:sz w:val="22"/>
          <w:szCs w:val="22"/>
          <w:vertAlign w:val="superscript"/>
        </w:rPr>
        <w:t>th</w:t>
      </w:r>
      <w:r w:rsidR="00797B49" w:rsidRPr="005A75B9">
        <w:rPr>
          <w:noProof/>
          <w:sz w:val="22"/>
          <w:szCs w:val="22"/>
        </w:rPr>
        <w:t>–75</w:t>
      </w:r>
      <w:r w:rsidR="00797B49" w:rsidRPr="005A75B9">
        <w:rPr>
          <w:noProof/>
          <w:sz w:val="22"/>
          <w:szCs w:val="22"/>
          <w:vertAlign w:val="superscript"/>
        </w:rPr>
        <w:t>th</w:t>
      </w:r>
      <w:r w:rsidR="00797B49" w:rsidRPr="005A75B9">
        <w:rPr>
          <w:noProof/>
          <w:sz w:val="22"/>
          <w:szCs w:val="22"/>
        </w:rPr>
        <w:t xml:space="preserve"> percentiles of historical counts, and changing the name of the goal to Tawah Creek (Lost River).</w:t>
      </w:r>
    </w:p>
    <w:p w:rsidR="001C376E" w:rsidRPr="005A75B9" w:rsidRDefault="00797B49" w:rsidP="001C376E">
      <w:pPr>
        <w:rPr>
          <w:noProof/>
          <w:sz w:val="22"/>
          <w:szCs w:val="22"/>
        </w:rPr>
      </w:pPr>
      <w:r w:rsidRPr="005A75B9">
        <w:rPr>
          <w:noProof/>
          <w:sz w:val="22"/>
          <w:szCs w:val="22"/>
        </w:rPr>
        <w:t>The u</w:t>
      </w:r>
      <w:r w:rsidR="001C376E" w:rsidRPr="005A75B9">
        <w:rPr>
          <w:noProof/>
          <w:sz w:val="22"/>
          <w:szCs w:val="22"/>
        </w:rPr>
        <w:t xml:space="preserve">tility of peak survey counts in assessing historical escapement </w:t>
      </w:r>
      <w:r w:rsidRPr="005A75B9">
        <w:rPr>
          <w:noProof/>
          <w:sz w:val="22"/>
          <w:szCs w:val="22"/>
        </w:rPr>
        <w:t xml:space="preserve">in the Yakutat area </w:t>
      </w:r>
      <w:r w:rsidR="001C376E" w:rsidRPr="005A75B9">
        <w:rPr>
          <w:noProof/>
          <w:sz w:val="22"/>
          <w:szCs w:val="22"/>
        </w:rPr>
        <w:t xml:space="preserve">is limited by decreasing survey effort near the peak of spawner abundance at the end of the fishery and by frequently deteriorating weather conditions after mid-September. Survey effort on these systems declined from 1995 to 2000, but has improved somewhat since 2001. The combined escapement index for Yakutat shows peaks in the early to mid-1990s and in 2002, with relatively strong escapements in the Situk and Tsiu rivers in 2013 (Appendix Figure </w:t>
      </w:r>
      <w:r w:rsidR="00190338" w:rsidRPr="005A75B9">
        <w:rPr>
          <w:noProof/>
          <w:sz w:val="22"/>
          <w:szCs w:val="22"/>
        </w:rPr>
        <w:t>C</w:t>
      </w:r>
      <w:r w:rsidR="001C376E" w:rsidRPr="005A75B9">
        <w:rPr>
          <w:noProof/>
          <w:sz w:val="22"/>
          <w:szCs w:val="22"/>
        </w:rPr>
        <w:t xml:space="preserve"> 1</w:t>
      </w:r>
      <w:r w:rsidR="007E03F2" w:rsidRPr="005A75B9">
        <w:rPr>
          <w:noProof/>
          <w:sz w:val="22"/>
          <w:szCs w:val="22"/>
        </w:rPr>
        <w:t>1</w:t>
      </w:r>
      <w:r w:rsidR="001C376E" w:rsidRPr="005A75B9">
        <w:rPr>
          <w:noProof/>
          <w:sz w:val="22"/>
          <w:szCs w:val="22"/>
        </w:rPr>
        <w:t>). The North Pacific climate cycle has likely been influential in returns and escapements to Yakutat. Peak counts have averaged lower (by a range of 18–53%) for the three systems during 2005–2013, compared with the period encompassing the warm phase of the Pacific Decadal Oscillation (1977–1998), but still averaged 0–81% higher than average counts during the prior cold regime (1972–1976).</w:t>
      </w:r>
    </w:p>
    <w:p w:rsidR="00707262" w:rsidRDefault="00707262" w:rsidP="001C376E">
      <w:pPr>
        <w:jc w:val="center"/>
        <w:rPr>
          <w:noProof/>
          <w:sz w:val="22"/>
          <w:szCs w:val="22"/>
        </w:rPr>
      </w:pPr>
    </w:p>
    <w:p w:rsidR="00707262" w:rsidRDefault="00707262" w:rsidP="001C376E">
      <w:pPr>
        <w:jc w:val="center"/>
      </w:pPr>
      <w:r w:rsidRPr="00707262">
        <w:rPr>
          <w:noProof/>
        </w:rPr>
        <w:lastRenderedPageBreak/>
        <w:drawing>
          <wp:inline distT="0" distB="0" distL="0" distR="0" wp14:anchorId="41A92E37" wp14:editId="125ECC8C">
            <wp:extent cx="4517136" cy="5257800"/>
            <wp:effectExtent l="19050" t="19050" r="17145" b="190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17136" cy="5257800"/>
                    </a:xfrm>
                    <a:prstGeom prst="rect">
                      <a:avLst/>
                    </a:prstGeom>
                    <a:noFill/>
                    <a:ln>
                      <a:solidFill>
                        <a:schemeClr val="tx1"/>
                      </a:solidFill>
                    </a:ln>
                  </pic:spPr>
                </pic:pic>
              </a:graphicData>
            </a:graphic>
          </wp:inline>
        </w:drawing>
      </w:r>
      <w:r w:rsidRPr="00707262">
        <w:t xml:space="preserve"> </w:t>
      </w:r>
    </w:p>
    <w:p w:rsidR="00961DC7" w:rsidRDefault="001C1E16" w:rsidP="001C1E16">
      <w:pPr>
        <w:pStyle w:val="Caption"/>
      </w:pPr>
      <w:bookmarkStart w:id="36" w:name="_Toc395791382"/>
      <w:proofErr w:type="gramStart"/>
      <w:r w:rsidRPr="005A75B9">
        <w:t xml:space="preserve">Appendix Figure C </w:t>
      </w:r>
      <w:r w:rsidR="00BD469F" w:rsidRPr="005A75B9">
        <w:fldChar w:fldCharType="begin"/>
      </w:r>
      <w:r w:rsidR="006D5F73" w:rsidRPr="005A75B9">
        <w:instrText xml:space="preserve"> SEQ Appendix_Figure_C \* ARABIC </w:instrText>
      </w:r>
      <w:r w:rsidR="00BD469F" w:rsidRPr="005A75B9">
        <w:fldChar w:fldCharType="separate"/>
      </w:r>
      <w:r w:rsidR="00796C48" w:rsidRPr="005A75B9">
        <w:rPr>
          <w:noProof/>
        </w:rPr>
        <w:t>11</w:t>
      </w:r>
      <w:r w:rsidR="00BD469F" w:rsidRPr="005A75B9">
        <w:rPr>
          <w:noProof/>
        </w:rPr>
        <w:fldChar w:fldCharType="end"/>
      </w:r>
      <w:r w:rsidR="001C376E" w:rsidRPr="005A75B9">
        <w:t>.–Peak coho salmon escapement survey counts in the Yakutat area,</w:t>
      </w:r>
      <w:r w:rsidR="00FB2953" w:rsidRPr="005A75B9">
        <w:t xml:space="preserve"> compared to escapement goals,</w:t>
      </w:r>
      <w:r w:rsidR="001C376E" w:rsidRPr="005A75B9">
        <w:t xml:space="preserve"> 1972–201</w:t>
      </w:r>
      <w:r w:rsidR="00771E35">
        <w:t>6</w:t>
      </w:r>
      <w:r w:rsidR="001C376E" w:rsidRPr="005A75B9">
        <w:t>.</w:t>
      </w:r>
      <w:proofErr w:type="gramEnd"/>
      <w:r w:rsidR="001C376E" w:rsidRPr="005A75B9">
        <w:t xml:space="preserve"> </w:t>
      </w:r>
      <w:r w:rsidR="00FB2953" w:rsidRPr="005A75B9">
        <w:t xml:space="preserve">(Horizontal lines indicate escapement goal ranges. </w:t>
      </w:r>
      <w:r w:rsidR="001C376E" w:rsidRPr="005A75B9">
        <w:t>Blank columns in time series indicate that peak survey counts were not available.)</w:t>
      </w:r>
      <w:bookmarkEnd w:id="36"/>
    </w:p>
    <w:p w:rsidR="00961DC7" w:rsidRDefault="00961DC7" w:rsidP="00961DC7">
      <w:pPr>
        <w:pStyle w:val="Cover-ReptTitle"/>
        <w:rPr>
          <w:sz w:val="22"/>
        </w:rPr>
      </w:pPr>
      <w:r>
        <w:br w:type="page"/>
      </w:r>
    </w:p>
    <w:p w:rsidR="00961DC7" w:rsidRPr="005A75B9" w:rsidRDefault="00961DC7" w:rsidP="00961DC7">
      <w:pPr>
        <w:pStyle w:val="Caption"/>
      </w:pPr>
      <w:r w:rsidRPr="005A75B9">
        <w:lastRenderedPageBreak/>
        <w:t xml:space="preserve">Appendix Table C </w:t>
      </w:r>
      <w:r w:rsidRPr="005A75B9">
        <w:fldChar w:fldCharType="begin"/>
      </w:r>
      <w:r w:rsidRPr="005A75B9">
        <w:instrText xml:space="preserve"> SEQ Appendix_Table_C \* ARABIC </w:instrText>
      </w:r>
      <w:r w:rsidRPr="005A75B9">
        <w:fldChar w:fldCharType="separate"/>
      </w:r>
      <w:r w:rsidRPr="005A75B9">
        <w:rPr>
          <w:noProof/>
        </w:rPr>
        <w:t>1</w:t>
      </w:r>
      <w:r w:rsidRPr="005A75B9">
        <w:rPr>
          <w:noProof/>
        </w:rPr>
        <w:fldChar w:fldCharType="end"/>
      </w:r>
      <w:r w:rsidRPr="005A75B9">
        <w:t>.–</w:t>
      </w:r>
      <w:r>
        <w:t xml:space="preserve">Available escapement and harvest data for </w:t>
      </w:r>
      <w:proofErr w:type="spellStart"/>
      <w:r>
        <w:t>Tsiu-Tsivat</w:t>
      </w:r>
      <w:proofErr w:type="spellEnd"/>
      <w:r>
        <w:t xml:space="preserve"> river coho salmon</w:t>
      </w:r>
      <w:r w:rsidRPr="005A75B9">
        <w:t>.</w:t>
      </w:r>
    </w:p>
    <w:tbl>
      <w:tblPr>
        <w:tblW w:w="5000" w:type="pct"/>
        <w:tblLook w:val="04A0" w:firstRow="1" w:lastRow="0" w:firstColumn="1" w:lastColumn="0" w:noHBand="0" w:noVBand="1"/>
      </w:tblPr>
      <w:tblGrid>
        <w:gridCol w:w="1730"/>
        <w:gridCol w:w="1434"/>
        <w:gridCol w:w="1461"/>
        <w:gridCol w:w="1461"/>
        <w:gridCol w:w="1017"/>
        <w:gridCol w:w="1017"/>
        <w:gridCol w:w="1456"/>
      </w:tblGrid>
      <w:tr w:rsidR="00961DC7" w:rsidRPr="00304258" w:rsidTr="00961DC7">
        <w:trPr>
          <w:trHeight w:val="765"/>
        </w:trPr>
        <w:tc>
          <w:tcPr>
            <w:tcW w:w="903" w:type="pct"/>
            <w:tcBorders>
              <w:top w:val="single" w:sz="4" w:space="0" w:color="auto"/>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Year</w:t>
            </w:r>
          </w:p>
        </w:tc>
        <w:tc>
          <w:tcPr>
            <w:tcW w:w="749" w:type="pct"/>
            <w:tcBorders>
              <w:top w:val="single" w:sz="4" w:space="0" w:color="auto"/>
              <w:left w:val="nil"/>
              <w:bottom w:val="single" w:sz="4" w:space="0" w:color="auto"/>
              <w:right w:val="nil"/>
            </w:tcBorders>
            <w:shd w:val="clear" w:color="auto" w:fill="auto"/>
            <w:vAlign w:val="bottom"/>
            <w:hideMark/>
          </w:tcPr>
          <w:p w:rsidR="00961DC7" w:rsidRPr="00304258" w:rsidRDefault="00961DC7" w:rsidP="00961DC7">
            <w:pPr>
              <w:spacing w:after="0"/>
              <w:jc w:val="center"/>
              <w:rPr>
                <w:color w:val="000000"/>
                <w:sz w:val="18"/>
                <w:szCs w:val="18"/>
              </w:rPr>
            </w:pPr>
            <w:r w:rsidRPr="00304258">
              <w:rPr>
                <w:color w:val="000000"/>
                <w:sz w:val="18"/>
                <w:szCs w:val="18"/>
              </w:rPr>
              <w:t>Escapement</w:t>
            </w:r>
          </w:p>
          <w:p w:rsidR="00961DC7" w:rsidRPr="00304258" w:rsidRDefault="00961DC7" w:rsidP="00961DC7">
            <w:pPr>
              <w:spacing w:after="0"/>
              <w:jc w:val="center"/>
              <w:rPr>
                <w:color w:val="000000"/>
                <w:sz w:val="18"/>
                <w:szCs w:val="18"/>
              </w:rPr>
            </w:pPr>
            <w:r w:rsidRPr="00304258">
              <w:rPr>
                <w:color w:val="000000"/>
                <w:sz w:val="18"/>
                <w:szCs w:val="18"/>
              </w:rPr>
              <w:t>Index</w:t>
            </w:r>
          </w:p>
        </w:tc>
        <w:tc>
          <w:tcPr>
            <w:tcW w:w="763" w:type="pct"/>
            <w:tcBorders>
              <w:top w:val="single" w:sz="4" w:space="0" w:color="auto"/>
              <w:left w:val="nil"/>
              <w:bottom w:val="single" w:sz="4" w:space="0" w:color="auto"/>
              <w:right w:val="nil"/>
            </w:tcBorders>
            <w:shd w:val="clear" w:color="auto" w:fill="auto"/>
            <w:vAlign w:val="bottom"/>
            <w:hideMark/>
          </w:tcPr>
          <w:p w:rsidR="00961DC7" w:rsidRPr="00304258" w:rsidRDefault="00961DC7" w:rsidP="00961DC7">
            <w:pPr>
              <w:spacing w:after="0"/>
              <w:jc w:val="center"/>
              <w:rPr>
                <w:color w:val="000000"/>
                <w:sz w:val="18"/>
                <w:szCs w:val="18"/>
              </w:rPr>
            </w:pPr>
            <w:r w:rsidRPr="00304258">
              <w:rPr>
                <w:color w:val="000000"/>
                <w:sz w:val="18"/>
                <w:szCs w:val="18"/>
              </w:rPr>
              <w:t>Commercial</w:t>
            </w:r>
          </w:p>
          <w:p w:rsidR="00961DC7" w:rsidRPr="00304258" w:rsidRDefault="00961DC7" w:rsidP="00961DC7">
            <w:pPr>
              <w:spacing w:after="0"/>
              <w:jc w:val="center"/>
              <w:rPr>
                <w:color w:val="000000"/>
                <w:sz w:val="18"/>
                <w:szCs w:val="18"/>
              </w:rPr>
            </w:pPr>
            <w:r w:rsidRPr="00304258">
              <w:rPr>
                <w:color w:val="000000"/>
                <w:sz w:val="18"/>
                <w:szCs w:val="18"/>
              </w:rPr>
              <w:t>Set Gillnet</w:t>
            </w:r>
          </w:p>
          <w:p w:rsidR="00961DC7" w:rsidRPr="00304258" w:rsidRDefault="00961DC7" w:rsidP="00961DC7">
            <w:pPr>
              <w:spacing w:after="0"/>
              <w:jc w:val="center"/>
              <w:rPr>
                <w:color w:val="000000"/>
                <w:sz w:val="18"/>
                <w:szCs w:val="18"/>
              </w:rPr>
            </w:pPr>
            <w:r w:rsidRPr="00304258">
              <w:rPr>
                <w:color w:val="000000"/>
                <w:sz w:val="18"/>
                <w:szCs w:val="18"/>
              </w:rPr>
              <w:t>Harvest</w:t>
            </w:r>
          </w:p>
        </w:tc>
        <w:tc>
          <w:tcPr>
            <w:tcW w:w="763" w:type="pct"/>
            <w:tcBorders>
              <w:top w:val="single" w:sz="4" w:space="0" w:color="auto"/>
              <w:left w:val="nil"/>
              <w:bottom w:val="single" w:sz="4" w:space="0" w:color="auto"/>
              <w:right w:val="nil"/>
            </w:tcBorders>
            <w:shd w:val="clear" w:color="auto" w:fill="auto"/>
            <w:vAlign w:val="bottom"/>
            <w:hideMark/>
          </w:tcPr>
          <w:p w:rsidR="00961DC7" w:rsidRPr="00304258" w:rsidRDefault="00961DC7" w:rsidP="00961DC7">
            <w:pPr>
              <w:spacing w:after="0"/>
              <w:jc w:val="center"/>
              <w:rPr>
                <w:color w:val="000000"/>
                <w:sz w:val="18"/>
                <w:szCs w:val="18"/>
              </w:rPr>
            </w:pPr>
            <w:r w:rsidRPr="00304258">
              <w:rPr>
                <w:color w:val="000000"/>
                <w:sz w:val="18"/>
                <w:szCs w:val="18"/>
              </w:rPr>
              <w:t>Commercial</w:t>
            </w:r>
          </w:p>
          <w:p w:rsidR="00961DC7" w:rsidRPr="00304258" w:rsidRDefault="00961DC7" w:rsidP="00961DC7">
            <w:pPr>
              <w:spacing w:after="0"/>
              <w:jc w:val="center"/>
              <w:rPr>
                <w:color w:val="000000"/>
                <w:sz w:val="18"/>
                <w:szCs w:val="18"/>
              </w:rPr>
            </w:pPr>
            <w:r w:rsidRPr="00304258">
              <w:rPr>
                <w:color w:val="000000"/>
                <w:sz w:val="18"/>
                <w:szCs w:val="18"/>
              </w:rPr>
              <w:t>Troll</w:t>
            </w:r>
          </w:p>
          <w:p w:rsidR="00961DC7" w:rsidRPr="00304258" w:rsidRDefault="00961DC7" w:rsidP="00961DC7">
            <w:pPr>
              <w:spacing w:after="0"/>
              <w:jc w:val="center"/>
              <w:rPr>
                <w:color w:val="000000"/>
                <w:sz w:val="18"/>
                <w:szCs w:val="18"/>
              </w:rPr>
            </w:pPr>
            <w:r w:rsidRPr="00304258">
              <w:rPr>
                <w:color w:val="000000"/>
                <w:sz w:val="18"/>
                <w:szCs w:val="18"/>
              </w:rPr>
              <w:t>Harvest</w:t>
            </w:r>
          </w:p>
        </w:tc>
        <w:tc>
          <w:tcPr>
            <w:tcW w:w="531" w:type="pct"/>
            <w:tcBorders>
              <w:top w:val="single" w:sz="4" w:space="0" w:color="auto"/>
              <w:left w:val="nil"/>
              <w:bottom w:val="single" w:sz="4" w:space="0" w:color="auto"/>
              <w:right w:val="nil"/>
            </w:tcBorders>
            <w:shd w:val="clear" w:color="auto" w:fill="auto"/>
            <w:vAlign w:val="bottom"/>
            <w:hideMark/>
          </w:tcPr>
          <w:p w:rsidR="00961DC7" w:rsidRPr="00304258" w:rsidRDefault="00961DC7" w:rsidP="00961DC7">
            <w:pPr>
              <w:spacing w:after="0"/>
              <w:jc w:val="center"/>
              <w:rPr>
                <w:color w:val="000000"/>
                <w:sz w:val="18"/>
                <w:szCs w:val="18"/>
              </w:rPr>
            </w:pPr>
            <w:r w:rsidRPr="00304258">
              <w:rPr>
                <w:color w:val="000000"/>
                <w:sz w:val="18"/>
                <w:szCs w:val="18"/>
              </w:rPr>
              <w:t>Sport</w:t>
            </w:r>
          </w:p>
          <w:p w:rsidR="00961DC7" w:rsidRPr="00304258" w:rsidRDefault="00961DC7" w:rsidP="00961DC7">
            <w:pPr>
              <w:spacing w:after="0"/>
              <w:jc w:val="center"/>
              <w:rPr>
                <w:color w:val="000000"/>
                <w:sz w:val="18"/>
                <w:szCs w:val="18"/>
              </w:rPr>
            </w:pPr>
            <w:r w:rsidRPr="00304258">
              <w:rPr>
                <w:color w:val="000000"/>
                <w:sz w:val="18"/>
                <w:szCs w:val="18"/>
              </w:rPr>
              <w:t>Harvest</w:t>
            </w:r>
          </w:p>
        </w:tc>
        <w:tc>
          <w:tcPr>
            <w:tcW w:w="531" w:type="pct"/>
            <w:tcBorders>
              <w:top w:val="single" w:sz="4" w:space="0" w:color="auto"/>
              <w:left w:val="nil"/>
              <w:bottom w:val="single" w:sz="4" w:space="0" w:color="auto"/>
              <w:right w:val="nil"/>
            </w:tcBorders>
            <w:shd w:val="clear" w:color="auto" w:fill="auto"/>
            <w:vAlign w:val="bottom"/>
            <w:hideMark/>
          </w:tcPr>
          <w:p w:rsidR="00961DC7" w:rsidRPr="00304258" w:rsidRDefault="00961DC7" w:rsidP="00961DC7">
            <w:pPr>
              <w:spacing w:after="0"/>
              <w:jc w:val="center"/>
              <w:rPr>
                <w:color w:val="000000"/>
                <w:sz w:val="18"/>
                <w:szCs w:val="18"/>
              </w:rPr>
            </w:pPr>
            <w:r w:rsidRPr="00304258">
              <w:rPr>
                <w:color w:val="000000"/>
                <w:sz w:val="18"/>
                <w:szCs w:val="18"/>
              </w:rPr>
              <w:t>Total</w:t>
            </w:r>
          </w:p>
          <w:p w:rsidR="00961DC7" w:rsidRPr="00304258" w:rsidRDefault="00961DC7" w:rsidP="00961DC7">
            <w:pPr>
              <w:spacing w:after="0"/>
              <w:jc w:val="center"/>
              <w:rPr>
                <w:color w:val="000000"/>
                <w:sz w:val="18"/>
                <w:szCs w:val="18"/>
              </w:rPr>
            </w:pPr>
            <w:r w:rsidRPr="00304258">
              <w:rPr>
                <w:color w:val="000000"/>
                <w:sz w:val="18"/>
                <w:szCs w:val="18"/>
              </w:rPr>
              <w:t>Harvest</w:t>
            </w:r>
          </w:p>
        </w:tc>
        <w:tc>
          <w:tcPr>
            <w:tcW w:w="761" w:type="pct"/>
            <w:tcBorders>
              <w:top w:val="single" w:sz="4" w:space="0" w:color="auto"/>
              <w:left w:val="nil"/>
              <w:bottom w:val="single" w:sz="4" w:space="0" w:color="auto"/>
              <w:right w:val="nil"/>
            </w:tcBorders>
            <w:shd w:val="clear" w:color="auto" w:fill="auto"/>
            <w:vAlign w:val="bottom"/>
            <w:hideMark/>
          </w:tcPr>
          <w:p w:rsidR="00961DC7" w:rsidRPr="00304258" w:rsidRDefault="00961DC7" w:rsidP="00961DC7">
            <w:pPr>
              <w:spacing w:after="0"/>
              <w:jc w:val="center"/>
              <w:rPr>
                <w:color w:val="000000"/>
                <w:sz w:val="18"/>
                <w:szCs w:val="18"/>
              </w:rPr>
            </w:pPr>
            <w:proofErr w:type="spellStart"/>
            <w:r w:rsidRPr="00304258">
              <w:rPr>
                <w:color w:val="000000"/>
                <w:sz w:val="18"/>
                <w:szCs w:val="18"/>
              </w:rPr>
              <w:t>Appoximate</w:t>
            </w:r>
            <w:proofErr w:type="spellEnd"/>
          </w:p>
          <w:p w:rsidR="00961DC7" w:rsidRPr="00304258" w:rsidRDefault="00961DC7" w:rsidP="00961DC7">
            <w:pPr>
              <w:spacing w:after="0"/>
              <w:jc w:val="center"/>
              <w:rPr>
                <w:color w:val="000000"/>
                <w:sz w:val="18"/>
                <w:szCs w:val="18"/>
              </w:rPr>
            </w:pPr>
            <w:r w:rsidRPr="00304258">
              <w:rPr>
                <w:color w:val="000000"/>
                <w:sz w:val="18"/>
                <w:szCs w:val="18"/>
              </w:rPr>
              <w:t>Harvest</w:t>
            </w:r>
          </w:p>
          <w:p w:rsidR="00961DC7" w:rsidRPr="00304258" w:rsidRDefault="00961DC7" w:rsidP="00961DC7">
            <w:pPr>
              <w:spacing w:after="0"/>
              <w:jc w:val="center"/>
              <w:rPr>
                <w:color w:val="000000"/>
                <w:sz w:val="18"/>
                <w:szCs w:val="18"/>
              </w:rPr>
            </w:pPr>
            <w:proofErr w:type="spellStart"/>
            <w:r w:rsidRPr="00304258">
              <w:rPr>
                <w:color w:val="000000"/>
                <w:sz w:val="18"/>
                <w:szCs w:val="18"/>
              </w:rPr>
              <w:t>Rate</w:t>
            </w:r>
            <w:r w:rsidRPr="00304258">
              <w:rPr>
                <w:color w:val="000000"/>
                <w:sz w:val="18"/>
                <w:szCs w:val="18"/>
                <w:vertAlign w:val="superscript"/>
              </w:rPr>
              <w:t>a</w:t>
            </w:r>
            <w:proofErr w:type="spellEnd"/>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1973</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30,000</w:t>
            </w:r>
          </w:p>
        </w:tc>
        <w:tc>
          <w:tcPr>
            <w:tcW w:w="763" w:type="pct"/>
            <w:tcBorders>
              <w:top w:val="nil"/>
              <w:left w:val="nil"/>
              <w:bottom w:val="nil"/>
              <w:right w:val="nil"/>
            </w:tcBorders>
            <w:shd w:val="clear" w:color="auto" w:fill="auto"/>
            <w:vAlign w:val="bottom"/>
            <w:hideMark/>
          </w:tcPr>
          <w:p w:rsidR="00961DC7" w:rsidRPr="00304258" w:rsidRDefault="00961DC7" w:rsidP="00961DC7">
            <w:pPr>
              <w:spacing w:after="0"/>
              <w:jc w:val="center"/>
              <w:rPr>
                <w:color w:val="000000"/>
                <w:sz w:val="18"/>
                <w:szCs w:val="18"/>
              </w:rPr>
            </w:pPr>
            <w:r w:rsidRPr="00304258">
              <w:rPr>
                <w:color w:val="000000"/>
                <w:sz w:val="18"/>
                <w:szCs w:val="18"/>
              </w:rPr>
              <w:t>8,803</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8,803</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1974</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15,000</w:t>
            </w:r>
          </w:p>
        </w:tc>
        <w:tc>
          <w:tcPr>
            <w:tcW w:w="763" w:type="pct"/>
            <w:tcBorders>
              <w:top w:val="nil"/>
              <w:left w:val="nil"/>
              <w:bottom w:val="nil"/>
              <w:right w:val="nil"/>
            </w:tcBorders>
            <w:shd w:val="clear" w:color="auto" w:fill="auto"/>
            <w:vAlign w:val="bottom"/>
            <w:hideMark/>
          </w:tcPr>
          <w:p w:rsidR="00961DC7" w:rsidRPr="00304258" w:rsidRDefault="00961DC7" w:rsidP="00961DC7">
            <w:pPr>
              <w:spacing w:after="0"/>
              <w:jc w:val="center"/>
              <w:rPr>
                <w:color w:val="000000"/>
                <w:sz w:val="18"/>
                <w:szCs w:val="18"/>
              </w:rPr>
            </w:pPr>
            <w:r w:rsidRPr="00304258">
              <w:rPr>
                <w:color w:val="000000"/>
                <w:sz w:val="18"/>
                <w:szCs w:val="18"/>
              </w:rPr>
              <w:t>8,258</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8,258</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1975</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8,150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0</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1976</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30,000</w:t>
            </w:r>
          </w:p>
        </w:tc>
        <w:tc>
          <w:tcPr>
            <w:tcW w:w="763" w:type="pct"/>
            <w:tcBorders>
              <w:top w:val="nil"/>
              <w:left w:val="nil"/>
              <w:bottom w:val="nil"/>
              <w:right w:val="nil"/>
            </w:tcBorders>
            <w:shd w:val="clear" w:color="auto" w:fill="auto"/>
            <w:vAlign w:val="bottom"/>
            <w:hideMark/>
          </w:tcPr>
          <w:p w:rsidR="00961DC7" w:rsidRPr="00304258" w:rsidRDefault="00961DC7" w:rsidP="00961DC7">
            <w:pPr>
              <w:spacing w:after="0"/>
              <w:jc w:val="center"/>
              <w:rPr>
                <w:color w:val="000000"/>
                <w:sz w:val="18"/>
                <w:szCs w:val="18"/>
              </w:rPr>
            </w:pPr>
            <w:r w:rsidRPr="00304258">
              <w:rPr>
                <w:color w:val="000000"/>
                <w:sz w:val="18"/>
                <w:szCs w:val="18"/>
              </w:rPr>
              <w:t>3,129</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3,129</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1977</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25,000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5,691</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5,691</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1978</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40,000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34,392</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34,392</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1979</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25,000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32,621</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32,621</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1980</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18,000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28,711</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28,711</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1981</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30,109</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30,109</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1982</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40,000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46,436</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46,436</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1983</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16,500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20,119</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20,119</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1984</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30,000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51,322</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51,322</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1985</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52,350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63,922</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63,922</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1986</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14,100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21,193</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8,120</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29,313</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28%</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1987</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35,300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35,300</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1988</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16,000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56,146</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56,146</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1989</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38,000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62,989</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62,989</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1990</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16,800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33,867</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33,867</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rFonts w:asciiTheme="minorHAnsi" w:eastAsiaTheme="minorHAnsi" w:hAnsiTheme="minorHAnsi" w:cstheme="minorBidi"/>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1991</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16,600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38,333</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835</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39,168</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31%</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1992</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30,000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92,406</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866</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93,272</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37%</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1993</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56,765</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56,765</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1994</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55,000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64,205</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451</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64,656</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18%</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1995</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30,000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50,399</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456</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50,855</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24%</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1996</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35,702</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1,244</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36,946</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1997</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22,000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58,647</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2,283</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60,930</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35%</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1998</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14,000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71,066</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764</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71,830</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49%</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1999</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61,617</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1,728</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63,345</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2000</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12,000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59,080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2,057</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61,137</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49%</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2001</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17,000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31,748</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1,783</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33,531</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27%</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2002</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31,000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2,713</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2,713</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2003</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35,850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4,286</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4,286</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2004</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3,512</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2,372</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5,884</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2005</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10,600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25,429</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2,325</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27,754</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33%</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2006</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14,200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26,438</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2,158</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28,596</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28%</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2007</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14,000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22,323</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2,752</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25,075</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25%</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2008</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25,200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49,295</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3,317</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52,612</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28%</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2009</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28,000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43,920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3,399</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47,319</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24%</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2010</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11,000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77,792</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3,862</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81,654</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59%</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2011</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21,000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34,934</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2,490</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37,424</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25%</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2012</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45,827</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b/>
                <w:bCs/>
                <w:i/>
                <w:iCs/>
                <w:color w:val="000000"/>
                <w:sz w:val="18"/>
                <w:szCs w:val="18"/>
              </w:rPr>
            </w:pPr>
            <w:r w:rsidRPr="00304258">
              <w:rPr>
                <w:b/>
                <w:bCs/>
                <w:i/>
                <w:iCs/>
                <w:color w:val="000000"/>
                <w:sz w:val="18"/>
                <w:szCs w:val="18"/>
              </w:rPr>
              <w:t>2,500</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48,327</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2013</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47,000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44,887</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b/>
                <w:bCs/>
                <w:i/>
                <w:iCs/>
                <w:color w:val="000000"/>
                <w:sz w:val="18"/>
                <w:szCs w:val="18"/>
              </w:rPr>
            </w:pPr>
            <w:r w:rsidRPr="00304258">
              <w:rPr>
                <w:b/>
                <w:bCs/>
                <w:i/>
                <w:iCs/>
                <w:color w:val="000000"/>
                <w:sz w:val="18"/>
                <w:szCs w:val="18"/>
              </w:rPr>
              <w:t>2,500</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47,387</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16%</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2014</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27,000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37,613</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b/>
                <w:bCs/>
                <w:i/>
                <w:iCs/>
                <w:color w:val="000000"/>
                <w:sz w:val="18"/>
                <w:szCs w:val="18"/>
              </w:rPr>
            </w:pPr>
            <w:r w:rsidRPr="00304258">
              <w:rPr>
                <w:b/>
                <w:bCs/>
                <w:i/>
                <w:iCs/>
                <w:color w:val="000000"/>
                <w:sz w:val="18"/>
                <w:szCs w:val="18"/>
              </w:rPr>
              <w:t>2,500</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40,113</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22%</w:t>
            </w:r>
          </w:p>
        </w:tc>
      </w:tr>
      <w:tr w:rsidR="00961DC7" w:rsidRPr="00304258" w:rsidTr="00961DC7">
        <w:trPr>
          <w:trHeight w:val="255"/>
        </w:trPr>
        <w:tc>
          <w:tcPr>
            <w:tcW w:w="90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2015</w:t>
            </w:r>
          </w:p>
        </w:tc>
        <w:tc>
          <w:tcPr>
            <w:tcW w:w="749"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19,500</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16,993</w:t>
            </w:r>
          </w:p>
        </w:tc>
        <w:tc>
          <w:tcPr>
            <w:tcW w:w="763"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b/>
                <w:bCs/>
                <w:i/>
                <w:iCs/>
                <w:color w:val="000000"/>
                <w:sz w:val="18"/>
                <w:szCs w:val="18"/>
              </w:rPr>
            </w:pPr>
            <w:r w:rsidRPr="00304258">
              <w:rPr>
                <w:b/>
                <w:bCs/>
                <w:i/>
                <w:iCs/>
                <w:color w:val="000000"/>
                <w:sz w:val="18"/>
                <w:szCs w:val="18"/>
              </w:rPr>
              <w:t>2,500</w:t>
            </w:r>
          </w:p>
        </w:tc>
        <w:tc>
          <w:tcPr>
            <w:tcW w:w="53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19,493</w:t>
            </w:r>
          </w:p>
        </w:tc>
        <w:tc>
          <w:tcPr>
            <w:tcW w:w="761" w:type="pct"/>
            <w:tcBorders>
              <w:top w:val="nil"/>
              <w:left w:val="nil"/>
              <w:bottom w:val="nil"/>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16%</w:t>
            </w:r>
          </w:p>
        </w:tc>
      </w:tr>
      <w:tr w:rsidR="00961DC7" w:rsidRPr="00304258" w:rsidTr="00961DC7">
        <w:trPr>
          <w:trHeight w:val="255"/>
        </w:trPr>
        <w:tc>
          <w:tcPr>
            <w:tcW w:w="903" w:type="pct"/>
            <w:tcBorders>
              <w:top w:val="nil"/>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2016</w:t>
            </w:r>
          </w:p>
        </w:tc>
        <w:tc>
          <w:tcPr>
            <w:tcW w:w="749" w:type="pct"/>
            <w:tcBorders>
              <w:top w:val="nil"/>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31,000</w:t>
            </w:r>
          </w:p>
        </w:tc>
        <w:tc>
          <w:tcPr>
            <w:tcW w:w="763" w:type="pct"/>
            <w:tcBorders>
              <w:top w:val="nil"/>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11,210</w:t>
            </w:r>
          </w:p>
        </w:tc>
        <w:tc>
          <w:tcPr>
            <w:tcW w:w="763" w:type="pct"/>
            <w:tcBorders>
              <w:top w:val="nil"/>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nil"/>
              <w:left w:val="nil"/>
              <w:bottom w:val="single" w:sz="4" w:space="0" w:color="auto"/>
              <w:right w:val="nil"/>
            </w:tcBorders>
            <w:shd w:val="clear" w:color="auto" w:fill="auto"/>
            <w:noWrap/>
            <w:vAlign w:val="bottom"/>
            <w:hideMark/>
          </w:tcPr>
          <w:p w:rsidR="00961DC7" w:rsidRPr="00304258" w:rsidRDefault="00961DC7" w:rsidP="00961DC7">
            <w:pPr>
              <w:spacing w:after="0"/>
              <w:jc w:val="center"/>
              <w:rPr>
                <w:b/>
                <w:bCs/>
                <w:i/>
                <w:iCs/>
                <w:color w:val="000000"/>
                <w:sz w:val="18"/>
                <w:szCs w:val="18"/>
              </w:rPr>
            </w:pPr>
            <w:r w:rsidRPr="00304258">
              <w:rPr>
                <w:b/>
                <w:bCs/>
                <w:i/>
                <w:iCs/>
                <w:color w:val="000000"/>
                <w:sz w:val="18"/>
                <w:szCs w:val="18"/>
              </w:rPr>
              <w:t>2,500</w:t>
            </w:r>
          </w:p>
        </w:tc>
        <w:tc>
          <w:tcPr>
            <w:tcW w:w="531" w:type="pct"/>
            <w:tcBorders>
              <w:top w:val="nil"/>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13,710</w:t>
            </w:r>
          </w:p>
        </w:tc>
        <w:tc>
          <w:tcPr>
            <w:tcW w:w="761" w:type="pct"/>
            <w:tcBorders>
              <w:top w:val="nil"/>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8%</w:t>
            </w:r>
          </w:p>
        </w:tc>
      </w:tr>
      <w:tr w:rsidR="00961DC7" w:rsidRPr="00304258" w:rsidTr="00961DC7">
        <w:trPr>
          <w:trHeight w:val="255"/>
        </w:trPr>
        <w:tc>
          <w:tcPr>
            <w:tcW w:w="903" w:type="pct"/>
            <w:tcBorders>
              <w:top w:val="single" w:sz="4" w:space="0" w:color="auto"/>
              <w:left w:val="nil"/>
              <w:bottom w:val="single" w:sz="4" w:space="0" w:color="auto"/>
              <w:right w:val="nil"/>
            </w:tcBorders>
            <w:shd w:val="clear" w:color="auto" w:fill="auto"/>
            <w:noWrap/>
            <w:vAlign w:val="bottom"/>
            <w:hideMark/>
          </w:tcPr>
          <w:p w:rsidR="00961DC7" w:rsidRPr="00304258" w:rsidRDefault="00961DC7" w:rsidP="00961DC7">
            <w:pPr>
              <w:spacing w:after="0"/>
              <w:jc w:val="right"/>
              <w:rPr>
                <w:bCs/>
                <w:color w:val="000000"/>
                <w:sz w:val="18"/>
                <w:szCs w:val="18"/>
              </w:rPr>
            </w:pPr>
            <w:r w:rsidRPr="00304258">
              <w:rPr>
                <w:bCs/>
                <w:color w:val="000000"/>
                <w:sz w:val="18"/>
                <w:szCs w:val="18"/>
              </w:rPr>
              <w:t>Average:</w:t>
            </w:r>
          </w:p>
        </w:tc>
        <w:tc>
          <w:tcPr>
            <w:tcW w:w="749" w:type="pct"/>
            <w:tcBorders>
              <w:top w:val="single" w:sz="4" w:space="0" w:color="auto"/>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24,917</w:t>
            </w:r>
          </w:p>
        </w:tc>
        <w:tc>
          <w:tcPr>
            <w:tcW w:w="763" w:type="pct"/>
            <w:tcBorders>
              <w:top w:val="single" w:sz="4" w:space="0" w:color="auto"/>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39,574</w:t>
            </w:r>
          </w:p>
        </w:tc>
        <w:tc>
          <w:tcPr>
            <w:tcW w:w="763" w:type="pct"/>
            <w:tcBorders>
              <w:top w:val="single" w:sz="4" w:space="0" w:color="auto"/>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NA</w:t>
            </w:r>
          </w:p>
        </w:tc>
        <w:tc>
          <w:tcPr>
            <w:tcW w:w="531" w:type="pct"/>
            <w:tcBorders>
              <w:top w:val="single" w:sz="4" w:space="0" w:color="auto"/>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2,186</w:t>
            </w:r>
          </w:p>
        </w:tc>
        <w:tc>
          <w:tcPr>
            <w:tcW w:w="531" w:type="pct"/>
            <w:tcBorders>
              <w:top w:val="single" w:sz="4" w:space="0" w:color="auto"/>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42,045</w:t>
            </w:r>
          </w:p>
        </w:tc>
        <w:tc>
          <w:tcPr>
            <w:tcW w:w="761" w:type="pct"/>
            <w:tcBorders>
              <w:top w:val="single" w:sz="4" w:space="0" w:color="auto"/>
              <w:left w:val="nil"/>
              <w:bottom w:val="single" w:sz="4" w:space="0" w:color="auto"/>
              <w:right w:val="nil"/>
            </w:tcBorders>
            <w:shd w:val="clear" w:color="auto" w:fill="auto"/>
            <w:noWrap/>
            <w:vAlign w:val="bottom"/>
            <w:hideMark/>
          </w:tcPr>
          <w:p w:rsidR="00961DC7" w:rsidRPr="00304258" w:rsidRDefault="00961DC7" w:rsidP="00961DC7">
            <w:pPr>
              <w:spacing w:after="0"/>
              <w:jc w:val="center"/>
              <w:rPr>
                <w:color w:val="000000"/>
                <w:sz w:val="18"/>
                <w:szCs w:val="18"/>
              </w:rPr>
            </w:pPr>
            <w:r w:rsidRPr="00304258">
              <w:rPr>
                <w:color w:val="000000"/>
                <w:sz w:val="18"/>
                <w:szCs w:val="18"/>
              </w:rPr>
              <w:t>27%</w:t>
            </w:r>
          </w:p>
        </w:tc>
      </w:tr>
    </w:tbl>
    <w:p w:rsidR="00961DC7" w:rsidRPr="00304258" w:rsidRDefault="00961DC7" w:rsidP="00961DC7">
      <w:pPr>
        <w:rPr>
          <w:sz w:val="18"/>
          <w:szCs w:val="18"/>
        </w:rPr>
      </w:pPr>
      <w:proofErr w:type="spellStart"/>
      <w:proofErr w:type="gramStart"/>
      <w:r w:rsidRPr="00304258">
        <w:rPr>
          <w:sz w:val="18"/>
          <w:szCs w:val="18"/>
          <w:vertAlign w:val="superscript"/>
        </w:rPr>
        <w:t>a</w:t>
      </w:r>
      <w:proofErr w:type="spellEnd"/>
      <w:proofErr w:type="gramEnd"/>
      <w:r w:rsidRPr="00304258">
        <w:rPr>
          <w:sz w:val="18"/>
          <w:szCs w:val="18"/>
        </w:rPr>
        <w:t xml:space="preserve"> The Harvest rate was estimated as the harvest divided by the estimated total run (harvest + peak survey count × 5.3).</w:t>
      </w:r>
    </w:p>
    <w:p w:rsidR="00961DC7" w:rsidRDefault="00961DC7" w:rsidP="00961DC7">
      <w:pPr>
        <w:pStyle w:val="Caption"/>
      </w:pPr>
      <w:proofErr w:type="gramStart"/>
      <w:r w:rsidRPr="005A75B9">
        <w:lastRenderedPageBreak/>
        <w:t xml:space="preserve">Appendix Table C </w:t>
      </w:r>
      <w:r>
        <w:t>2</w:t>
      </w:r>
      <w:r w:rsidRPr="005A75B9">
        <w:t>.–</w:t>
      </w:r>
      <w:r w:rsidRPr="0096648B">
        <w:t>Estimated escapements and survey expansion factors for coho salmon at the Situk and Lost rivers in the Yakutat area</w:t>
      </w:r>
      <w:r w:rsidRPr="005A75B9">
        <w:t>.</w:t>
      </w:r>
      <w:proofErr w:type="gramEnd"/>
    </w:p>
    <w:tbl>
      <w:tblPr>
        <w:tblW w:w="5000" w:type="pct"/>
        <w:tblLook w:val="04A0" w:firstRow="1" w:lastRow="0" w:firstColumn="1" w:lastColumn="0" w:noHBand="0" w:noVBand="1"/>
      </w:tblPr>
      <w:tblGrid>
        <w:gridCol w:w="1330"/>
        <w:gridCol w:w="725"/>
        <w:gridCol w:w="1389"/>
        <w:gridCol w:w="898"/>
        <w:gridCol w:w="1551"/>
        <w:gridCol w:w="1245"/>
        <w:gridCol w:w="2438"/>
      </w:tblGrid>
      <w:tr w:rsidR="00961DC7" w:rsidRPr="0096648B" w:rsidTr="00961DC7">
        <w:trPr>
          <w:trHeight w:val="600"/>
        </w:trPr>
        <w:tc>
          <w:tcPr>
            <w:tcW w:w="694" w:type="pct"/>
            <w:tcBorders>
              <w:top w:val="single" w:sz="4" w:space="0" w:color="auto"/>
              <w:left w:val="nil"/>
              <w:bottom w:val="single" w:sz="4" w:space="0" w:color="auto"/>
              <w:right w:val="nil"/>
            </w:tcBorders>
            <w:shd w:val="clear" w:color="auto" w:fill="auto"/>
            <w:vAlign w:val="bottom"/>
            <w:hideMark/>
          </w:tcPr>
          <w:p w:rsidR="00961DC7" w:rsidRPr="0096648B" w:rsidRDefault="00961DC7" w:rsidP="00961DC7">
            <w:pPr>
              <w:spacing w:after="0"/>
              <w:jc w:val="left"/>
              <w:rPr>
                <w:bCs/>
                <w:color w:val="000000"/>
                <w:sz w:val="20"/>
                <w:szCs w:val="20"/>
              </w:rPr>
            </w:pPr>
            <w:r w:rsidRPr="0096648B">
              <w:rPr>
                <w:bCs/>
                <w:color w:val="000000"/>
                <w:sz w:val="20"/>
                <w:szCs w:val="20"/>
              </w:rPr>
              <w:t>System</w:t>
            </w:r>
          </w:p>
        </w:tc>
        <w:tc>
          <w:tcPr>
            <w:tcW w:w="378" w:type="pct"/>
            <w:tcBorders>
              <w:top w:val="single" w:sz="4" w:space="0" w:color="auto"/>
              <w:left w:val="nil"/>
              <w:bottom w:val="single" w:sz="4" w:space="0" w:color="auto"/>
              <w:right w:val="nil"/>
            </w:tcBorders>
            <w:shd w:val="clear" w:color="auto" w:fill="auto"/>
            <w:vAlign w:val="bottom"/>
            <w:hideMark/>
          </w:tcPr>
          <w:p w:rsidR="00961DC7" w:rsidRPr="0096648B" w:rsidRDefault="00961DC7" w:rsidP="00961DC7">
            <w:pPr>
              <w:spacing w:after="0"/>
              <w:jc w:val="center"/>
              <w:rPr>
                <w:bCs/>
                <w:color w:val="000000"/>
                <w:sz w:val="20"/>
                <w:szCs w:val="20"/>
              </w:rPr>
            </w:pPr>
            <w:r w:rsidRPr="0096648B">
              <w:rPr>
                <w:bCs/>
                <w:color w:val="000000"/>
                <w:sz w:val="20"/>
                <w:szCs w:val="20"/>
              </w:rPr>
              <w:t>Year</w:t>
            </w:r>
          </w:p>
        </w:tc>
        <w:tc>
          <w:tcPr>
            <w:tcW w:w="725" w:type="pct"/>
            <w:tcBorders>
              <w:top w:val="single" w:sz="4" w:space="0" w:color="auto"/>
              <w:left w:val="nil"/>
              <w:bottom w:val="single" w:sz="4" w:space="0" w:color="auto"/>
              <w:right w:val="nil"/>
            </w:tcBorders>
            <w:shd w:val="clear" w:color="auto" w:fill="auto"/>
            <w:vAlign w:val="bottom"/>
            <w:hideMark/>
          </w:tcPr>
          <w:p w:rsidR="00961DC7" w:rsidRPr="0096648B" w:rsidRDefault="00961DC7" w:rsidP="00961DC7">
            <w:pPr>
              <w:spacing w:after="0"/>
              <w:jc w:val="center"/>
              <w:rPr>
                <w:bCs/>
                <w:color w:val="000000"/>
                <w:sz w:val="20"/>
                <w:szCs w:val="20"/>
              </w:rPr>
            </w:pPr>
            <w:r w:rsidRPr="0096648B">
              <w:rPr>
                <w:bCs/>
                <w:color w:val="000000"/>
                <w:sz w:val="20"/>
                <w:szCs w:val="20"/>
              </w:rPr>
              <w:t>Escapement</w:t>
            </w:r>
          </w:p>
          <w:p w:rsidR="00961DC7" w:rsidRPr="0096648B" w:rsidRDefault="00961DC7" w:rsidP="00961DC7">
            <w:pPr>
              <w:spacing w:after="0"/>
              <w:jc w:val="center"/>
              <w:rPr>
                <w:bCs/>
                <w:color w:val="000000"/>
                <w:sz w:val="20"/>
                <w:szCs w:val="20"/>
              </w:rPr>
            </w:pPr>
            <w:r w:rsidRPr="0096648B">
              <w:rPr>
                <w:bCs/>
                <w:color w:val="000000"/>
                <w:sz w:val="20"/>
                <w:szCs w:val="20"/>
              </w:rPr>
              <w:t>Estimate</w:t>
            </w:r>
          </w:p>
        </w:tc>
        <w:tc>
          <w:tcPr>
            <w:tcW w:w="469" w:type="pct"/>
            <w:tcBorders>
              <w:top w:val="single" w:sz="4" w:space="0" w:color="auto"/>
              <w:left w:val="nil"/>
              <w:bottom w:val="single" w:sz="4" w:space="0" w:color="auto"/>
              <w:right w:val="nil"/>
            </w:tcBorders>
            <w:shd w:val="clear" w:color="auto" w:fill="auto"/>
            <w:vAlign w:val="bottom"/>
            <w:hideMark/>
          </w:tcPr>
          <w:p w:rsidR="00961DC7" w:rsidRPr="0096648B" w:rsidRDefault="00961DC7" w:rsidP="00961DC7">
            <w:pPr>
              <w:spacing w:after="0"/>
              <w:jc w:val="center"/>
              <w:rPr>
                <w:bCs/>
                <w:color w:val="000000"/>
                <w:sz w:val="20"/>
                <w:szCs w:val="20"/>
              </w:rPr>
            </w:pPr>
            <w:r w:rsidRPr="0096648B">
              <w:rPr>
                <w:bCs/>
                <w:color w:val="000000"/>
                <w:sz w:val="20"/>
                <w:szCs w:val="20"/>
              </w:rPr>
              <w:t>SE</w:t>
            </w:r>
          </w:p>
        </w:tc>
        <w:tc>
          <w:tcPr>
            <w:tcW w:w="810" w:type="pct"/>
            <w:tcBorders>
              <w:top w:val="single" w:sz="4" w:space="0" w:color="auto"/>
              <w:left w:val="nil"/>
              <w:bottom w:val="single" w:sz="4" w:space="0" w:color="auto"/>
              <w:right w:val="nil"/>
            </w:tcBorders>
            <w:shd w:val="clear" w:color="auto" w:fill="auto"/>
            <w:vAlign w:val="bottom"/>
            <w:hideMark/>
          </w:tcPr>
          <w:p w:rsidR="00961DC7" w:rsidRPr="0096648B" w:rsidRDefault="00961DC7" w:rsidP="00961DC7">
            <w:pPr>
              <w:spacing w:after="0"/>
              <w:jc w:val="center"/>
              <w:rPr>
                <w:bCs/>
                <w:color w:val="000000"/>
                <w:sz w:val="20"/>
                <w:szCs w:val="20"/>
              </w:rPr>
            </w:pPr>
            <w:r w:rsidRPr="0096648B">
              <w:rPr>
                <w:bCs/>
                <w:color w:val="000000"/>
                <w:sz w:val="20"/>
                <w:szCs w:val="20"/>
              </w:rPr>
              <w:t>Maximum</w:t>
            </w:r>
          </w:p>
          <w:p w:rsidR="00961DC7" w:rsidRPr="0096648B" w:rsidRDefault="00961DC7" w:rsidP="00961DC7">
            <w:pPr>
              <w:spacing w:after="0"/>
              <w:jc w:val="center"/>
              <w:rPr>
                <w:bCs/>
                <w:color w:val="000000"/>
                <w:sz w:val="20"/>
                <w:szCs w:val="20"/>
              </w:rPr>
            </w:pPr>
            <w:r w:rsidRPr="0096648B">
              <w:rPr>
                <w:bCs/>
                <w:color w:val="000000"/>
                <w:sz w:val="20"/>
                <w:szCs w:val="20"/>
              </w:rPr>
              <w:t>Survey Count</w:t>
            </w:r>
          </w:p>
        </w:tc>
        <w:tc>
          <w:tcPr>
            <w:tcW w:w="650" w:type="pct"/>
            <w:tcBorders>
              <w:top w:val="single" w:sz="4" w:space="0" w:color="auto"/>
              <w:left w:val="nil"/>
              <w:bottom w:val="single" w:sz="4" w:space="0" w:color="auto"/>
              <w:right w:val="nil"/>
            </w:tcBorders>
            <w:shd w:val="clear" w:color="auto" w:fill="auto"/>
            <w:vAlign w:val="bottom"/>
            <w:hideMark/>
          </w:tcPr>
          <w:p w:rsidR="00961DC7" w:rsidRPr="0096648B" w:rsidRDefault="00961DC7" w:rsidP="00961DC7">
            <w:pPr>
              <w:spacing w:after="0"/>
              <w:jc w:val="center"/>
              <w:rPr>
                <w:bCs/>
                <w:color w:val="000000"/>
                <w:sz w:val="20"/>
                <w:szCs w:val="20"/>
              </w:rPr>
            </w:pPr>
            <w:r w:rsidRPr="0096648B">
              <w:rPr>
                <w:bCs/>
                <w:color w:val="000000"/>
                <w:sz w:val="20"/>
                <w:szCs w:val="20"/>
              </w:rPr>
              <w:t>Expansion</w:t>
            </w:r>
          </w:p>
          <w:p w:rsidR="00961DC7" w:rsidRPr="0096648B" w:rsidRDefault="00961DC7" w:rsidP="00961DC7">
            <w:pPr>
              <w:spacing w:after="0"/>
              <w:jc w:val="center"/>
              <w:rPr>
                <w:bCs/>
                <w:color w:val="000000"/>
                <w:sz w:val="20"/>
                <w:szCs w:val="20"/>
              </w:rPr>
            </w:pPr>
            <w:r w:rsidRPr="0096648B">
              <w:rPr>
                <w:bCs/>
                <w:color w:val="000000"/>
                <w:sz w:val="20"/>
                <w:szCs w:val="20"/>
              </w:rPr>
              <w:t>Factor</w:t>
            </w:r>
          </w:p>
        </w:tc>
        <w:tc>
          <w:tcPr>
            <w:tcW w:w="1273" w:type="pct"/>
            <w:tcBorders>
              <w:top w:val="single" w:sz="4" w:space="0" w:color="auto"/>
              <w:left w:val="nil"/>
              <w:bottom w:val="single" w:sz="4" w:space="0" w:color="auto"/>
              <w:right w:val="nil"/>
            </w:tcBorders>
            <w:shd w:val="clear" w:color="auto" w:fill="auto"/>
            <w:noWrap/>
            <w:vAlign w:val="bottom"/>
            <w:hideMark/>
          </w:tcPr>
          <w:p w:rsidR="00961DC7" w:rsidRPr="0096648B" w:rsidRDefault="00961DC7" w:rsidP="00961DC7">
            <w:pPr>
              <w:spacing w:after="0"/>
              <w:jc w:val="left"/>
              <w:rPr>
                <w:bCs/>
                <w:color w:val="000000"/>
                <w:sz w:val="20"/>
                <w:szCs w:val="20"/>
              </w:rPr>
            </w:pPr>
            <w:r w:rsidRPr="0096648B">
              <w:rPr>
                <w:bCs/>
                <w:color w:val="000000"/>
                <w:sz w:val="20"/>
                <w:szCs w:val="20"/>
              </w:rPr>
              <w:t>Data Source:</w:t>
            </w:r>
          </w:p>
        </w:tc>
      </w:tr>
      <w:tr w:rsidR="00961DC7" w:rsidRPr="0096648B" w:rsidTr="00961DC7">
        <w:trPr>
          <w:trHeight w:val="300"/>
        </w:trPr>
        <w:tc>
          <w:tcPr>
            <w:tcW w:w="694" w:type="pct"/>
            <w:tcBorders>
              <w:top w:val="single" w:sz="4" w:space="0" w:color="auto"/>
              <w:left w:val="nil"/>
              <w:bottom w:val="nil"/>
              <w:right w:val="nil"/>
            </w:tcBorders>
            <w:shd w:val="clear" w:color="auto" w:fill="auto"/>
            <w:noWrap/>
            <w:vAlign w:val="bottom"/>
            <w:hideMark/>
          </w:tcPr>
          <w:p w:rsidR="00961DC7" w:rsidRPr="0096648B" w:rsidRDefault="00961DC7" w:rsidP="00961DC7">
            <w:pPr>
              <w:spacing w:after="0"/>
              <w:jc w:val="left"/>
              <w:rPr>
                <w:color w:val="000000"/>
                <w:sz w:val="20"/>
                <w:szCs w:val="20"/>
              </w:rPr>
            </w:pPr>
            <w:r w:rsidRPr="0096648B">
              <w:rPr>
                <w:color w:val="000000"/>
                <w:sz w:val="20"/>
                <w:szCs w:val="20"/>
              </w:rPr>
              <w:t>Situk River</w:t>
            </w:r>
          </w:p>
        </w:tc>
        <w:tc>
          <w:tcPr>
            <w:tcW w:w="378" w:type="pct"/>
            <w:tcBorders>
              <w:top w:val="single" w:sz="4" w:space="0" w:color="auto"/>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2004</w:t>
            </w:r>
          </w:p>
        </w:tc>
        <w:tc>
          <w:tcPr>
            <w:tcW w:w="725" w:type="pct"/>
            <w:tcBorders>
              <w:top w:val="single" w:sz="4" w:space="0" w:color="auto"/>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54,014</w:t>
            </w:r>
          </w:p>
        </w:tc>
        <w:tc>
          <w:tcPr>
            <w:tcW w:w="469" w:type="pct"/>
            <w:tcBorders>
              <w:top w:val="single" w:sz="4" w:space="0" w:color="auto"/>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17,000</w:t>
            </w:r>
          </w:p>
        </w:tc>
        <w:tc>
          <w:tcPr>
            <w:tcW w:w="810" w:type="pct"/>
            <w:tcBorders>
              <w:top w:val="single" w:sz="4" w:space="0" w:color="auto"/>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10,284</w:t>
            </w:r>
          </w:p>
        </w:tc>
        <w:tc>
          <w:tcPr>
            <w:tcW w:w="650" w:type="pct"/>
            <w:tcBorders>
              <w:top w:val="single" w:sz="4" w:space="0" w:color="auto"/>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5.3</w:t>
            </w:r>
          </w:p>
        </w:tc>
        <w:tc>
          <w:tcPr>
            <w:tcW w:w="1273" w:type="pct"/>
            <w:tcBorders>
              <w:top w:val="single" w:sz="4" w:space="0" w:color="auto"/>
              <w:left w:val="nil"/>
              <w:bottom w:val="nil"/>
              <w:right w:val="nil"/>
            </w:tcBorders>
            <w:shd w:val="clear" w:color="auto" w:fill="auto"/>
            <w:noWrap/>
            <w:vAlign w:val="bottom"/>
            <w:hideMark/>
          </w:tcPr>
          <w:p w:rsidR="00961DC7" w:rsidRPr="0096648B" w:rsidRDefault="00961DC7" w:rsidP="00961DC7">
            <w:pPr>
              <w:spacing w:after="0"/>
              <w:jc w:val="left"/>
              <w:rPr>
                <w:color w:val="000000"/>
                <w:sz w:val="20"/>
                <w:szCs w:val="20"/>
              </w:rPr>
            </w:pPr>
            <w:proofErr w:type="spellStart"/>
            <w:r w:rsidRPr="0096648B">
              <w:rPr>
                <w:color w:val="000000"/>
                <w:sz w:val="20"/>
                <w:szCs w:val="20"/>
              </w:rPr>
              <w:t>Waltemyer</w:t>
            </w:r>
            <w:proofErr w:type="spellEnd"/>
            <w:r w:rsidRPr="0096648B">
              <w:rPr>
                <w:color w:val="000000"/>
                <w:sz w:val="20"/>
                <w:szCs w:val="20"/>
              </w:rPr>
              <w:t xml:space="preserve"> et al. 2005</w:t>
            </w:r>
          </w:p>
        </w:tc>
      </w:tr>
      <w:tr w:rsidR="00961DC7" w:rsidRPr="0096648B" w:rsidTr="00961DC7">
        <w:trPr>
          <w:trHeight w:val="300"/>
        </w:trPr>
        <w:tc>
          <w:tcPr>
            <w:tcW w:w="694" w:type="pct"/>
            <w:tcBorders>
              <w:top w:val="nil"/>
              <w:left w:val="nil"/>
              <w:bottom w:val="nil"/>
              <w:right w:val="nil"/>
            </w:tcBorders>
            <w:shd w:val="clear" w:color="auto" w:fill="auto"/>
            <w:noWrap/>
            <w:vAlign w:val="bottom"/>
            <w:hideMark/>
          </w:tcPr>
          <w:p w:rsidR="00961DC7" w:rsidRPr="0096648B" w:rsidRDefault="00961DC7" w:rsidP="00961DC7">
            <w:pPr>
              <w:spacing w:after="0"/>
              <w:jc w:val="left"/>
              <w:rPr>
                <w:color w:val="000000"/>
                <w:sz w:val="20"/>
                <w:szCs w:val="20"/>
              </w:rPr>
            </w:pPr>
            <w:r w:rsidRPr="0096648B">
              <w:rPr>
                <w:color w:val="000000"/>
                <w:sz w:val="20"/>
                <w:szCs w:val="20"/>
              </w:rPr>
              <w:t>Situk River</w:t>
            </w:r>
          </w:p>
        </w:tc>
        <w:tc>
          <w:tcPr>
            <w:tcW w:w="378" w:type="pct"/>
            <w:tcBorders>
              <w:top w:val="nil"/>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2005</w:t>
            </w:r>
          </w:p>
        </w:tc>
        <w:tc>
          <w:tcPr>
            <w:tcW w:w="725" w:type="pct"/>
            <w:tcBorders>
              <w:top w:val="nil"/>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35,079</w:t>
            </w:r>
          </w:p>
        </w:tc>
        <w:tc>
          <w:tcPr>
            <w:tcW w:w="469" w:type="pct"/>
            <w:tcBorders>
              <w:top w:val="nil"/>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12,310</w:t>
            </w:r>
          </w:p>
        </w:tc>
        <w:tc>
          <w:tcPr>
            <w:tcW w:w="810" w:type="pct"/>
            <w:tcBorders>
              <w:top w:val="nil"/>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2,514</w:t>
            </w:r>
          </w:p>
        </w:tc>
        <w:tc>
          <w:tcPr>
            <w:tcW w:w="650" w:type="pct"/>
            <w:tcBorders>
              <w:top w:val="nil"/>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14.0</w:t>
            </w:r>
          </w:p>
        </w:tc>
        <w:tc>
          <w:tcPr>
            <w:tcW w:w="1273" w:type="pct"/>
            <w:tcBorders>
              <w:top w:val="nil"/>
              <w:left w:val="nil"/>
              <w:bottom w:val="nil"/>
              <w:right w:val="nil"/>
            </w:tcBorders>
            <w:shd w:val="clear" w:color="auto" w:fill="auto"/>
            <w:noWrap/>
            <w:vAlign w:val="bottom"/>
            <w:hideMark/>
          </w:tcPr>
          <w:p w:rsidR="00961DC7" w:rsidRPr="0096648B" w:rsidRDefault="00961DC7" w:rsidP="00961DC7">
            <w:pPr>
              <w:spacing w:after="0"/>
              <w:jc w:val="left"/>
              <w:rPr>
                <w:color w:val="000000"/>
                <w:sz w:val="20"/>
                <w:szCs w:val="20"/>
              </w:rPr>
            </w:pPr>
            <w:r w:rsidRPr="0096648B">
              <w:rPr>
                <w:color w:val="000000"/>
                <w:sz w:val="20"/>
                <w:szCs w:val="20"/>
              </w:rPr>
              <w:t>Eggers and Tracy 2007</w:t>
            </w:r>
          </w:p>
        </w:tc>
      </w:tr>
      <w:tr w:rsidR="00961DC7" w:rsidRPr="0096648B" w:rsidTr="00961DC7">
        <w:trPr>
          <w:trHeight w:val="300"/>
        </w:trPr>
        <w:tc>
          <w:tcPr>
            <w:tcW w:w="694" w:type="pct"/>
            <w:tcBorders>
              <w:top w:val="nil"/>
              <w:left w:val="nil"/>
              <w:bottom w:val="nil"/>
              <w:right w:val="nil"/>
            </w:tcBorders>
            <w:shd w:val="clear" w:color="auto" w:fill="auto"/>
            <w:noWrap/>
            <w:vAlign w:val="bottom"/>
            <w:hideMark/>
          </w:tcPr>
          <w:p w:rsidR="00961DC7" w:rsidRPr="0096648B" w:rsidRDefault="00961DC7" w:rsidP="00961DC7">
            <w:pPr>
              <w:spacing w:after="0"/>
              <w:jc w:val="left"/>
              <w:rPr>
                <w:color w:val="000000"/>
                <w:sz w:val="20"/>
                <w:szCs w:val="20"/>
              </w:rPr>
            </w:pPr>
            <w:r w:rsidRPr="0096648B">
              <w:rPr>
                <w:color w:val="000000"/>
                <w:sz w:val="20"/>
                <w:szCs w:val="20"/>
              </w:rPr>
              <w:t>Situk River</w:t>
            </w:r>
          </w:p>
        </w:tc>
        <w:tc>
          <w:tcPr>
            <w:tcW w:w="378" w:type="pct"/>
            <w:tcBorders>
              <w:top w:val="nil"/>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2006</w:t>
            </w:r>
          </w:p>
        </w:tc>
        <w:tc>
          <w:tcPr>
            <w:tcW w:w="725" w:type="pct"/>
            <w:tcBorders>
              <w:top w:val="nil"/>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24,804</w:t>
            </w:r>
          </w:p>
        </w:tc>
        <w:tc>
          <w:tcPr>
            <w:tcW w:w="469" w:type="pct"/>
            <w:tcBorders>
              <w:top w:val="nil"/>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8,582</w:t>
            </w:r>
          </w:p>
        </w:tc>
        <w:tc>
          <w:tcPr>
            <w:tcW w:w="810" w:type="pct"/>
            <w:tcBorders>
              <w:top w:val="nil"/>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7,951</w:t>
            </w:r>
          </w:p>
        </w:tc>
        <w:tc>
          <w:tcPr>
            <w:tcW w:w="650" w:type="pct"/>
            <w:tcBorders>
              <w:top w:val="nil"/>
              <w:left w:val="nil"/>
              <w:bottom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3.1</w:t>
            </w:r>
          </w:p>
        </w:tc>
        <w:tc>
          <w:tcPr>
            <w:tcW w:w="1273" w:type="pct"/>
            <w:tcBorders>
              <w:top w:val="nil"/>
              <w:left w:val="nil"/>
              <w:bottom w:val="nil"/>
              <w:right w:val="nil"/>
            </w:tcBorders>
            <w:shd w:val="clear" w:color="auto" w:fill="auto"/>
            <w:noWrap/>
            <w:vAlign w:val="bottom"/>
            <w:hideMark/>
          </w:tcPr>
          <w:p w:rsidR="00961DC7" w:rsidRPr="0096648B" w:rsidRDefault="00961DC7" w:rsidP="00961DC7">
            <w:pPr>
              <w:spacing w:after="0"/>
              <w:jc w:val="left"/>
              <w:rPr>
                <w:color w:val="000000"/>
                <w:sz w:val="20"/>
                <w:szCs w:val="20"/>
              </w:rPr>
            </w:pPr>
            <w:r w:rsidRPr="0096648B">
              <w:rPr>
                <w:color w:val="000000"/>
                <w:sz w:val="20"/>
                <w:szCs w:val="20"/>
              </w:rPr>
              <w:t>Eggers and Tracy 2007</w:t>
            </w:r>
          </w:p>
        </w:tc>
      </w:tr>
      <w:tr w:rsidR="00961DC7" w:rsidRPr="0096648B" w:rsidTr="00961DC7">
        <w:trPr>
          <w:trHeight w:val="300"/>
        </w:trPr>
        <w:tc>
          <w:tcPr>
            <w:tcW w:w="694" w:type="pct"/>
            <w:tcBorders>
              <w:top w:val="nil"/>
              <w:left w:val="nil"/>
              <w:right w:val="nil"/>
            </w:tcBorders>
            <w:shd w:val="clear" w:color="auto" w:fill="auto"/>
            <w:noWrap/>
            <w:vAlign w:val="bottom"/>
            <w:hideMark/>
          </w:tcPr>
          <w:p w:rsidR="00961DC7" w:rsidRPr="0096648B" w:rsidRDefault="00961DC7" w:rsidP="00961DC7">
            <w:pPr>
              <w:spacing w:after="0"/>
              <w:jc w:val="left"/>
              <w:rPr>
                <w:color w:val="000000"/>
                <w:sz w:val="20"/>
                <w:szCs w:val="20"/>
              </w:rPr>
            </w:pPr>
            <w:r w:rsidRPr="0096648B">
              <w:rPr>
                <w:color w:val="000000"/>
                <w:sz w:val="20"/>
                <w:szCs w:val="20"/>
              </w:rPr>
              <w:t>Lost River</w:t>
            </w:r>
          </w:p>
        </w:tc>
        <w:tc>
          <w:tcPr>
            <w:tcW w:w="378" w:type="pct"/>
            <w:tcBorders>
              <w:top w:val="nil"/>
              <w:left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2003</w:t>
            </w:r>
          </w:p>
        </w:tc>
        <w:tc>
          <w:tcPr>
            <w:tcW w:w="725" w:type="pct"/>
            <w:tcBorders>
              <w:top w:val="nil"/>
              <w:left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23,685</w:t>
            </w:r>
          </w:p>
        </w:tc>
        <w:tc>
          <w:tcPr>
            <w:tcW w:w="469" w:type="pct"/>
            <w:tcBorders>
              <w:top w:val="nil"/>
              <w:left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7,835</w:t>
            </w:r>
          </w:p>
        </w:tc>
        <w:tc>
          <w:tcPr>
            <w:tcW w:w="810" w:type="pct"/>
            <w:tcBorders>
              <w:top w:val="nil"/>
              <w:left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6,396</w:t>
            </w:r>
          </w:p>
        </w:tc>
        <w:tc>
          <w:tcPr>
            <w:tcW w:w="650" w:type="pct"/>
            <w:tcBorders>
              <w:top w:val="nil"/>
              <w:left w:val="nil"/>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3.7</w:t>
            </w:r>
          </w:p>
        </w:tc>
        <w:tc>
          <w:tcPr>
            <w:tcW w:w="1273" w:type="pct"/>
            <w:tcBorders>
              <w:top w:val="nil"/>
              <w:left w:val="nil"/>
              <w:right w:val="nil"/>
            </w:tcBorders>
            <w:shd w:val="clear" w:color="auto" w:fill="auto"/>
            <w:noWrap/>
            <w:vAlign w:val="bottom"/>
            <w:hideMark/>
          </w:tcPr>
          <w:p w:rsidR="00961DC7" w:rsidRPr="0096648B" w:rsidRDefault="00961DC7" w:rsidP="00961DC7">
            <w:pPr>
              <w:spacing w:after="0"/>
              <w:jc w:val="left"/>
              <w:rPr>
                <w:color w:val="000000"/>
                <w:sz w:val="20"/>
                <w:szCs w:val="20"/>
              </w:rPr>
            </w:pPr>
            <w:r w:rsidRPr="0096648B">
              <w:rPr>
                <w:color w:val="000000"/>
                <w:sz w:val="20"/>
                <w:szCs w:val="20"/>
              </w:rPr>
              <w:t>Clark et al. 2006</w:t>
            </w:r>
          </w:p>
        </w:tc>
      </w:tr>
      <w:tr w:rsidR="00961DC7" w:rsidRPr="0096648B" w:rsidTr="00961DC7">
        <w:trPr>
          <w:trHeight w:val="300"/>
        </w:trPr>
        <w:tc>
          <w:tcPr>
            <w:tcW w:w="694" w:type="pct"/>
            <w:tcBorders>
              <w:top w:val="nil"/>
              <w:left w:val="nil"/>
              <w:bottom w:val="single" w:sz="4" w:space="0" w:color="auto"/>
              <w:right w:val="nil"/>
            </w:tcBorders>
            <w:shd w:val="clear" w:color="auto" w:fill="auto"/>
            <w:noWrap/>
            <w:vAlign w:val="bottom"/>
            <w:hideMark/>
          </w:tcPr>
          <w:p w:rsidR="00961DC7" w:rsidRPr="0096648B" w:rsidRDefault="00961DC7" w:rsidP="00961DC7">
            <w:pPr>
              <w:spacing w:after="0"/>
              <w:jc w:val="left"/>
              <w:rPr>
                <w:color w:val="000000"/>
                <w:sz w:val="20"/>
                <w:szCs w:val="20"/>
              </w:rPr>
            </w:pPr>
            <w:r w:rsidRPr="0096648B">
              <w:rPr>
                <w:color w:val="000000"/>
                <w:sz w:val="20"/>
                <w:szCs w:val="20"/>
              </w:rPr>
              <w:t>Lost River</w:t>
            </w:r>
          </w:p>
        </w:tc>
        <w:tc>
          <w:tcPr>
            <w:tcW w:w="378" w:type="pct"/>
            <w:tcBorders>
              <w:top w:val="nil"/>
              <w:left w:val="nil"/>
              <w:bottom w:val="single" w:sz="4" w:space="0" w:color="auto"/>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2004</w:t>
            </w:r>
          </w:p>
        </w:tc>
        <w:tc>
          <w:tcPr>
            <w:tcW w:w="725" w:type="pct"/>
            <w:tcBorders>
              <w:top w:val="nil"/>
              <w:left w:val="nil"/>
              <w:bottom w:val="single" w:sz="4" w:space="0" w:color="auto"/>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47,566</w:t>
            </w:r>
          </w:p>
        </w:tc>
        <w:tc>
          <w:tcPr>
            <w:tcW w:w="469" w:type="pct"/>
            <w:tcBorders>
              <w:top w:val="nil"/>
              <w:left w:val="nil"/>
              <w:bottom w:val="single" w:sz="4" w:space="0" w:color="auto"/>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18,560</w:t>
            </w:r>
          </w:p>
        </w:tc>
        <w:tc>
          <w:tcPr>
            <w:tcW w:w="810" w:type="pct"/>
            <w:tcBorders>
              <w:top w:val="nil"/>
              <w:left w:val="nil"/>
              <w:bottom w:val="single" w:sz="4" w:space="0" w:color="auto"/>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5,047</w:t>
            </w:r>
          </w:p>
        </w:tc>
        <w:tc>
          <w:tcPr>
            <w:tcW w:w="650" w:type="pct"/>
            <w:tcBorders>
              <w:top w:val="nil"/>
              <w:left w:val="nil"/>
              <w:bottom w:val="single" w:sz="4" w:space="0" w:color="auto"/>
              <w:right w:val="nil"/>
            </w:tcBorders>
            <w:shd w:val="clear" w:color="auto" w:fill="auto"/>
            <w:noWrap/>
            <w:vAlign w:val="bottom"/>
            <w:hideMark/>
          </w:tcPr>
          <w:p w:rsidR="00961DC7" w:rsidRPr="0096648B" w:rsidRDefault="00961DC7" w:rsidP="00961DC7">
            <w:pPr>
              <w:spacing w:after="0"/>
              <w:jc w:val="center"/>
              <w:rPr>
                <w:color w:val="000000"/>
                <w:sz w:val="20"/>
                <w:szCs w:val="20"/>
              </w:rPr>
            </w:pPr>
            <w:r w:rsidRPr="0096648B">
              <w:rPr>
                <w:color w:val="000000"/>
                <w:sz w:val="20"/>
                <w:szCs w:val="20"/>
              </w:rPr>
              <w:t>9.4</w:t>
            </w:r>
          </w:p>
        </w:tc>
        <w:tc>
          <w:tcPr>
            <w:tcW w:w="1273" w:type="pct"/>
            <w:tcBorders>
              <w:top w:val="nil"/>
              <w:left w:val="nil"/>
              <w:bottom w:val="single" w:sz="4" w:space="0" w:color="auto"/>
              <w:right w:val="nil"/>
            </w:tcBorders>
            <w:shd w:val="clear" w:color="auto" w:fill="auto"/>
            <w:noWrap/>
            <w:vAlign w:val="bottom"/>
            <w:hideMark/>
          </w:tcPr>
          <w:p w:rsidR="00961DC7" w:rsidRPr="0096648B" w:rsidRDefault="00961DC7" w:rsidP="00961DC7">
            <w:pPr>
              <w:spacing w:after="0"/>
              <w:jc w:val="left"/>
              <w:rPr>
                <w:color w:val="000000"/>
                <w:sz w:val="20"/>
                <w:szCs w:val="20"/>
              </w:rPr>
            </w:pPr>
            <w:r w:rsidRPr="0096648B">
              <w:rPr>
                <w:color w:val="000000"/>
                <w:sz w:val="20"/>
                <w:szCs w:val="20"/>
              </w:rPr>
              <w:t>Clark et al. 2005</w:t>
            </w:r>
          </w:p>
        </w:tc>
      </w:tr>
      <w:tr w:rsidR="00961DC7" w:rsidRPr="0096648B" w:rsidTr="00961DC7">
        <w:trPr>
          <w:trHeight w:val="300"/>
        </w:trPr>
        <w:tc>
          <w:tcPr>
            <w:tcW w:w="694" w:type="pct"/>
            <w:tcBorders>
              <w:top w:val="single" w:sz="4" w:space="0" w:color="auto"/>
              <w:left w:val="nil"/>
              <w:bottom w:val="single" w:sz="4" w:space="0" w:color="auto"/>
              <w:right w:val="nil"/>
            </w:tcBorders>
            <w:shd w:val="clear" w:color="auto" w:fill="auto"/>
            <w:noWrap/>
            <w:vAlign w:val="bottom"/>
            <w:hideMark/>
          </w:tcPr>
          <w:p w:rsidR="00961DC7" w:rsidRPr="0096648B" w:rsidRDefault="00961DC7" w:rsidP="00961DC7">
            <w:pPr>
              <w:spacing w:after="0"/>
              <w:jc w:val="left"/>
              <w:rPr>
                <w:bCs/>
                <w:color w:val="000000"/>
                <w:sz w:val="20"/>
                <w:szCs w:val="20"/>
              </w:rPr>
            </w:pPr>
            <w:r w:rsidRPr="0096648B">
              <w:rPr>
                <w:bCs/>
                <w:color w:val="000000"/>
                <w:sz w:val="20"/>
                <w:szCs w:val="20"/>
              </w:rPr>
              <w:t>Median</w:t>
            </w:r>
          </w:p>
        </w:tc>
        <w:tc>
          <w:tcPr>
            <w:tcW w:w="378" w:type="pct"/>
            <w:tcBorders>
              <w:top w:val="single" w:sz="4" w:space="0" w:color="auto"/>
              <w:left w:val="nil"/>
              <w:bottom w:val="single" w:sz="4" w:space="0" w:color="auto"/>
              <w:right w:val="nil"/>
            </w:tcBorders>
            <w:shd w:val="clear" w:color="auto" w:fill="auto"/>
            <w:noWrap/>
            <w:vAlign w:val="bottom"/>
            <w:hideMark/>
          </w:tcPr>
          <w:p w:rsidR="00961DC7" w:rsidRPr="0096648B" w:rsidRDefault="00961DC7" w:rsidP="00961DC7">
            <w:pPr>
              <w:spacing w:after="0"/>
              <w:jc w:val="center"/>
              <w:rPr>
                <w:bCs/>
                <w:color w:val="000000"/>
                <w:sz w:val="20"/>
                <w:szCs w:val="20"/>
              </w:rPr>
            </w:pPr>
            <w:r w:rsidRPr="0096648B">
              <w:rPr>
                <w:bCs/>
                <w:color w:val="000000"/>
                <w:sz w:val="20"/>
                <w:szCs w:val="20"/>
              </w:rPr>
              <w:t> </w:t>
            </w:r>
          </w:p>
        </w:tc>
        <w:tc>
          <w:tcPr>
            <w:tcW w:w="725" w:type="pct"/>
            <w:tcBorders>
              <w:top w:val="single" w:sz="4" w:space="0" w:color="auto"/>
              <w:left w:val="nil"/>
              <w:bottom w:val="single" w:sz="4" w:space="0" w:color="auto"/>
              <w:right w:val="nil"/>
            </w:tcBorders>
            <w:shd w:val="clear" w:color="auto" w:fill="auto"/>
            <w:noWrap/>
            <w:vAlign w:val="bottom"/>
            <w:hideMark/>
          </w:tcPr>
          <w:p w:rsidR="00961DC7" w:rsidRPr="0096648B" w:rsidRDefault="00961DC7" w:rsidP="00961DC7">
            <w:pPr>
              <w:spacing w:after="0"/>
              <w:jc w:val="center"/>
              <w:rPr>
                <w:bCs/>
                <w:color w:val="000000"/>
                <w:sz w:val="20"/>
                <w:szCs w:val="20"/>
              </w:rPr>
            </w:pPr>
            <w:r w:rsidRPr="0096648B">
              <w:rPr>
                <w:bCs/>
                <w:color w:val="000000"/>
                <w:sz w:val="20"/>
                <w:szCs w:val="20"/>
              </w:rPr>
              <w:t> </w:t>
            </w:r>
          </w:p>
        </w:tc>
        <w:tc>
          <w:tcPr>
            <w:tcW w:w="469" w:type="pct"/>
            <w:tcBorders>
              <w:top w:val="single" w:sz="4" w:space="0" w:color="auto"/>
              <w:left w:val="nil"/>
              <w:bottom w:val="single" w:sz="4" w:space="0" w:color="auto"/>
              <w:right w:val="nil"/>
            </w:tcBorders>
            <w:shd w:val="clear" w:color="auto" w:fill="auto"/>
            <w:noWrap/>
            <w:vAlign w:val="bottom"/>
            <w:hideMark/>
          </w:tcPr>
          <w:p w:rsidR="00961DC7" w:rsidRPr="0096648B" w:rsidRDefault="00961DC7" w:rsidP="00961DC7">
            <w:pPr>
              <w:spacing w:after="0"/>
              <w:jc w:val="center"/>
              <w:rPr>
                <w:bCs/>
                <w:color w:val="000000"/>
                <w:sz w:val="20"/>
                <w:szCs w:val="20"/>
              </w:rPr>
            </w:pPr>
            <w:r w:rsidRPr="0096648B">
              <w:rPr>
                <w:bCs/>
                <w:color w:val="000000"/>
                <w:sz w:val="20"/>
                <w:szCs w:val="20"/>
              </w:rPr>
              <w:t> </w:t>
            </w:r>
          </w:p>
        </w:tc>
        <w:tc>
          <w:tcPr>
            <w:tcW w:w="810" w:type="pct"/>
            <w:tcBorders>
              <w:top w:val="single" w:sz="4" w:space="0" w:color="auto"/>
              <w:left w:val="nil"/>
              <w:bottom w:val="single" w:sz="4" w:space="0" w:color="auto"/>
              <w:right w:val="nil"/>
            </w:tcBorders>
            <w:shd w:val="clear" w:color="auto" w:fill="auto"/>
            <w:noWrap/>
            <w:vAlign w:val="bottom"/>
            <w:hideMark/>
          </w:tcPr>
          <w:p w:rsidR="00961DC7" w:rsidRPr="0096648B" w:rsidRDefault="00961DC7" w:rsidP="00961DC7">
            <w:pPr>
              <w:spacing w:after="0"/>
              <w:jc w:val="center"/>
              <w:rPr>
                <w:bCs/>
                <w:color w:val="000000"/>
                <w:sz w:val="20"/>
                <w:szCs w:val="20"/>
              </w:rPr>
            </w:pPr>
            <w:r w:rsidRPr="0096648B">
              <w:rPr>
                <w:bCs/>
                <w:color w:val="000000"/>
                <w:sz w:val="20"/>
                <w:szCs w:val="20"/>
              </w:rPr>
              <w:t> </w:t>
            </w:r>
          </w:p>
        </w:tc>
        <w:tc>
          <w:tcPr>
            <w:tcW w:w="650" w:type="pct"/>
            <w:tcBorders>
              <w:top w:val="single" w:sz="4" w:space="0" w:color="auto"/>
              <w:left w:val="nil"/>
              <w:bottom w:val="single" w:sz="4" w:space="0" w:color="auto"/>
              <w:right w:val="nil"/>
            </w:tcBorders>
            <w:shd w:val="clear" w:color="auto" w:fill="auto"/>
            <w:noWrap/>
            <w:vAlign w:val="bottom"/>
            <w:hideMark/>
          </w:tcPr>
          <w:p w:rsidR="00961DC7" w:rsidRPr="0096648B" w:rsidRDefault="00961DC7" w:rsidP="00961DC7">
            <w:pPr>
              <w:spacing w:after="0"/>
              <w:jc w:val="center"/>
              <w:rPr>
                <w:bCs/>
                <w:color w:val="000000"/>
                <w:sz w:val="20"/>
                <w:szCs w:val="20"/>
              </w:rPr>
            </w:pPr>
            <w:r w:rsidRPr="0096648B">
              <w:rPr>
                <w:bCs/>
                <w:color w:val="000000"/>
                <w:sz w:val="20"/>
                <w:szCs w:val="20"/>
              </w:rPr>
              <w:t>5.3</w:t>
            </w:r>
          </w:p>
        </w:tc>
        <w:tc>
          <w:tcPr>
            <w:tcW w:w="1273" w:type="pct"/>
            <w:tcBorders>
              <w:top w:val="single" w:sz="4" w:space="0" w:color="auto"/>
              <w:left w:val="nil"/>
              <w:bottom w:val="single" w:sz="4" w:space="0" w:color="auto"/>
              <w:right w:val="nil"/>
            </w:tcBorders>
            <w:shd w:val="clear" w:color="auto" w:fill="auto"/>
            <w:noWrap/>
            <w:vAlign w:val="bottom"/>
            <w:hideMark/>
          </w:tcPr>
          <w:p w:rsidR="00961DC7" w:rsidRPr="0096648B" w:rsidRDefault="00961DC7" w:rsidP="00961DC7">
            <w:pPr>
              <w:spacing w:after="0"/>
              <w:jc w:val="left"/>
              <w:rPr>
                <w:color w:val="000000"/>
                <w:sz w:val="20"/>
                <w:szCs w:val="20"/>
              </w:rPr>
            </w:pPr>
            <w:r w:rsidRPr="0096648B">
              <w:rPr>
                <w:color w:val="000000"/>
                <w:sz w:val="20"/>
                <w:szCs w:val="20"/>
              </w:rPr>
              <w:t> </w:t>
            </w:r>
          </w:p>
        </w:tc>
      </w:tr>
    </w:tbl>
    <w:p w:rsidR="00961DC7" w:rsidRDefault="00961DC7" w:rsidP="00961DC7"/>
    <w:p w:rsidR="00380821" w:rsidRPr="00380821" w:rsidRDefault="001C376E" w:rsidP="00A31997">
      <w:pPr>
        <w:pStyle w:val="Caption"/>
      </w:pPr>
      <w:r w:rsidRPr="005A75B9">
        <w:br w:type="page"/>
      </w:r>
      <w:bookmarkEnd w:id="9"/>
    </w:p>
    <w:sectPr w:rsidR="00380821" w:rsidRPr="00380821" w:rsidSect="00582B21">
      <w:pgSz w:w="12240" w:h="15840" w:code="1"/>
      <w:pgMar w:top="1440" w:right="1440" w:bottom="1440" w:left="1440" w:header="720" w:footer="547" w:gutter="0"/>
      <w:cols w:space="432"/>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DC7" w:rsidRDefault="00961DC7">
      <w:r>
        <w:separator/>
      </w:r>
    </w:p>
  </w:endnote>
  <w:endnote w:type="continuationSeparator" w:id="0">
    <w:p w:rsidR="00961DC7" w:rsidRDefault="00961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DC7" w:rsidRDefault="00961DC7" w:rsidP="002311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1DC7" w:rsidRDefault="00961D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DC7" w:rsidRPr="0046045F" w:rsidRDefault="00961DC7" w:rsidP="0010684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DC7" w:rsidRDefault="00961DC7">
    <w:pPr>
      <w:pStyle w:val="Footer"/>
      <w:jc w:val="center"/>
    </w:pPr>
    <w:r>
      <w:fldChar w:fldCharType="begin"/>
    </w:r>
    <w:r>
      <w:instrText xml:space="preserve"> PAGE   \* MERGEFORMAT </w:instrText>
    </w:r>
    <w:r>
      <w:fldChar w:fldCharType="separate"/>
    </w:r>
    <w:r w:rsidR="001E3F8A">
      <w:rPr>
        <w:noProof/>
      </w:rPr>
      <w:t>3</w:t>
    </w:r>
    <w:r>
      <w:rPr>
        <w:noProof/>
      </w:rPr>
      <w:fldChar w:fldCharType="end"/>
    </w:r>
  </w:p>
  <w:p w:rsidR="00961DC7" w:rsidRDefault="00961D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DC7" w:rsidRDefault="00961DC7">
      <w:r>
        <w:separator/>
      </w:r>
    </w:p>
  </w:footnote>
  <w:footnote w:type="continuationSeparator" w:id="0">
    <w:p w:rsidR="00961DC7" w:rsidRDefault="00961DC7">
      <w:r>
        <w:continuationSeparator/>
      </w:r>
    </w:p>
  </w:footnote>
  <w:footnote w:id="1">
    <w:p w:rsidR="00961DC7" w:rsidRDefault="00961DC7">
      <w:pPr>
        <w:pStyle w:val="FootnoteText"/>
      </w:pPr>
      <w:r>
        <w:rPr>
          <w:rStyle w:val="FootnoteReference"/>
        </w:rPr>
        <w:footnoteRef/>
      </w:r>
      <w:r>
        <w:t xml:space="preserve"> 2014 </w:t>
      </w:r>
      <w:proofErr w:type="spellStart"/>
      <w:r>
        <w:t>Klawock</w:t>
      </w:r>
      <w:proofErr w:type="spellEnd"/>
      <w:r>
        <w:t xml:space="preserve"> River Hatchery Annual Management Plan</w:t>
      </w:r>
      <w:r w:rsidRPr="00F97270">
        <w:t xml:space="preserve">, unpublished document </w:t>
      </w:r>
    </w:p>
    <w:p w:rsidR="00961DC7" w:rsidRDefault="00961DC7">
      <w:pPr>
        <w:pStyle w:val="FootnoteText"/>
      </w:pPr>
      <w:proofErr w:type="gramStart"/>
      <w:r w:rsidRPr="00F97270">
        <w:t>http://www.adfg.alaska.gov/index.cfm?adfg=fishingHatche</w:t>
      </w:r>
      <w:r>
        <w:t>riesPlanning.annual (Accessed 10</w:t>
      </w:r>
      <w:r w:rsidRPr="00F97270">
        <w:t>/</w:t>
      </w:r>
      <w:r>
        <w:t>2</w:t>
      </w:r>
      <w:r w:rsidRPr="00F97270">
        <w:t>7/2014).</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DC7" w:rsidRDefault="00961DC7">
    <w:pPr>
      <w:pStyle w:val="Header"/>
    </w:pPr>
    <w:r>
      <w:rPr>
        <w:noProof/>
      </w:rPr>
      <mc:AlternateContent>
        <mc:Choice Requires="wps">
          <w:drawing>
            <wp:anchor distT="0" distB="0" distL="114300" distR="114300" simplePos="0" relativeHeight="251659264" behindDoc="0" locked="0" layoutInCell="0" allowOverlap="1" wp14:anchorId="03CA49C6" wp14:editId="027CD918">
              <wp:simplePos x="0" y="0"/>
              <wp:positionH relativeFrom="leftMargin">
                <wp:align>left</wp:align>
              </wp:positionH>
              <wp:positionV relativeFrom="margin">
                <wp:align>center</wp:align>
              </wp:positionV>
              <wp:extent cx="727710" cy="32956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DC7" w:rsidRDefault="00961DC7" w:rsidP="00582B21">
                          <w:pPr>
                            <w:jc w:val="right"/>
                          </w:pPr>
                          <w:r>
                            <w:fldChar w:fldCharType="begin"/>
                          </w:r>
                          <w:r>
                            <w:instrText xml:space="preserve"> PAGE   \* MERGEFORMAT </w:instrText>
                          </w:r>
                          <w:r>
                            <w:fldChar w:fldCharType="separate"/>
                          </w:r>
                          <w:r w:rsidR="001E3F8A">
                            <w:rPr>
                              <w:noProof/>
                            </w:rPr>
                            <w:t>2</w:t>
                          </w:r>
                          <w:r>
                            <w:rPr>
                              <w:noProof/>
                            </w:rPr>
                            <w:fldChar w:fldCharType="end"/>
                          </w:r>
                        </w:p>
                      </w:txbxContent>
                    </wps:txbx>
                    <wps:bodyPr rot="0" vert="vert"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id="Rectangle 4" o:spid="_x0000_s1027" style="position:absolute;left:0;text-align:left;margin-left:0;margin-top:0;width:57.3pt;height:25.95pt;z-index:251659264;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" o:allowincell="f" stroked="f">
              <v:textbox style="layout-flow:vertical">
                <w:txbxContent>
                  <w:p w:rsidR="00961DC7" w:rsidRDefault="00961DC7" w:rsidP="00582B21">
                    <w:pPr>
                      <w:jc w:val="right"/>
                    </w:pPr>
                    <w:r>
                      <w:fldChar w:fldCharType="begin"/>
                    </w:r>
                    <w:r>
                      <w:instrText xml:space="preserve"> PAGE   \* MERGEFORMAT </w:instrText>
                    </w:r>
                    <w:r>
                      <w:fldChar w:fldCharType="separate"/>
                    </w:r>
                    <w:r w:rsidR="001E3F8A">
                      <w:rPr>
                        <w:noProof/>
                      </w:rPr>
                      <w:t>2</w:t>
                    </w:r>
                    <w:r>
                      <w:rPr>
                        <w:noProof/>
                      </w:rPr>
                      <w:fldChar w:fldCharType="end"/>
                    </w:r>
                  </w:p>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DC7" w:rsidRDefault="00961D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1DA7"/>
    <w:multiLevelType w:val="hybridMultilevel"/>
    <w:tmpl w:val="6652C6B6"/>
    <w:lvl w:ilvl="0" w:tplc="41024DE2">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E26D2"/>
    <w:multiLevelType w:val="hybridMultilevel"/>
    <w:tmpl w:val="ECA8A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F4271"/>
    <w:multiLevelType w:val="hybridMultilevel"/>
    <w:tmpl w:val="4CBE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207CD"/>
    <w:multiLevelType w:val="hybridMultilevel"/>
    <w:tmpl w:val="F4BE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EA6EF9"/>
    <w:multiLevelType w:val="hybridMultilevel"/>
    <w:tmpl w:val="165A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56C2C"/>
    <w:multiLevelType w:val="hybridMultilevel"/>
    <w:tmpl w:val="5DB0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E3A62"/>
    <w:multiLevelType w:val="hybridMultilevel"/>
    <w:tmpl w:val="F0A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8119BA"/>
    <w:multiLevelType w:val="hybridMultilevel"/>
    <w:tmpl w:val="2F7A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E1158"/>
    <w:multiLevelType w:val="multilevel"/>
    <w:tmpl w:val="20689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34242D"/>
    <w:multiLevelType w:val="hybridMultilevel"/>
    <w:tmpl w:val="1126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3F6048A"/>
    <w:multiLevelType w:val="hybridMultilevel"/>
    <w:tmpl w:val="B63E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11"/>
  </w:num>
  <w:num w:numId="5">
    <w:abstractNumId w:val="5"/>
  </w:num>
  <w:num w:numId="6">
    <w:abstractNumId w:val="3"/>
  </w:num>
  <w:num w:numId="7">
    <w:abstractNumId w:val="6"/>
  </w:num>
  <w:num w:numId="8">
    <w:abstractNumId w:val="0"/>
  </w:num>
  <w:num w:numId="9">
    <w:abstractNumId w:val="7"/>
  </w:num>
  <w:num w:numId="10">
    <w:abstractNumId w:val="2"/>
  </w:num>
  <w:num w:numId="11">
    <w:abstractNumId w:val="8"/>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7" w:nlCheck="1" w:checkStyle="1"/>
  <w:activeWritingStyle w:appName="MSWord" w:lang="en-US"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4E258D"/>
    <w:rsid w:val="00001A33"/>
    <w:rsid w:val="00002217"/>
    <w:rsid w:val="0000342C"/>
    <w:rsid w:val="00003F9F"/>
    <w:rsid w:val="000049B0"/>
    <w:rsid w:val="00005AE2"/>
    <w:rsid w:val="00005F1D"/>
    <w:rsid w:val="0001154A"/>
    <w:rsid w:val="00015F93"/>
    <w:rsid w:val="000214B5"/>
    <w:rsid w:val="00024D44"/>
    <w:rsid w:val="000270DE"/>
    <w:rsid w:val="000319BA"/>
    <w:rsid w:val="00035A00"/>
    <w:rsid w:val="0003655A"/>
    <w:rsid w:val="000370BE"/>
    <w:rsid w:val="000373EE"/>
    <w:rsid w:val="00041751"/>
    <w:rsid w:val="00041F7D"/>
    <w:rsid w:val="00042CC3"/>
    <w:rsid w:val="00045441"/>
    <w:rsid w:val="0004779C"/>
    <w:rsid w:val="00047ABE"/>
    <w:rsid w:val="00051A8E"/>
    <w:rsid w:val="000520FA"/>
    <w:rsid w:val="0005286E"/>
    <w:rsid w:val="00054576"/>
    <w:rsid w:val="000547C8"/>
    <w:rsid w:val="0005605D"/>
    <w:rsid w:val="000562BD"/>
    <w:rsid w:val="000619C2"/>
    <w:rsid w:val="00065CD6"/>
    <w:rsid w:val="00071320"/>
    <w:rsid w:val="0007357A"/>
    <w:rsid w:val="00076254"/>
    <w:rsid w:val="00090215"/>
    <w:rsid w:val="00092281"/>
    <w:rsid w:val="000933B6"/>
    <w:rsid w:val="00094390"/>
    <w:rsid w:val="00094778"/>
    <w:rsid w:val="00095E8C"/>
    <w:rsid w:val="00095EF9"/>
    <w:rsid w:val="00097E84"/>
    <w:rsid w:val="000A0C14"/>
    <w:rsid w:val="000A167D"/>
    <w:rsid w:val="000A3965"/>
    <w:rsid w:val="000A3EF3"/>
    <w:rsid w:val="000A51AF"/>
    <w:rsid w:val="000B0A25"/>
    <w:rsid w:val="000B10B3"/>
    <w:rsid w:val="000B1498"/>
    <w:rsid w:val="000B186B"/>
    <w:rsid w:val="000B33FA"/>
    <w:rsid w:val="000B42E0"/>
    <w:rsid w:val="000B7093"/>
    <w:rsid w:val="000B79D7"/>
    <w:rsid w:val="000C1656"/>
    <w:rsid w:val="000C1AEB"/>
    <w:rsid w:val="000C77D8"/>
    <w:rsid w:val="000C7883"/>
    <w:rsid w:val="000D0FB3"/>
    <w:rsid w:val="000D54DA"/>
    <w:rsid w:val="000D5F9F"/>
    <w:rsid w:val="000D6EDB"/>
    <w:rsid w:val="000D6FF4"/>
    <w:rsid w:val="000E0C21"/>
    <w:rsid w:val="000E273A"/>
    <w:rsid w:val="000E47A3"/>
    <w:rsid w:val="000E4CEE"/>
    <w:rsid w:val="000E66B7"/>
    <w:rsid w:val="000F218B"/>
    <w:rsid w:val="000F2443"/>
    <w:rsid w:val="000F2D6E"/>
    <w:rsid w:val="000F4FB8"/>
    <w:rsid w:val="000F616C"/>
    <w:rsid w:val="000F71E5"/>
    <w:rsid w:val="000F7FBD"/>
    <w:rsid w:val="00100A60"/>
    <w:rsid w:val="00100FE4"/>
    <w:rsid w:val="00101AA3"/>
    <w:rsid w:val="00102695"/>
    <w:rsid w:val="001057D5"/>
    <w:rsid w:val="00106844"/>
    <w:rsid w:val="00112E8E"/>
    <w:rsid w:val="00113167"/>
    <w:rsid w:val="001151DA"/>
    <w:rsid w:val="00116029"/>
    <w:rsid w:val="00116898"/>
    <w:rsid w:val="001229B4"/>
    <w:rsid w:val="00124249"/>
    <w:rsid w:val="0013531D"/>
    <w:rsid w:val="001377F8"/>
    <w:rsid w:val="00142690"/>
    <w:rsid w:val="001504AE"/>
    <w:rsid w:val="00154FE0"/>
    <w:rsid w:val="0015605F"/>
    <w:rsid w:val="00170505"/>
    <w:rsid w:val="001709EA"/>
    <w:rsid w:val="00172BDD"/>
    <w:rsid w:val="001732EE"/>
    <w:rsid w:val="0017362E"/>
    <w:rsid w:val="00174DF8"/>
    <w:rsid w:val="00175B2C"/>
    <w:rsid w:val="00176E7B"/>
    <w:rsid w:val="001774EF"/>
    <w:rsid w:val="00182375"/>
    <w:rsid w:val="0018648D"/>
    <w:rsid w:val="00187439"/>
    <w:rsid w:val="00190338"/>
    <w:rsid w:val="00195A28"/>
    <w:rsid w:val="00196CE3"/>
    <w:rsid w:val="001A0660"/>
    <w:rsid w:val="001A2AE3"/>
    <w:rsid w:val="001A4BB4"/>
    <w:rsid w:val="001A4CC6"/>
    <w:rsid w:val="001A6B5B"/>
    <w:rsid w:val="001B0925"/>
    <w:rsid w:val="001B380A"/>
    <w:rsid w:val="001B4437"/>
    <w:rsid w:val="001B5F0A"/>
    <w:rsid w:val="001B6FD8"/>
    <w:rsid w:val="001B7D4B"/>
    <w:rsid w:val="001C1E16"/>
    <w:rsid w:val="001C376E"/>
    <w:rsid w:val="001C4935"/>
    <w:rsid w:val="001C4BDB"/>
    <w:rsid w:val="001C5EBC"/>
    <w:rsid w:val="001C7E1B"/>
    <w:rsid w:val="001D004D"/>
    <w:rsid w:val="001D64B7"/>
    <w:rsid w:val="001E1B90"/>
    <w:rsid w:val="001E20A8"/>
    <w:rsid w:val="001E3F8A"/>
    <w:rsid w:val="001E4428"/>
    <w:rsid w:val="001E4837"/>
    <w:rsid w:val="001E4B26"/>
    <w:rsid w:val="001E5209"/>
    <w:rsid w:val="001E696B"/>
    <w:rsid w:val="001F0B8B"/>
    <w:rsid w:val="001F1A8D"/>
    <w:rsid w:val="001F6300"/>
    <w:rsid w:val="0020002F"/>
    <w:rsid w:val="0020077B"/>
    <w:rsid w:val="00203AF1"/>
    <w:rsid w:val="0020733C"/>
    <w:rsid w:val="0021061F"/>
    <w:rsid w:val="002118CE"/>
    <w:rsid w:val="00216CB0"/>
    <w:rsid w:val="002203D0"/>
    <w:rsid w:val="002214F5"/>
    <w:rsid w:val="00226797"/>
    <w:rsid w:val="002311E4"/>
    <w:rsid w:val="00231459"/>
    <w:rsid w:val="00234B71"/>
    <w:rsid w:val="002354C6"/>
    <w:rsid w:val="002402A8"/>
    <w:rsid w:val="00246B44"/>
    <w:rsid w:val="00247D77"/>
    <w:rsid w:val="00247E80"/>
    <w:rsid w:val="00250D37"/>
    <w:rsid w:val="00252BA8"/>
    <w:rsid w:val="00255501"/>
    <w:rsid w:val="002579CA"/>
    <w:rsid w:val="00261402"/>
    <w:rsid w:val="00262A04"/>
    <w:rsid w:val="002657AC"/>
    <w:rsid w:val="00267C43"/>
    <w:rsid w:val="00270BCC"/>
    <w:rsid w:val="0027181D"/>
    <w:rsid w:val="00271AF0"/>
    <w:rsid w:val="002732F0"/>
    <w:rsid w:val="00273E7B"/>
    <w:rsid w:val="0027604C"/>
    <w:rsid w:val="0027683E"/>
    <w:rsid w:val="00276B6E"/>
    <w:rsid w:val="00276ECE"/>
    <w:rsid w:val="00276F79"/>
    <w:rsid w:val="00281C15"/>
    <w:rsid w:val="002829D6"/>
    <w:rsid w:val="002846B5"/>
    <w:rsid w:val="002921BC"/>
    <w:rsid w:val="00293AEA"/>
    <w:rsid w:val="002955F4"/>
    <w:rsid w:val="002A0AEE"/>
    <w:rsid w:val="002A2E23"/>
    <w:rsid w:val="002A5C44"/>
    <w:rsid w:val="002A6604"/>
    <w:rsid w:val="002B420A"/>
    <w:rsid w:val="002B5955"/>
    <w:rsid w:val="002B6F29"/>
    <w:rsid w:val="002C6169"/>
    <w:rsid w:val="002C74EA"/>
    <w:rsid w:val="002C766D"/>
    <w:rsid w:val="002D1618"/>
    <w:rsid w:val="002D1D35"/>
    <w:rsid w:val="002D2A54"/>
    <w:rsid w:val="002D3082"/>
    <w:rsid w:val="002D4FC8"/>
    <w:rsid w:val="002E0B3C"/>
    <w:rsid w:val="002E1525"/>
    <w:rsid w:val="002E2699"/>
    <w:rsid w:val="002E375B"/>
    <w:rsid w:val="002E78D6"/>
    <w:rsid w:val="002E79E5"/>
    <w:rsid w:val="002F14A9"/>
    <w:rsid w:val="002F4677"/>
    <w:rsid w:val="002F6139"/>
    <w:rsid w:val="00301C59"/>
    <w:rsid w:val="0030331F"/>
    <w:rsid w:val="00304067"/>
    <w:rsid w:val="0030475E"/>
    <w:rsid w:val="0030476A"/>
    <w:rsid w:val="0030572C"/>
    <w:rsid w:val="00305F61"/>
    <w:rsid w:val="003067E5"/>
    <w:rsid w:val="0031345B"/>
    <w:rsid w:val="00313756"/>
    <w:rsid w:val="00313A21"/>
    <w:rsid w:val="00315E36"/>
    <w:rsid w:val="003163AB"/>
    <w:rsid w:val="00320A15"/>
    <w:rsid w:val="00322D23"/>
    <w:rsid w:val="003239D6"/>
    <w:rsid w:val="00324442"/>
    <w:rsid w:val="00325689"/>
    <w:rsid w:val="00326865"/>
    <w:rsid w:val="00326AE4"/>
    <w:rsid w:val="0033170A"/>
    <w:rsid w:val="00332C78"/>
    <w:rsid w:val="00333874"/>
    <w:rsid w:val="003339D1"/>
    <w:rsid w:val="0034055A"/>
    <w:rsid w:val="0034321B"/>
    <w:rsid w:val="00343AB1"/>
    <w:rsid w:val="0034530E"/>
    <w:rsid w:val="0034635F"/>
    <w:rsid w:val="0035240B"/>
    <w:rsid w:val="003545C1"/>
    <w:rsid w:val="003618EE"/>
    <w:rsid w:val="003619A4"/>
    <w:rsid w:val="00367F5A"/>
    <w:rsid w:val="0037059E"/>
    <w:rsid w:val="00370D86"/>
    <w:rsid w:val="003765B6"/>
    <w:rsid w:val="00376847"/>
    <w:rsid w:val="00377BE8"/>
    <w:rsid w:val="003801C3"/>
    <w:rsid w:val="00380821"/>
    <w:rsid w:val="003835EA"/>
    <w:rsid w:val="003854AB"/>
    <w:rsid w:val="00385A01"/>
    <w:rsid w:val="00386A91"/>
    <w:rsid w:val="00390E17"/>
    <w:rsid w:val="003923F2"/>
    <w:rsid w:val="00395CB7"/>
    <w:rsid w:val="00396ED1"/>
    <w:rsid w:val="003975F0"/>
    <w:rsid w:val="003979B9"/>
    <w:rsid w:val="003A2A32"/>
    <w:rsid w:val="003A49C1"/>
    <w:rsid w:val="003A60B2"/>
    <w:rsid w:val="003A69F9"/>
    <w:rsid w:val="003B0BD7"/>
    <w:rsid w:val="003B12AF"/>
    <w:rsid w:val="003B226B"/>
    <w:rsid w:val="003B2F65"/>
    <w:rsid w:val="003B33E4"/>
    <w:rsid w:val="003C33F1"/>
    <w:rsid w:val="003D2835"/>
    <w:rsid w:val="003D3B4A"/>
    <w:rsid w:val="003D50F5"/>
    <w:rsid w:val="003D557E"/>
    <w:rsid w:val="003F000D"/>
    <w:rsid w:val="003F5A54"/>
    <w:rsid w:val="003F6B11"/>
    <w:rsid w:val="00403B91"/>
    <w:rsid w:val="0040427F"/>
    <w:rsid w:val="004047B1"/>
    <w:rsid w:val="004054E8"/>
    <w:rsid w:val="004055DE"/>
    <w:rsid w:val="004113E1"/>
    <w:rsid w:val="004120F7"/>
    <w:rsid w:val="00420504"/>
    <w:rsid w:val="004214E7"/>
    <w:rsid w:val="00421E4F"/>
    <w:rsid w:val="004236AA"/>
    <w:rsid w:val="0043021C"/>
    <w:rsid w:val="004312AB"/>
    <w:rsid w:val="00432D70"/>
    <w:rsid w:val="0043791E"/>
    <w:rsid w:val="00440322"/>
    <w:rsid w:val="004434DC"/>
    <w:rsid w:val="004449D5"/>
    <w:rsid w:val="00447FB1"/>
    <w:rsid w:val="00455859"/>
    <w:rsid w:val="004571B9"/>
    <w:rsid w:val="00457E30"/>
    <w:rsid w:val="0046037E"/>
    <w:rsid w:val="0046128A"/>
    <w:rsid w:val="00462DD6"/>
    <w:rsid w:val="00463375"/>
    <w:rsid w:val="00465E05"/>
    <w:rsid w:val="0046657A"/>
    <w:rsid w:val="00472C54"/>
    <w:rsid w:val="00473F8E"/>
    <w:rsid w:val="0047622A"/>
    <w:rsid w:val="004807C8"/>
    <w:rsid w:val="004808BE"/>
    <w:rsid w:val="00484569"/>
    <w:rsid w:val="0048478C"/>
    <w:rsid w:val="004850EC"/>
    <w:rsid w:val="00485D33"/>
    <w:rsid w:val="0048611A"/>
    <w:rsid w:val="00487EB6"/>
    <w:rsid w:val="00490630"/>
    <w:rsid w:val="00490FE1"/>
    <w:rsid w:val="0049183A"/>
    <w:rsid w:val="0049190B"/>
    <w:rsid w:val="0049266B"/>
    <w:rsid w:val="00493CA7"/>
    <w:rsid w:val="00494CF4"/>
    <w:rsid w:val="0049647C"/>
    <w:rsid w:val="00496872"/>
    <w:rsid w:val="004A1746"/>
    <w:rsid w:val="004A3D7F"/>
    <w:rsid w:val="004A6F81"/>
    <w:rsid w:val="004A7DE3"/>
    <w:rsid w:val="004B057C"/>
    <w:rsid w:val="004B0B0A"/>
    <w:rsid w:val="004B1622"/>
    <w:rsid w:val="004B32A3"/>
    <w:rsid w:val="004B561B"/>
    <w:rsid w:val="004B69CF"/>
    <w:rsid w:val="004C3653"/>
    <w:rsid w:val="004C72E0"/>
    <w:rsid w:val="004C7D2A"/>
    <w:rsid w:val="004D2D7B"/>
    <w:rsid w:val="004D426C"/>
    <w:rsid w:val="004D6431"/>
    <w:rsid w:val="004D661F"/>
    <w:rsid w:val="004E0661"/>
    <w:rsid w:val="004E258D"/>
    <w:rsid w:val="004E760C"/>
    <w:rsid w:val="004F15C8"/>
    <w:rsid w:val="004F1BCC"/>
    <w:rsid w:val="004F596D"/>
    <w:rsid w:val="005154CB"/>
    <w:rsid w:val="00516CAA"/>
    <w:rsid w:val="00522D3D"/>
    <w:rsid w:val="0052301C"/>
    <w:rsid w:val="005231BA"/>
    <w:rsid w:val="00523EBB"/>
    <w:rsid w:val="005244CF"/>
    <w:rsid w:val="00526E47"/>
    <w:rsid w:val="00530ABD"/>
    <w:rsid w:val="00533E24"/>
    <w:rsid w:val="00534CD2"/>
    <w:rsid w:val="00535047"/>
    <w:rsid w:val="00535C07"/>
    <w:rsid w:val="00537AA0"/>
    <w:rsid w:val="00540CFC"/>
    <w:rsid w:val="005411FA"/>
    <w:rsid w:val="005414F6"/>
    <w:rsid w:val="005425E1"/>
    <w:rsid w:val="00545081"/>
    <w:rsid w:val="00546225"/>
    <w:rsid w:val="005467E4"/>
    <w:rsid w:val="00550511"/>
    <w:rsid w:val="005523FA"/>
    <w:rsid w:val="00555E92"/>
    <w:rsid w:val="00556419"/>
    <w:rsid w:val="00556AD1"/>
    <w:rsid w:val="00557408"/>
    <w:rsid w:val="005574ED"/>
    <w:rsid w:val="00557E8D"/>
    <w:rsid w:val="00565217"/>
    <w:rsid w:val="00565989"/>
    <w:rsid w:val="00570C99"/>
    <w:rsid w:val="00571630"/>
    <w:rsid w:val="00571957"/>
    <w:rsid w:val="00572002"/>
    <w:rsid w:val="005748FC"/>
    <w:rsid w:val="00577885"/>
    <w:rsid w:val="0058159A"/>
    <w:rsid w:val="00582587"/>
    <w:rsid w:val="00582B21"/>
    <w:rsid w:val="00582B4C"/>
    <w:rsid w:val="0058652E"/>
    <w:rsid w:val="0059011A"/>
    <w:rsid w:val="00590296"/>
    <w:rsid w:val="00590337"/>
    <w:rsid w:val="005920BB"/>
    <w:rsid w:val="00592E83"/>
    <w:rsid w:val="005968BB"/>
    <w:rsid w:val="00597141"/>
    <w:rsid w:val="005977DD"/>
    <w:rsid w:val="005A028D"/>
    <w:rsid w:val="005A5F3C"/>
    <w:rsid w:val="005A6104"/>
    <w:rsid w:val="005A75B9"/>
    <w:rsid w:val="005A7EAB"/>
    <w:rsid w:val="005B04E2"/>
    <w:rsid w:val="005B1E79"/>
    <w:rsid w:val="005C05BD"/>
    <w:rsid w:val="005C2263"/>
    <w:rsid w:val="005C3FF9"/>
    <w:rsid w:val="005C752D"/>
    <w:rsid w:val="005D186B"/>
    <w:rsid w:val="005D1C16"/>
    <w:rsid w:val="005D1CE3"/>
    <w:rsid w:val="005D3160"/>
    <w:rsid w:val="005D52E7"/>
    <w:rsid w:val="005D5E81"/>
    <w:rsid w:val="005D7974"/>
    <w:rsid w:val="005E0B2F"/>
    <w:rsid w:val="005E3A49"/>
    <w:rsid w:val="005E4DE6"/>
    <w:rsid w:val="005E7693"/>
    <w:rsid w:val="005F66B7"/>
    <w:rsid w:val="00605281"/>
    <w:rsid w:val="00605AB3"/>
    <w:rsid w:val="00605C04"/>
    <w:rsid w:val="0061073D"/>
    <w:rsid w:val="006228C6"/>
    <w:rsid w:val="00625921"/>
    <w:rsid w:val="00627D1A"/>
    <w:rsid w:val="00631103"/>
    <w:rsid w:val="00633628"/>
    <w:rsid w:val="00635620"/>
    <w:rsid w:val="00640792"/>
    <w:rsid w:val="00641D5A"/>
    <w:rsid w:val="00644F84"/>
    <w:rsid w:val="00650599"/>
    <w:rsid w:val="006545A6"/>
    <w:rsid w:val="0066084C"/>
    <w:rsid w:val="00660BDA"/>
    <w:rsid w:val="00666080"/>
    <w:rsid w:val="006703A2"/>
    <w:rsid w:val="00673A8A"/>
    <w:rsid w:val="006760BC"/>
    <w:rsid w:val="006800E1"/>
    <w:rsid w:val="006817EB"/>
    <w:rsid w:val="006841F5"/>
    <w:rsid w:val="006848DD"/>
    <w:rsid w:val="006918AC"/>
    <w:rsid w:val="00691A8C"/>
    <w:rsid w:val="00691EC1"/>
    <w:rsid w:val="00692E47"/>
    <w:rsid w:val="006A1829"/>
    <w:rsid w:val="006A3848"/>
    <w:rsid w:val="006A3C7D"/>
    <w:rsid w:val="006A5CA6"/>
    <w:rsid w:val="006B02C8"/>
    <w:rsid w:val="006B17C7"/>
    <w:rsid w:val="006B606F"/>
    <w:rsid w:val="006B6088"/>
    <w:rsid w:val="006C052F"/>
    <w:rsid w:val="006C0E96"/>
    <w:rsid w:val="006C31F9"/>
    <w:rsid w:val="006C3E69"/>
    <w:rsid w:val="006C6A3B"/>
    <w:rsid w:val="006D2147"/>
    <w:rsid w:val="006D26F7"/>
    <w:rsid w:val="006D48D0"/>
    <w:rsid w:val="006D51F1"/>
    <w:rsid w:val="006D5F73"/>
    <w:rsid w:val="006D6960"/>
    <w:rsid w:val="006E08B7"/>
    <w:rsid w:val="006E1BE7"/>
    <w:rsid w:val="006E68B9"/>
    <w:rsid w:val="006E6DD6"/>
    <w:rsid w:val="006F055C"/>
    <w:rsid w:val="006F46DC"/>
    <w:rsid w:val="006F4978"/>
    <w:rsid w:val="006F4F69"/>
    <w:rsid w:val="006F5700"/>
    <w:rsid w:val="006F7540"/>
    <w:rsid w:val="007037DB"/>
    <w:rsid w:val="007043F0"/>
    <w:rsid w:val="00705599"/>
    <w:rsid w:val="007057D1"/>
    <w:rsid w:val="00705A74"/>
    <w:rsid w:val="00707262"/>
    <w:rsid w:val="00711CE8"/>
    <w:rsid w:val="00712FBC"/>
    <w:rsid w:val="007145CE"/>
    <w:rsid w:val="007226D2"/>
    <w:rsid w:val="007248B7"/>
    <w:rsid w:val="00727B53"/>
    <w:rsid w:val="0073206F"/>
    <w:rsid w:val="007320B6"/>
    <w:rsid w:val="00732A9E"/>
    <w:rsid w:val="0073447C"/>
    <w:rsid w:val="00734CA7"/>
    <w:rsid w:val="00736EDD"/>
    <w:rsid w:val="00737942"/>
    <w:rsid w:val="007402FF"/>
    <w:rsid w:val="00740313"/>
    <w:rsid w:val="0074124A"/>
    <w:rsid w:val="00746DD2"/>
    <w:rsid w:val="00753F39"/>
    <w:rsid w:val="00761D2B"/>
    <w:rsid w:val="0076377D"/>
    <w:rsid w:val="00771E35"/>
    <w:rsid w:val="00772173"/>
    <w:rsid w:val="00773809"/>
    <w:rsid w:val="00773C6E"/>
    <w:rsid w:val="0077447C"/>
    <w:rsid w:val="00774689"/>
    <w:rsid w:val="0077482F"/>
    <w:rsid w:val="00774971"/>
    <w:rsid w:val="00776F01"/>
    <w:rsid w:val="007805A9"/>
    <w:rsid w:val="00781A79"/>
    <w:rsid w:val="007820E3"/>
    <w:rsid w:val="007824B9"/>
    <w:rsid w:val="00783350"/>
    <w:rsid w:val="00783425"/>
    <w:rsid w:val="00784B21"/>
    <w:rsid w:val="007852BA"/>
    <w:rsid w:val="00785EDE"/>
    <w:rsid w:val="007923F4"/>
    <w:rsid w:val="007925CB"/>
    <w:rsid w:val="00795BE1"/>
    <w:rsid w:val="00796C48"/>
    <w:rsid w:val="0079713F"/>
    <w:rsid w:val="00797417"/>
    <w:rsid w:val="007974BF"/>
    <w:rsid w:val="00797B49"/>
    <w:rsid w:val="007A189C"/>
    <w:rsid w:val="007A33A3"/>
    <w:rsid w:val="007A4682"/>
    <w:rsid w:val="007A5F31"/>
    <w:rsid w:val="007A6A07"/>
    <w:rsid w:val="007B49CE"/>
    <w:rsid w:val="007B4B8F"/>
    <w:rsid w:val="007C177B"/>
    <w:rsid w:val="007D0AF1"/>
    <w:rsid w:val="007D4FF8"/>
    <w:rsid w:val="007D765F"/>
    <w:rsid w:val="007E03F2"/>
    <w:rsid w:val="007E1478"/>
    <w:rsid w:val="007E1CA2"/>
    <w:rsid w:val="007E22D6"/>
    <w:rsid w:val="007E4F62"/>
    <w:rsid w:val="007E6444"/>
    <w:rsid w:val="007F3E2D"/>
    <w:rsid w:val="007F72F4"/>
    <w:rsid w:val="008016F0"/>
    <w:rsid w:val="0080208A"/>
    <w:rsid w:val="00811D0C"/>
    <w:rsid w:val="008126AE"/>
    <w:rsid w:val="00812BE6"/>
    <w:rsid w:val="00820D18"/>
    <w:rsid w:val="00821816"/>
    <w:rsid w:val="00822105"/>
    <w:rsid w:val="00823776"/>
    <w:rsid w:val="00824948"/>
    <w:rsid w:val="00826782"/>
    <w:rsid w:val="0082762A"/>
    <w:rsid w:val="00827A78"/>
    <w:rsid w:val="008303F8"/>
    <w:rsid w:val="0083185E"/>
    <w:rsid w:val="00832054"/>
    <w:rsid w:val="00832D72"/>
    <w:rsid w:val="00834034"/>
    <w:rsid w:val="00836432"/>
    <w:rsid w:val="00837225"/>
    <w:rsid w:val="00840692"/>
    <w:rsid w:val="00842416"/>
    <w:rsid w:val="00844D70"/>
    <w:rsid w:val="00845630"/>
    <w:rsid w:val="00846F7C"/>
    <w:rsid w:val="00850A1F"/>
    <w:rsid w:val="00851DA3"/>
    <w:rsid w:val="008524D4"/>
    <w:rsid w:val="00853957"/>
    <w:rsid w:val="0085404B"/>
    <w:rsid w:val="00854D4F"/>
    <w:rsid w:val="008550D4"/>
    <w:rsid w:val="008564B5"/>
    <w:rsid w:val="00857F6D"/>
    <w:rsid w:val="00862128"/>
    <w:rsid w:val="0086290F"/>
    <w:rsid w:val="00864041"/>
    <w:rsid w:val="00870FB5"/>
    <w:rsid w:val="008719D1"/>
    <w:rsid w:val="00881106"/>
    <w:rsid w:val="00882FFE"/>
    <w:rsid w:val="0088650C"/>
    <w:rsid w:val="0089150E"/>
    <w:rsid w:val="00892BC9"/>
    <w:rsid w:val="00895DA8"/>
    <w:rsid w:val="008A0259"/>
    <w:rsid w:val="008A293B"/>
    <w:rsid w:val="008A623C"/>
    <w:rsid w:val="008B0FD3"/>
    <w:rsid w:val="008B3F25"/>
    <w:rsid w:val="008B4FF3"/>
    <w:rsid w:val="008B57BF"/>
    <w:rsid w:val="008B7EF2"/>
    <w:rsid w:val="008C1E86"/>
    <w:rsid w:val="008C59A9"/>
    <w:rsid w:val="008C5F64"/>
    <w:rsid w:val="008C70CE"/>
    <w:rsid w:val="008D1290"/>
    <w:rsid w:val="008D146B"/>
    <w:rsid w:val="008D47AA"/>
    <w:rsid w:val="008D4A61"/>
    <w:rsid w:val="008D4B6F"/>
    <w:rsid w:val="008D4C8E"/>
    <w:rsid w:val="008D5EC1"/>
    <w:rsid w:val="008D787F"/>
    <w:rsid w:val="008E3501"/>
    <w:rsid w:val="008E3617"/>
    <w:rsid w:val="008E3CC9"/>
    <w:rsid w:val="008E4BBF"/>
    <w:rsid w:val="008F101A"/>
    <w:rsid w:val="008F11D6"/>
    <w:rsid w:val="008F17E0"/>
    <w:rsid w:val="008F2E1D"/>
    <w:rsid w:val="008F5E45"/>
    <w:rsid w:val="009009DE"/>
    <w:rsid w:val="0090179D"/>
    <w:rsid w:val="00903C2C"/>
    <w:rsid w:val="0090495B"/>
    <w:rsid w:val="0090639D"/>
    <w:rsid w:val="00913B8C"/>
    <w:rsid w:val="00920B24"/>
    <w:rsid w:val="00926A21"/>
    <w:rsid w:val="009360A1"/>
    <w:rsid w:val="00937F16"/>
    <w:rsid w:val="0094209D"/>
    <w:rsid w:val="00946041"/>
    <w:rsid w:val="0094711D"/>
    <w:rsid w:val="009506F6"/>
    <w:rsid w:val="0095206D"/>
    <w:rsid w:val="00954E25"/>
    <w:rsid w:val="009565EA"/>
    <w:rsid w:val="00960F6A"/>
    <w:rsid w:val="00961B79"/>
    <w:rsid w:val="00961DC7"/>
    <w:rsid w:val="00962CCB"/>
    <w:rsid w:val="00964E6A"/>
    <w:rsid w:val="00964F9F"/>
    <w:rsid w:val="0096530C"/>
    <w:rsid w:val="00965B3C"/>
    <w:rsid w:val="00973ADC"/>
    <w:rsid w:val="0097444F"/>
    <w:rsid w:val="00976A41"/>
    <w:rsid w:val="00977AFF"/>
    <w:rsid w:val="00980A69"/>
    <w:rsid w:val="009814DE"/>
    <w:rsid w:val="00983A56"/>
    <w:rsid w:val="00984D8E"/>
    <w:rsid w:val="00986216"/>
    <w:rsid w:val="00991DAE"/>
    <w:rsid w:val="009932B1"/>
    <w:rsid w:val="00996107"/>
    <w:rsid w:val="009974EB"/>
    <w:rsid w:val="0099752B"/>
    <w:rsid w:val="009A1C58"/>
    <w:rsid w:val="009A4335"/>
    <w:rsid w:val="009A571F"/>
    <w:rsid w:val="009A6260"/>
    <w:rsid w:val="009A6EFD"/>
    <w:rsid w:val="009A7114"/>
    <w:rsid w:val="009A75E7"/>
    <w:rsid w:val="009B2EB1"/>
    <w:rsid w:val="009B3394"/>
    <w:rsid w:val="009B539D"/>
    <w:rsid w:val="009B5BAF"/>
    <w:rsid w:val="009B7862"/>
    <w:rsid w:val="009C1172"/>
    <w:rsid w:val="009C18FE"/>
    <w:rsid w:val="009C4B79"/>
    <w:rsid w:val="009C5DF8"/>
    <w:rsid w:val="009D4AB0"/>
    <w:rsid w:val="009D71DB"/>
    <w:rsid w:val="009D75D2"/>
    <w:rsid w:val="009D7771"/>
    <w:rsid w:val="009E0D45"/>
    <w:rsid w:val="009E109E"/>
    <w:rsid w:val="009E2EEA"/>
    <w:rsid w:val="009E4172"/>
    <w:rsid w:val="009E6883"/>
    <w:rsid w:val="009F2687"/>
    <w:rsid w:val="009F2D05"/>
    <w:rsid w:val="009F4464"/>
    <w:rsid w:val="009F5FF4"/>
    <w:rsid w:val="009F6A79"/>
    <w:rsid w:val="009F7706"/>
    <w:rsid w:val="00A00575"/>
    <w:rsid w:val="00A00941"/>
    <w:rsid w:val="00A00ADF"/>
    <w:rsid w:val="00A04592"/>
    <w:rsid w:val="00A05658"/>
    <w:rsid w:val="00A0567A"/>
    <w:rsid w:val="00A12E61"/>
    <w:rsid w:val="00A145BB"/>
    <w:rsid w:val="00A16044"/>
    <w:rsid w:val="00A16241"/>
    <w:rsid w:val="00A2053F"/>
    <w:rsid w:val="00A20EAD"/>
    <w:rsid w:val="00A2496F"/>
    <w:rsid w:val="00A254EB"/>
    <w:rsid w:val="00A2662E"/>
    <w:rsid w:val="00A30EE7"/>
    <w:rsid w:val="00A31997"/>
    <w:rsid w:val="00A33F13"/>
    <w:rsid w:val="00A36FD6"/>
    <w:rsid w:val="00A417DD"/>
    <w:rsid w:val="00A42F48"/>
    <w:rsid w:val="00A44F8A"/>
    <w:rsid w:val="00A474B6"/>
    <w:rsid w:val="00A5095C"/>
    <w:rsid w:val="00A53A80"/>
    <w:rsid w:val="00A54D3A"/>
    <w:rsid w:val="00A5561F"/>
    <w:rsid w:val="00A55EAF"/>
    <w:rsid w:val="00A56139"/>
    <w:rsid w:val="00A60531"/>
    <w:rsid w:val="00A6225C"/>
    <w:rsid w:val="00A62363"/>
    <w:rsid w:val="00A64244"/>
    <w:rsid w:val="00A6455A"/>
    <w:rsid w:val="00A656E4"/>
    <w:rsid w:val="00A67E56"/>
    <w:rsid w:val="00A7046A"/>
    <w:rsid w:val="00A709DF"/>
    <w:rsid w:val="00A714E4"/>
    <w:rsid w:val="00A72A1C"/>
    <w:rsid w:val="00A732D7"/>
    <w:rsid w:val="00A75065"/>
    <w:rsid w:val="00A77C5E"/>
    <w:rsid w:val="00A826B4"/>
    <w:rsid w:val="00A844A3"/>
    <w:rsid w:val="00A84C13"/>
    <w:rsid w:val="00A85013"/>
    <w:rsid w:val="00A85F25"/>
    <w:rsid w:val="00A85F47"/>
    <w:rsid w:val="00A87DDB"/>
    <w:rsid w:val="00A90A33"/>
    <w:rsid w:val="00A9154B"/>
    <w:rsid w:val="00A91DA9"/>
    <w:rsid w:val="00A92E68"/>
    <w:rsid w:val="00A94FC9"/>
    <w:rsid w:val="00A97162"/>
    <w:rsid w:val="00AA0AA8"/>
    <w:rsid w:val="00AA37CF"/>
    <w:rsid w:val="00AA40B1"/>
    <w:rsid w:val="00AA4EFA"/>
    <w:rsid w:val="00AA51D5"/>
    <w:rsid w:val="00AA5613"/>
    <w:rsid w:val="00AA5BA8"/>
    <w:rsid w:val="00AA6580"/>
    <w:rsid w:val="00AB061F"/>
    <w:rsid w:val="00AB2FBB"/>
    <w:rsid w:val="00AB44AD"/>
    <w:rsid w:val="00AB5414"/>
    <w:rsid w:val="00AB74DE"/>
    <w:rsid w:val="00AD0A15"/>
    <w:rsid w:val="00AD3EE0"/>
    <w:rsid w:val="00AD402B"/>
    <w:rsid w:val="00AD4A56"/>
    <w:rsid w:val="00AD5F5D"/>
    <w:rsid w:val="00AD6284"/>
    <w:rsid w:val="00AD6DCF"/>
    <w:rsid w:val="00AE169D"/>
    <w:rsid w:val="00AE1CF1"/>
    <w:rsid w:val="00AE2FA0"/>
    <w:rsid w:val="00AE46A1"/>
    <w:rsid w:val="00AF7CAA"/>
    <w:rsid w:val="00B027D2"/>
    <w:rsid w:val="00B035DC"/>
    <w:rsid w:val="00B050EA"/>
    <w:rsid w:val="00B054A6"/>
    <w:rsid w:val="00B07883"/>
    <w:rsid w:val="00B1381D"/>
    <w:rsid w:val="00B16123"/>
    <w:rsid w:val="00B1658B"/>
    <w:rsid w:val="00B17EEC"/>
    <w:rsid w:val="00B2179A"/>
    <w:rsid w:val="00B2418C"/>
    <w:rsid w:val="00B250B8"/>
    <w:rsid w:val="00B269D0"/>
    <w:rsid w:val="00B27A92"/>
    <w:rsid w:val="00B316CE"/>
    <w:rsid w:val="00B33B74"/>
    <w:rsid w:val="00B342BE"/>
    <w:rsid w:val="00B3524F"/>
    <w:rsid w:val="00B35D93"/>
    <w:rsid w:val="00B364B5"/>
    <w:rsid w:val="00B40919"/>
    <w:rsid w:val="00B4108E"/>
    <w:rsid w:val="00B446E6"/>
    <w:rsid w:val="00B533C8"/>
    <w:rsid w:val="00B55852"/>
    <w:rsid w:val="00B5715C"/>
    <w:rsid w:val="00B62672"/>
    <w:rsid w:val="00B62AE5"/>
    <w:rsid w:val="00B648D2"/>
    <w:rsid w:val="00B64A06"/>
    <w:rsid w:val="00B6571B"/>
    <w:rsid w:val="00B65987"/>
    <w:rsid w:val="00B66DE0"/>
    <w:rsid w:val="00B7045B"/>
    <w:rsid w:val="00B7117E"/>
    <w:rsid w:val="00B745FA"/>
    <w:rsid w:val="00B75F91"/>
    <w:rsid w:val="00B76EB1"/>
    <w:rsid w:val="00B76F11"/>
    <w:rsid w:val="00B7758E"/>
    <w:rsid w:val="00B82977"/>
    <w:rsid w:val="00B82E0C"/>
    <w:rsid w:val="00B83722"/>
    <w:rsid w:val="00B84BC5"/>
    <w:rsid w:val="00B850F0"/>
    <w:rsid w:val="00B95192"/>
    <w:rsid w:val="00BA0845"/>
    <w:rsid w:val="00BA4C37"/>
    <w:rsid w:val="00BA5447"/>
    <w:rsid w:val="00BA633F"/>
    <w:rsid w:val="00BA74AA"/>
    <w:rsid w:val="00BA7691"/>
    <w:rsid w:val="00BB0123"/>
    <w:rsid w:val="00BB07E2"/>
    <w:rsid w:val="00BB0E9D"/>
    <w:rsid w:val="00BB2B7D"/>
    <w:rsid w:val="00BB3DBD"/>
    <w:rsid w:val="00BC005C"/>
    <w:rsid w:val="00BC005F"/>
    <w:rsid w:val="00BC5282"/>
    <w:rsid w:val="00BC7D51"/>
    <w:rsid w:val="00BD16FD"/>
    <w:rsid w:val="00BD44E2"/>
    <w:rsid w:val="00BD469F"/>
    <w:rsid w:val="00BD4A93"/>
    <w:rsid w:val="00BD7595"/>
    <w:rsid w:val="00BD7B91"/>
    <w:rsid w:val="00BE34D6"/>
    <w:rsid w:val="00BE3EC5"/>
    <w:rsid w:val="00BE6356"/>
    <w:rsid w:val="00BF0F21"/>
    <w:rsid w:val="00BF11B7"/>
    <w:rsid w:val="00BF1711"/>
    <w:rsid w:val="00BF4AB0"/>
    <w:rsid w:val="00BF4EF8"/>
    <w:rsid w:val="00C006D7"/>
    <w:rsid w:val="00C012DE"/>
    <w:rsid w:val="00C11D59"/>
    <w:rsid w:val="00C124A9"/>
    <w:rsid w:val="00C15013"/>
    <w:rsid w:val="00C22D05"/>
    <w:rsid w:val="00C24F7D"/>
    <w:rsid w:val="00C31460"/>
    <w:rsid w:val="00C315F4"/>
    <w:rsid w:val="00C379D2"/>
    <w:rsid w:val="00C37E27"/>
    <w:rsid w:val="00C41410"/>
    <w:rsid w:val="00C42E80"/>
    <w:rsid w:val="00C458AA"/>
    <w:rsid w:val="00C4650B"/>
    <w:rsid w:val="00C46987"/>
    <w:rsid w:val="00C54DDF"/>
    <w:rsid w:val="00C609A3"/>
    <w:rsid w:val="00C659A4"/>
    <w:rsid w:val="00C66040"/>
    <w:rsid w:val="00C70D1C"/>
    <w:rsid w:val="00C7366A"/>
    <w:rsid w:val="00C73B19"/>
    <w:rsid w:val="00C8316E"/>
    <w:rsid w:val="00C85127"/>
    <w:rsid w:val="00C87C39"/>
    <w:rsid w:val="00C87DA9"/>
    <w:rsid w:val="00C91302"/>
    <w:rsid w:val="00C9303E"/>
    <w:rsid w:val="00C946D3"/>
    <w:rsid w:val="00C94D8E"/>
    <w:rsid w:val="00C9594A"/>
    <w:rsid w:val="00C968A7"/>
    <w:rsid w:val="00C96BBD"/>
    <w:rsid w:val="00CA1C92"/>
    <w:rsid w:val="00CA2B1C"/>
    <w:rsid w:val="00CA5DE4"/>
    <w:rsid w:val="00CA75F7"/>
    <w:rsid w:val="00CB219B"/>
    <w:rsid w:val="00CB590B"/>
    <w:rsid w:val="00CB6CC0"/>
    <w:rsid w:val="00CB7D75"/>
    <w:rsid w:val="00CC065D"/>
    <w:rsid w:val="00CC07FA"/>
    <w:rsid w:val="00CC0E93"/>
    <w:rsid w:val="00CC1B1E"/>
    <w:rsid w:val="00CC1F30"/>
    <w:rsid w:val="00CC1FE5"/>
    <w:rsid w:val="00CC27F1"/>
    <w:rsid w:val="00CC2C8B"/>
    <w:rsid w:val="00CC49B2"/>
    <w:rsid w:val="00CC6073"/>
    <w:rsid w:val="00CC62C7"/>
    <w:rsid w:val="00CC67D0"/>
    <w:rsid w:val="00CC7720"/>
    <w:rsid w:val="00CD060F"/>
    <w:rsid w:val="00CD312E"/>
    <w:rsid w:val="00CD4E7D"/>
    <w:rsid w:val="00CD550D"/>
    <w:rsid w:val="00CD55A1"/>
    <w:rsid w:val="00CD5C49"/>
    <w:rsid w:val="00CD63FB"/>
    <w:rsid w:val="00CD645C"/>
    <w:rsid w:val="00CD6C02"/>
    <w:rsid w:val="00CE585C"/>
    <w:rsid w:val="00CE5D45"/>
    <w:rsid w:val="00CE7344"/>
    <w:rsid w:val="00CE78C3"/>
    <w:rsid w:val="00CF0260"/>
    <w:rsid w:val="00CF13B9"/>
    <w:rsid w:val="00CF17B4"/>
    <w:rsid w:val="00CF263C"/>
    <w:rsid w:val="00CF5CE9"/>
    <w:rsid w:val="00CF7307"/>
    <w:rsid w:val="00D023E3"/>
    <w:rsid w:val="00D04B9B"/>
    <w:rsid w:val="00D05D64"/>
    <w:rsid w:val="00D07A6D"/>
    <w:rsid w:val="00D10928"/>
    <w:rsid w:val="00D15C40"/>
    <w:rsid w:val="00D20B7E"/>
    <w:rsid w:val="00D2488F"/>
    <w:rsid w:val="00D2494E"/>
    <w:rsid w:val="00D24B77"/>
    <w:rsid w:val="00D30D0F"/>
    <w:rsid w:val="00D3121E"/>
    <w:rsid w:val="00D3227F"/>
    <w:rsid w:val="00D32BD4"/>
    <w:rsid w:val="00D33451"/>
    <w:rsid w:val="00D33C78"/>
    <w:rsid w:val="00D349BD"/>
    <w:rsid w:val="00D354F1"/>
    <w:rsid w:val="00D402B5"/>
    <w:rsid w:val="00D41194"/>
    <w:rsid w:val="00D415B6"/>
    <w:rsid w:val="00D47038"/>
    <w:rsid w:val="00D4742D"/>
    <w:rsid w:val="00D502E7"/>
    <w:rsid w:val="00D51B9D"/>
    <w:rsid w:val="00D52596"/>
    <w:rsid w:val="00D52F99"/>
    <w:rsid w:val="00D53A8E"/>
    <w:rsid w:val="00D54AE6"/>
    <w:rsid w:val="00D5640F"/>
    <w:rsid w:val="00D60B6D"/>
    <w:rsid w:val="00D62592"/>
    <w:rsid w:val="00D637BB"/>
    <w:rsid w:val="00D67D08"/>
    <w:rsid w:val="00D67E9E"/>
    <w:rsid w:val="00D67F73"/>
    <w:rsid w:val="00D72040"/>
    <w:rsid w:val="00D74849"/>
    <w:rsid w:val="00D7502B"/>
    <w:rsid w:val="00D75213"/>
    <w:rsid w:val="00D7774A"/>
    <w:rsid w:val="00D77C79"/>
    <w:rsid w:val="00D77E40"/>
    <w:rsid w:val="00D81BA4"/>
    <w:rsid w:val="00D82F81"/>
    <w:rsid w:val="00D830B8"/>
    <w:rsid w:val="00D859EF"/>
    <w:rsid w:val="00D948BF"/>
    <w:rsid w:val="00D95A99"/>
    <w:rsid w:val="00D965E9"/>
    <w:rsid w:val="00D967CC"/>
    <w:rsid w:val="00DA2BE4"/>
    <w:rsid w:val="00DA2D5F"/>
    <w:rsid w:val="00DA2E93"/>
    <w:rsid w:val="00DA339C"/>
    <w:rsid w:val="00DA34EA"/>
    <w:rsid w:val="00DA5FF0"/>
    <w:rsid w:val="00DB1357"/>
    <w:rsid w:val="00DB34EA"/>
    <w:rsid w:val="00DB645D"/>
    <w:rsid w:val="00DB683B"/>
    <w:rsid w:val="00DB6D01"/>
    <w:rsid w:val="00DB6D5B"/>
    <w:rsid w:val="00DB72C0"/>
    <w:rsid w:val="00DC091A"/>
    <w:rsid w:val="00DC10A5"/>
    <w:rsid w:val="00DC2C98"/>
    <w:rsid w:val="00DC4414"/>
    <w:rsid w:val="00DC7E43"/>
    <w:rsid w:val="00DD0D01"/>
    <w:rsid w:val="00DD14F4"/>
    <w:rsid w:val="00DD1F1E"/>
    <w:rsid w:val="00DD23FC"/>
    <w:rsid w:val="00DD49EF"/>
    <w:rsid w:val="00DD6532"/>
    <w:rsid w:val="00DD761A"/>
    <w:rsid w:val="00DD7EE6"/>
    <w:rsid w:val="00DE3F56"/>
    <w:rsid w:val="00DE54C3"/>
    <w:rsid w:val="00DE68BF"/>
    <w:rsid w:val="00DF01E6"/>
    <w:rsid w:val="00DF2C58"/>
    <w:rsid w:val="00DF41EC"/>
    <w:rsid w:val="00E0020E"/>
    <w:rsid w:val="00E0270E"/>
    <w:rsid w:val="00E02941"/>
    <w:rsid w:val="00E042F5"/>
    <w:rsid w:val="00E04563"/>
    <w:rsid w:val="00E0485C"/>
    <w:rsid w:val="00E05E11"/>
    <w:rsid w:val="00E0686A"/>
    <w:rsid w:val="00E115DD"/>
    <w:rsid w:val="00E123DF"/>
    <w:rsid w:val="00E14D5D"/>
    <w:rsid w:val="00E15386"/>
    <w:rsid w:val="00E1627C"/>
    <w:rsid w:val="00E173EE"/>
    <w:rsid w:val="00E2039A"/>
    <w:rsid w:val="00E204BB"/>
    <w:rsid w:val="00E20EB0"/>
    <w:rsid w:val="00E2518C"/>
    <w:rsid w:val="00E31EC2"/>
    <w:rsid w:val="00E41BF0"/>
    <w:rsid w:val="00E4292B"/>
    <w:rsid w:val="00E43273"/>
    <w:rsid w:val="00E47FAB"/>
    <w:rsid w:val="00E51244"/>
    <w:rsid w:val="00E54D9A"/>
    <w:rsid w:val="00E55077"/>
    <w:rsid w:val="00E55231"/>
    <w:rsid w:val="00E55772"/>
    <w:rsid w:val="00E56785"/>
    <w:rsid w:val="00E57378"/>
    <w:rsid w:val="00E57C34"/>
    <w:rsid w:val="00E62EF5"/>
    <w:rsid w:val="00E64B8E"/>
    <w:rsid w:val="00E73639"/>
    <w:rsid w:val="00E74E76"/>
    <w:rsid w:val="00E75500"/>
    <w:rsid w:val="00E77B78"/>
    <w:rsid w:val="00E80A88"/>
    <w:rsid w:val="00E81D00"/>
    <w:rsid w:val="00E8306A"/>
    <w:rsid w:val="00E870C4"/>
    <w:rsid w:val="00E95B19"/>
    <w:rsid w:val="00E960C0"/>
    <w:rsid w:val="00EA27CD"/>
    <w:rsid w:val="00EA476D"/>
    <w:rsid w:val="00EA4C41"/>
    <w:rsid w:val="00EA62C0"/>
    <w:rsid w:val="00EA7011"/>
    <w:rsid w:val="00EB44DA"/>
    <w:rsid w:val="00EB63A9"/>
    <w:rsid w:val="00EB758E"/>
    <w:rsid w:val="00ED2518"/>
    <w:rsid w:val="00ED520E"/>
    <w:rsid w:val="00ED5772"/>
    <w:rsid w:val="00ED683F"/>
    <w:rsid w:val="00EE0192"/>
    <w:rsid w:val="00EE215A"/>
    <w:rsid w:val="00EE22E4"/>
    <w:rsid w:val="00EE3EAA"/>
    <w:rsid w:val="00EE524A"/>
    <w:rsid w:val="00EE57DC"/>
    <w:rsid w:val="00EE627F"/>
    <w:rsid w:val="00EE6701"/>
    <w:rsid w:val="00EF0994"/>
    <w:rsid w:val="00EF14E4"/>
    <w:rsid w:val="00EF18E5"/>
    <w:rsid w:val="00EF20A8"/>
    <w:rsid w:val="00EF273D"/>
    <w:rsid w:val="00EF50A3"/>
    <w:rsid w:val="00F00084"/>
    <w:rsid w:val="00F013FE"/>
    <w:rsid w:val="00F01527"/>
    <w:rsid w:val="00F02FA1"/>
    <w:rsid w:val="00F1135C"/>
    <w:rsid w:val="00F13D8A"/>
    <w:rsid w:val="00F1407B"/>
    <w:rsid w:val="00F15253"/>
    <w:rsid w:val="00F17046"/>
    <w:rsid w:val="00F20E02"/>
    <w:rsid w:val="00F22F50"/>
    <w:rsid w:val="00F230F4"/>
    <w:rsid w:val="00F2393D"/>
    <w:rsid w:val="00F243B3"/>
    <w:rsid w:val="00F30C13"/>
    <w:rsid w:val="00F32287"/>
    <w:rsid w:val="00F351B5"/>
    <w:rsid w:val="00F41DF2"/>
    <w:rsid w:val="00F42141"/>
    <w:rsid w:val="00F44D2B"/>
    <w:rsid w:val="00F4564D"/>
    <w:rsid w:val="00F5097D"/>
    <w:rsid w:val="00F518A0"/>
    <w:rsid w:val="00F53ABE"/>
    <w:rsid w:val="00F5591D"/>
    <w:rsid w:val="00F55F67"/>
    <w:rsid w:val="00F56033"/>
    <w:rsid w:val="00F61603"/>
    <w:rsid w:val="00F632C5"/>
    <w:rsid w:val="00F65B5F"/>
    <w:rsid w:val="00F706E5"/>
    <w:rsid w:val="00F72077"/>
    <w:rsid w:val="00F76BC6"/>
    <w:rsid w:val="00F8455C"/>
    <w:rsid w:val="00F86B8A"/>
    <w:rsid w:val="00F92AF7"/>
    <w:rsid w:val="00F92D87"/>
    <w:rsid w:val="00F9526D"/>
    <w:rsid w:val="00F96F44"/>
    <w:rsid w:val="00FA05AF"/>
    <w:rsid w:val="00FA0F85"/>
    <w:rsid w:val="00FA1B2D"/>
    <w:rsid w:val="00FA4318"/>
    <w:rsid w:val="00FA47B3"/>
    <w:rsid w:val="00FA4911"/>
    <w:rsid w:val="00FA77A6"/>
    <w:rsid w:val="00FA7DF8"/>
    <w:rsid w:val="00FB1BB2"/>
    <w:rsid w:val="00FB2953"/>
    <w:rsid w:val="00FB3C40"/>
    <w:rsid w:val="00FB53D7"/>
    <w:rsid w:val="00FB7458"/>
    <w:rsid w:val="00FC1EEA"/>
    <w:rsid w:val="00FD0E05"/>
    <w:rsid w:val="00FD6D2C"/>
    <w:rsid w:val="00FE0345"/>
    <w:rsid w:val="00FE1E36"/>
    <w:rsid w:val="00FE23FE"/>
    <w:rsid w:val="00FE32A4"/>
    <w:rsid w:val="00FE33F6"/>
    <w:rsid w:val="00FE35D2"/>
    <w:rsid w:val="00FE3FA4"/>
    <w:rsid w:val="00FF2FED"/>
    <w:rsid w:val="00FF3B9B"/>
    <w:rsid w:val="00FF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5EDE"/>
    <w:pPr>
      <w:spacing w:after="120"/>
      <w:jc w:val="both"/>
    </w:pPr>
    <w:rPr>
      <w:sz w:val="24"/>
      <w:szCs w:val="24"/>
    </w:rPr>
  </w:style>
  <w:style w:type="paragraph" w:styleId="Heading1">
    <w:name w:val="heading 1"/>
    <w:basedOn w:val="Normal"/>
    <w:next w:val="Normal"/>
    <w:link w:val="Heading1Char"/>
    <w:qFormat/>
    <w:rsid w:val="00785EDE"/>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qFormat/>
    <w:rsid w:val="00785EDE"/>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qFormat/>
    <w:rsid w:val="00785EDE"/>
    <w:pPr>
      <w:keepNext/>
      <w:suppressAutoHyphens/>
      <w:jc w:val="left"/>
      <w:outlineLvl w:val="2"/>
    </w:pPr>
    <w:rPr>
      <w:b/>
      <w:sz w:val="26"/>
      <w:szCs w:val="20"/>
    </w:rPr>
  </w:style>
  <w:style w:type="paragraph" w:styleId="Heading4">
    <w:name w:val="heading 4"/>
    <w:basedOn w:val="Normal"/>
    <w:next w:val="Normal"/>
    <w:link w:val="Heading4Char"/>
    <w:qFormat/>
    <w:rsid w:val="00785EDE"/>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qFormat/>
    <w:rsid w:val="00785EDE"/>
    <w:pPr>
      <w:keepNext/>
      <w:spacing w:before="60"/>
      <w:outlineLvl w:val="4"/>
    </w:pPr>
    <w:rPr>
      <w:rFonts w:ascii="Times New Roman Bold" w:hAnsi="Times New Roman Bold"/>
      <w:b/>
      <w:bCs/>
      <w:iCs/>
      <w:szCs w:val="26"/>
    </w:rPr>
  </w:style>
  <w:style w:type="paragraph" w:styleId="Heading6">
    <w:name w:val="heading 6"/>
    <w:basedOn w:val="Normal"/>
    <w:next w:val="Normal"/>
    <w:qFormat/>
    <w:rsid w:val="00785EDE"/>
    <w:pPr>
      <w:spacing w:before="240" w:after="60"/>
      <w:outlineLvl w:val="5"/>
    </w:pPr>
    <w:rPr>
      <w:b/>
      <w:bCs/>
      <w:sz w:val="22"/>
      <w:szCs w:val="22"/>
    </w:rPr>
  </w:style>
  <w:style w:type="paragraph" w:styleId="Heading7">
    <w:name w:val="heading 7"/>
    <w:basedOn w:val="Normal"/>
    <w:next w:val="Normal"/>
    <w:qFormat/>
    <w:rsid w:val="00785EDE"/>
    <w:pPr>
      <w:spacing w:before="240" w:after="60"/>
      <w:outlineLvl w:val="6"/>
    </w:pPr>
  </w:style>
  <w:style w:type="paragraph" w:styleId="Heading8">
    <w:name w:val="heading 8"/>
    <w:basedOn w:val="Normal"/>
    <w:next w:val="Normal"/>
    <w:qFormat/>
    <w:rsid w:val="00785EDE"/>
    <w:pPr>
      <w:spacing w:before="240" w:after="60"/>
      <w:outlineLvl w:val="7"/>
    </w:pPr>
    <w:rPr>
      <w:i/>
      <w:iCs/>
    </w:rPr>
  </w:style>
  <w:style w:type="paragraph" w:styleId="Heading9">
    <w:name w:val="heading 9"/>
    <w:basedOn w:val="Normal"/>
    <w:next w:val="Normal"/>
    <w:link w:val="Heading9Char"/>
    <w:qFormat/>
    <w:rsid w:val="00785EDE"/>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85EDE"/>
    <w:rPr>
      <w:rFonts w:ascii="Times New Roman Bold" w:hAnsi="Times New Roman Bold"/>
      <w:b/>
      <w:caps/>
      <w:sz w:val="32"/>
    </w:rPr>
  </w:style>
  <w:style w:type="character" w:customStyle="1" w:styleId="Heading9Char">
    <w:name w:val="Heading 9 Char"/>
    <w:link w:val="Heading9"/>
    <w:rsid w:val="00785EDE"/>
    <w:rPr>
      <w:rFonts w:ascii="Arial" w:hAnsi="Arial" w:cs="Arial"/>
      <w:sz w:val="22"/>
      <w:szCs w:val="22"/>
    </w:rPr>
  </w:style>
  <w:style w:type="paragraph" w:customStyle="1" w:styleId="SymbolsandAbbrevTitle">
    <w:name w:val="Symbols and Abbrev. Title"/>
    <w:basedOn w:val="Normal"/>
    <w:next w:val="Normal"/>
    <w:rsid w:val="00785EDE"/>
    <w:pPr>
      <w:jc w:val="center"/>
    </w:pPr>
    <w:rPr>
      <w:rFonts w:ascii="Times New Roman Bold" w:hAnsi="Times New Roman Bold"/>
      <w:b/>
      <w:sz w:val="22"/>
    </w:rPr>
  </w:style>
  <w:style w:type="character" w:styleId="FollowedHyperlink">
    <w:name w:val="FollowedHyperlink"/>
    <w:semiHidden/>
    <w:rsid w:val="00785EDE"/>
    <w:rPr>
      <w:color w:val="800080"/>
      <w:u w:val="single"/>
    </w:rPr>
  </w:style>
  <w:style w:type="paragraph" w:customStyle="1" w:styleId="Cover-PublSeries">
    <w:name w:val="Cover-Publ Series"/>
    <w:basedOn w:val="Normal"/>
    <w:next w:val="Cover-ReptTitle"/>
    <w:rsid w:val="00785EDE"/>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785EDE"/>
    <w:pPr>
      <w:suppressAutoHyphens/>
      <w:spacing w:before="600" w:after="1080"/>
      <w:jc w:val="left"/>
    </w:pPr>
    <w:rPr>
      <w:b/>
      <w:sz w:val="40"/>
      <w:szCs w:val="20"/>
    </w:rPr>
  </w:style>
  <w:style w:type="paragraph" w:customStyle="1" w:styleId="Cover-ByAuthors">
    <w:name w:val="Cover-By/Author(s)"/>
    <w:basedOn w:val="Normal"/>
    <w:rsid w:val="00785EDE"/>
    <w:pPr>
      <w:suppressAutoHyphens/>
      <w:spacing w:after="0" w:line="360" w:lineRule="auto"/>
      <w:jc w:val="left"/>
    </w:pPr>
    <w:rPr>
      <w:b/>
      <w:sz w:val="28"/>
      <w:szCs w:val="20"/>
    </w:rPr>
  </w:style>
  <w:style w:type="paragraph" w:customStyle="1" w:styleId="Cover-PublDate">
    <w:name w:val="Cover-Publ Date"/>
    <w:basedOn w:val="Normal"/>
    <w:next w:val="Normal"/>
    <w:rsid w:val="00785EDE"/>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785EDE"/>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785EDE"/>
    <w:pPr>
      <w:framePr w:wrap="around" w:vAnchor="page" w:hAnchor="page" w:xAlign="center" w:y="12385" w:anchorLock="1"/>
      <w:suppressAutoHyphens/>
      <w:spacing w:after="0"/>
    </w:pPr>
    <w:rPr>
      <w:szCs w:val="20"/>
    </w:rPr>
  </w:style>
  <w:style w:type="paragraph" w:styleId="Title">
    <w:name w:val="Title"/>
    <w:basedOn w:val="Normal"/>
    <w:qFormat/>
    <w:rsid w:val="00785EDE"/>
    <w:pPr>
      <w:suppressAutoHyphens/>
      <w:jc w:val="center"/>
    </w:pPr>
    <w:rPr>
      <w:b/>
      <w:sz w:val="20"/>
      <w:szCs w:val="20"/>
    </w:rPr>
  </w:style>
  <w:style w:type="paragraph" w:customStyle="1" w:styleId="TableRow">
    <w:name w:val="Table Row"/>
    <w:basedOn w:val="Normal-0After"/>
    <w:rsid w:val="00785EDE"/>
    <w:pPr>
      <w:keepNext/>
      <w:keepLines/>
      <w:spacing w:before="20" w:after="20"/>
    </w:pPr>
    <w:rPr>
      <w:sz w:val="20"/>
    </w:rPr>
  </w:style>
  <w:style w:type="paragraph" w:customStyle="1" w:styleId="Normal-0After">
    <w:name w:val="Normal-0 After"/>
    <w:basedOn w:val="Normal"/>
    <w:semiHidden/>
    <w:rsid w:val="00785EDE"/>
    <w:pPr>
      <w:suppressAutoHyphens/>
      <w:spacing w:after="0"/>
    </w:pPr>
    <w:rPr>
      <w:szCs w:val="20"/>
    </w:rPr>
  </w:style>
  <w:style w:type="paragraph" w:customStyle="1" w:styleId="TitlePg-ReptSeries">
    <w:name w:val="Title Pg-Rept Series"/>
    <w:basedOn w:val="Normal"/>
    <w:next w:val="TitlePg-Title"/>
    <w:rsid w:val="00785EDE"/>
    <w:pPr>
      <w:suppressAutoHyphens/>
      <w:spacing w:before="1320" w:after="960"/>
      <w:jc w:val="center"/>
    </w:pPr>
    <w:rPr>
      <w:b/>
      <w:i/>
      <w:caps/>
      <w:sz w:val="32"/>
      <w:szCs w:val="20"/>
    </w:rPr>
  </w:style>
  <w:style w:type="paragraph" w:customStyle="1" w:styleId="TitlePg-Title">
    <w:name w:val="Title Pg-Title"/>
    <w:basedOn w:val="Normal"/>
    <w:next w:val="TitlePg-Authors"/>
    <w:rsid w:val="00785EDE"/>
    <w:pPr>
      <w:suppressAutoHyphens/>
      <w:spacing w:after="480"/>
      <w:jc w:val="center"/>
    </w:pPr>
    <w:rPr>
      <w:b/>
      <w:caps/>
      <w:sz w:val="28"/>
      <w:szCs w:val="20"/>
    </w:rPr>
  </w:style>
  <w:style w:type="paragraph" w:customStyle="1" w:styleId="TitlePg-Authors">
    <w:name w:val="Title Pg-Author(s)"/>
    <w:basedOn w:val="Normal"/>
    <w:rsid w:val="00785EDE"/>
    <w:pPr>
      <w:suppressAutoHyphens/>
      <w:spacing w:after="0" w:line="200" w:lineRule="atLeast"/>
      <w:jc w:val="center"/>
    </w:pPr>
    <w:rPr>
      <w:sz w:val="20"/>
      <w:szCs w:val="20"/>
    </w:rPr>
  </w:style>
  <w:style w:type="paragraph" w:customStyle="1" w:styleId="TitlePg-LocDate">
    <w:name w:val="Title Pg-Loc &amp; Date"/>
    <w:basedOn w:val="Normal"/>
    <w:next w:val="Normal"/>
    <w:rsid w:val="00785EDE"/>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785EDE"/>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uiPriority w:val="99"/>
    <w:rsid w:val="00785EDE"/>
    <w:rPr>
      <w:color w:val="0000FF"/>
      <w:u w:val="single"/>
    </w:rPr>
  </w:style>
  <w:style w:type="paragraph" w:customStyle="1" w:styleId="OEOPg-ReptSeries">
    <w:name w:val="OEO Pg-Rept Series"/>
    <w:basedOn w:val="Normal"/>
    <w:rsid w:val="00785EDE"/>
    <w:pPr>
      <w:suppressAutoHyphens/>
    </w:pPr>
    <w:rPr>
      <w:sz w:val="20"/>
      <w:szCs w:val="20"/>
    </w:rPr>
  </w:style>
  <w:style w:type="paragraph" w:customStyle="1" w:styleId="OEOPg-Citation">
    <w:name w:val="OEO Pg-Citation"/>
    <w:basedOn w:val="Normal"/>
    <w:rsid w:val="00785EDE"/>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785EDE"/>
    <w:pPr>
      <w:framePr w:hSpace="187" w:wrap="around" w:hAnchor="margin" w:yAlign="bottom" w:anchorLock="1"/>
      <w:suppressAutoHyphens/>
      <w:spacing w:after="0"/>
    </w:pPr>
    <w:rPr>
      <w:sz w:val="20"/>
      <w:szCs w:val="20"/>
    </w:rPr>
  </w:style>
  <w:style w:type="character" w:customStyle="1" w:styleId="OEOPg-OEOChar">
    <w:name w:val="OEO Pg-OEO Char"/>
    <w:link w:val="OEOPg-OEO"/>
    <w:rsid w:val="00785EDE"/>
  </w:style>
  <w:style w:type="paragraph" w:styleId="TOC1">
    <w:name w:val="toc 1"/>
    <w:basedOn w:val="Heading1"/>
    <w:next w:val="TOC2"/>
    <w:uiPriority w:val="39"/>
    <w:rsid w:val="00785EDE"/>
    <w:pPr>
      <w:keepNext w:val="0"/>
      <w:keepLines w:val="0"/>
      <w:tabs>
        <w:tab w:val="right" w:leader="dot" w:pos="9360"/>
      </w:tabs>
      <w:spacing w:before="0"/>
      <w:ind w:left="0"/>
      <w:jc w:val="both"/>
      <w:outlineLvl w:val="9"/>
    </w:pPr>
    <w:rPr>
      <w:rFonts w:ascii="Times New Roman" w:hAnsi="Times New Roman"/>
      <w:b w:val="0"/>
      <w:sz w:val="20"/>
    </w:rPr>
  </w:style>
  <w:style w:type="paragraph" w:styleId="TOC2">
    <w:name w:val="toc 2"/>
    <w:basedOn w:val="Heading2"/>
    <w:next w:val="Normal"/>
    <w:uiPriority w:val="39"/>
    <w:rsid w:val="00785EDE"/>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rsid w:val="00785EDE"/>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785EDE"/>
    <w:pPr>
      <w:tabs>
        <w:tab w:val="right" w:pos="9360"/>
      </w:tabs>
      <w:suppressAutoHyphens/>
      <w:spacing w:after="0"/>
      <w:jc w:val="left"/>
    </w:pPr>
    <w:rPr>
      <w:b/>
      <w:szCs w:val="20"/>
    </w:rPr>
  </w:style>
  <w:style w:type="paragraph" w:styleId="TableofFigures">
    <w:name w:val="table of figures"/>
    <w:basedOn w:val="Normal"/>
    <w:next w:val="Normal"/>
    <w:uiPriority w:val="99"/>
    <w:rsid w:val="00785EDE"/>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785EDE"/>
    <w:pPr>
      <w:suppressAutoHyphens/>
    </w:pPr>
    <w:rPr>
      <w:sz w:val="20"/>
      <w:szCs w:val="20"/>
    </w:rPr>
  </w:style>
  <w:style w:type="paragraph" w:customStyle="1" w:styleId="Keywords">
    <w:name w:val="Key words"/>
    <w:basedOn w:val="Normal"/>
    <w:next w:val="Normal"/>
    <w:rsid w:val="00785EDE"/>
    <w:pPr>
      <w:tabs>
        <w:tab w:val="left" w:pos="1152"/>
      </w:tabs>
      <w:suppressAutoHyphens/>
      <w:ind w:left="1152" w:hanging="1152"/>
    </w:pPr>
    <w:rPr>
      <w:sz w:val="20"/>
      <w:szCs w:val="20"/>
    </w:rPr>
  </w:style>
  <w:style w:type="character" w:styleId="FootnoteReference">
    <w:name w:val="footnote reference"/>
    <w:semiHidden/>
    <w:rsid w:val="00785EDE"/>
    <w:rPr>
      <w:position w:val="0"/>
      <w:vertAlign w:val="superscript"/>
    </w:rPr>
  </w:style>
  <w:style w:type="paragraph" w:customStyle="1" w:styleId="Number2">
    <w:name w:val="Number 2"/>
    <w:basedOn w:val="Number1"/>
    <w:rsid w:val="00785EDE"/>
    <w:pPr>
      <w:ind w:left="720"/>
    </w:pPr>
  </w:style>
  <w:style w:type="paragraph" w:customStyle="1" w:styleId="Number1">
    <w:name w:val="Number 1"/>
    <w:basedOn w:val="Normal"/>
    <w:rsid w:val="00785EDE"/>
    <w:pPr>
      <w:suppressAutoHyphens/>
      <w:ind w:left="360" w:hanging="360"/>
    </w:pPr>
    <w:rPr>
      <w:szCs w:val="20"/>
    </w:rPr>
  </w:style>
  <w:style w:type="paragraph" w:styleId="Footer">
    <w:name w:val="footer"/>
    <w:basedOn w:val="Normal"/>
    <w:link w:val="FooterChar"/>
    <w:uiPriority w:val="99"/>
    <w:rsid w:val="00785EDE"/>
    <w:pPr>
      <w:tabs>
        <w:tab w:val="center" w:pos="4320"/>
        <w:tab w:val="right" w:pos="8640"/>
      </w:tabs>
      <w:suppressAutoHyphens/>
    </w:pPr>
    <w:rPr>
      <w:szCs w:val="20"/>
    </w:rPr>
  </w:style>
  <w:style w:type="paragraph" w:styleId="Caption">
    <w:name w:val="caption"/>
    <w:basedOn w:val="Normal"/>
    <w:next w:val="Normal"/>
    <w:link w:val="CaptionChar"/>
    <w:qFormat/>
    <w:rsid w:val="00785EDE"/>
    <w:pPr>
      <w:keepLines/>
      <w:tabs>
        <w:tab w:val="right" w:pos="9360"/>
      </w:tabs>
      <w:suppressAutoHyphens/>
      <w:ind w:firstLine="288"/>
    </w:pPr>
    <w:rPr>
      <w:sz w:val="22"/>
      <w:szCs w:val="20"/>
    </w:rPr>
  </w:style>
  <w:style w:type="character" w:customStyle="1" w:styleId="CaptionChar">
    <w:name w:val="Caption Char"/>
    <w:link w:val="Caption"/>
    <w:rsid w:val="00785EDE"/>
    <w:rPr>
      <w:sz w:val="22"/>
    </w:rPr>
  </w:style>
  <w:style w:type="paragraph" w:customStyle="1" w:styleId="Caption-continued">
    <w:name w:val="Caption-continued"/>
    <w:basedOn w:val="Caption"/>
    <w:rsid w:val="00785EDE"/>
  </w:style>
  <w:style w:type="paragraph" w:styleId="NormalIndent">
    <w:name w:val="Normal Indent"/>
    <w:basedOn w:val="Normal"/>
    <w:semiHidden/>
    <w:rsid w:val="00785EDE"/>
    <w:pPr>
      <w:suppressAutoHyphens/>
      <w:ind w:left="720"/>
    </w:pPr>
    <w:rPr>
      <w:szCs w:val="20"/>
    </w:rPr>
  </w:style>
  <w:style w:type="paragraph" w:customStyle="1" w:styleId="Lit-Cited">
    <w:name w:val="Lit-Cited"/>
    <w:basedOn w:val="Normal"/>
    <w:link w:val="Lit-CitedChar1"/>
    <w:rsid w:val="00785EDE"/>
    <w:pPr>
      <w:keepLines/>
      <w:suppressAutoHyphens/>
      <w:ind w:left="288" w:hanging="288"/>
    </w:pPr>
    <w:rPr>
      <w:sz w:val="20"/>
      <w:szCs w:val="20"/>
    </w:rPr>
  </w:style>
  <w:style w:type="paragraph" w:customStyle="1" w:styleId="Append-Cover">
    <w:name w:val="Append-Cover"/>
    <w:next w:val="Heading1"/>
    <w:rsid w:val="00785EDE"/>
    <w:pPr>
      <w:widowControl w:val="0"/>
      <w:spacing w:before="4000"/>
      <w:jc w:val="center"/>
    </w:pPr>
    <w:rPr>
      <w:rFonts w:ascii="Times New Roman Bold" w:hAnsi="Times New Roman Bold"/>
      <w:b/>
      <w:caps/>
      <w:sz w:val="32"/>
    </w:rPr>
  </w:style>
  <w:style w:type="paragraph" w:customStyle="1" w:styleId="Sty">
    <w:name w:val="Sty"/>
    <w:basedOn w:val="Normal"/>
    <w:semiHidden/>
    <w:rsid w:val="00785EDE"/>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rsid w:val="00785EDE"/>
    <w:pPr>
      <w:suppressAutoHyphens/>
    </w:pPr>
    <w:rPr>
      <w:b/>
      <w:bCs/>
      <w:szCs w:val="20"/>
    </w:rPr>
  </w:style>
  <w:style w:type="paragraph" w:customStyle="1" w:styleId="Table-Continued">
    <w:name w:val="Table-Continued"/>
    <w:basedOn w:val="Normal"/>
    <w:next w:val="Normal"/>
    <w:rsid w:val="00785EDE"/>
    <w:pPr>
      <w:keepNext/>
      <w:keepLines/>
      <w:suppressAutoHyphens/>
      <w:spacing w:before="60"/>
      <w:jc w:val="center"/>
    </w:pPr>
    <w:rPr>
      <w:sz w:val="20"/>
      <w:szCs w:val="20"/>
    </w:rPr>
  </w:style>
  <w:style w:type="paragraph" w:customStyle="1" w:styleId="Table-Footnote">
    <w:name w:val="Table-Footnote"/>
    <w:basedOn w:val="Normal"/>
    <w:next w:val="Normal"/>
    <w:rsid w:val="00785EDE"/>
    <w:pPr>
      <w:tabs>
        <w:tab w:val="left" w:pos="216"/>
      </w:tabs>
      <w:suppressAutoHyphens/>
      <w:spacing w:before="40" w:after="20"/>
      <w:ind w:left="216" w:hanging="216"/>
    </w:pPr>
    <w:rPr>
      <w:sz w:val="20"/>
      <w:szCs w:val="20"/>
    </w:rPr>
  </w:style>
  <w:style w:type="paragraph" w:styleId="Header">
    <w:name w:val="header"/>
    <w:basedOn w:val="Normal"/>
    <w:rsid w:val="00785EDE"/>
    <w:pPr>
      <w:tabs>
        <w:tab w:val="center" w:pos="4320"/>
        <w:tab w:val="right" w:pos="8640"/>
      </w:tabs>
      <w:suppressAutoHyphens/>
    </w:pPr>
    <w:rPr>
      <w:szCs w:val="20"/>
    </w:rPr>
  </w:style>
  <w:style w:type="paragraph" w:customStyle="1" w:styleId="TOCPage">
    <w:name w:val="TOC Page"/>
    <w:basedOn w:val="TOCHeader"/>
    <w:next w:val="Normal"/>
    <w:rsid w:val="00785EDE"/>
    <w:pPr>
      <w:jc w:val="right"/>
    </w:pPr>
    <w:rPr>
      <w:sz w:val="24"/>
    </w:rPr>
  </w:style>
  <w:style w:type="paragraph" w:customStyle="1" w:styleId="TOCHeader">
    <w:name w:val="TOC Header"/>
    <w:basedOn w:val="Normal"/>
    <w:next w:val="TOCPage"/>
    <w:rsid w:val="00785EDE"/>
    <w:pPr>
      <w:suppressAutoHyphens/>
      <w:spacing w:after="0"/>
      <w:jc w:val="center"/>
    </w:pPr>
    <w:rPr>
      <w:b/>
      <w:noProof/>
      <w:sz w:val="32"/>
      <w:szCs w:val="20"/>
    </w:rPr>
  </w:style>
  <w:style w:type="character" w:styleId="PageNumber">
    <w:name w:val="page number"/>
    <w:rsid w:val="00785EDE"/>
  </w:style>
  <w:style w:type="paragraph" w:customStyle="1" w:styleId="Bulletedtest">
    <w:name w:val="Bulleted test"/>
    <w:basedOn w:val="Normal"/>
    <w:rsid w:val="00785EDE"/>
    <w:pPr>
      <w:numPr>
        <w:ilvl w:val="1"/>
        <w:numId w:val="1"/>
      </w:numPr>
      <w:ind w:right="288"/>
    </w:pPr>
  </w:style>
  <w:style w:type="paragraph" w:styleId="BodyText">
    <w:name w:val="Body Text"/>
    <w:basedOn w:val="Normal"/>
    <w:semiHidden/>
    <w:rsid w:val="00785EDE"/>
    <w:rPr>
      <w:sz w:val="22"/>
    </w:rPr>
  </w:style>
  <w:style w:type="paragraph" w:customStyle="1" w:styleId="Captiontitle">
    <w:name w:val="Caption title"/>
    <w:basedOn w:val="Normal"/>
    <w:next w:val="Normal"/>
    <w:link w:val="CaptiontitleChar"/>
    <w:rsid w:val="00785EDE"/>
    <w:pPr>
      <w:ind w:firstLine="288"/>
    </w:pPr>
    <w:rPr>
      <w:sz w:val="22"/>
    </w:rPr>
  </w:style>
  <w:style w:type="character" w:customStyle="1" w:styleId="CaptiontitleChar">
    <w:name w:val="Caption title Char"/>
    <w:link w:val="Captiontitle"/>
    <w:rsid w:val="00785EDE"/>
    <w:rPr>
      <w:sz w:val="22"/>
      <w:szCs w:val="24"/>
    </w:rPr>
  </w:style>
  <w:style w:type="paragraph" w:customStyle="1" w:styleId="RefCitedtitlecont">
    <w:name w:val="Ref Cited title cont."/>
    <w:next w:val="Lit-Cited"/>
    <w:rsid w:val="00785EDE"/>
    <w:pPr>
      <w:spacing w:after="120"/>
      <w:jc w:val="center"/>
    </w:pPr>
    <w:rPr>
      <w:rFonts w:ascii="Times New Roman Bold" w:hAnsi="Times New Roman Bold"/>
      <w:b/>
      <w:sz w:val="32"/>
    </w:rPr>
  </w:style>
  <w:style w:type="paragraph" w:customStyle="1" w:styleId="Append-Titlecontinued">
    <w:name w:val="Append-Title(continued)"/>
    <w:basedOn w:val="Normal"/>
    <w:next w:val="Normal"/>
    <w:rsid w:val="00785EDE"/>
    <w:pPr>
      <w:keepNext/>
      <w:keepLines/>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semiHidden/>
    <w:rsid w:val="00785EDE"/>
    <w:pPr>
      <w:ind w:right="1152"/>
    </w:pPr>
    <w:rPr>
      <w:sz w:val="20"/>
    </w:rPr>
  </w:style>
  <w:style w:type="paragraph" w:styleId="TOC4">
    <w:name w:val="toc 4"/>
    <w:basedOn w:val="Heading4"/>
    <w:next w:val="Normal"/>
    <w:autoRedefine/>
    <w:uiPriority w:val="39"/>
    <w:rsid w:val="00785EDE"/>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rsid w:val="00785EDE"/>
    <w:pPr>
      <w:spacing w:after="0"/>
      <w:ind w:left="965"/>
      <w:jc w:val="left"/>
    </w:pPr>
    <w:rPr>
      <w:caps w:val="0"/>
    </w:rPr>
  </w:style>
  <w:style w:type="paragraph" w:styleId="TOC6">
    <w:name w:val="toc 6"/>
    <w:basedOn w:val="Normal"/>
    <w:next w:val="Normal"/>
    <w:autoRedefine/>
    <w:semiHidden/>
    <w:rsid w:val="00785EDE"/>
    <w:pPr>
      <w:tabs>
        <w:tab w:val="right" w:leader="dot" w:pos="9350"/>
      </w:tabs>
      <w:spacing w:before="60" w:after="60"/>
      <w:jc w:val="left"/>
    </w:pPr>
    <w:rPr>
      <w:caps/>
      <w:sz w:val="20"/>
      <w:u w:val="single"/>
    </w:rPr>
  </w:style>
  <w:style w:type="paragraph" w:styleId="TOC7">
    <w:name w:val="toc 7"/>
    <w:basedOn w:val="Normal"/>
    <w:next w:val="Normal"/>
    <w:autoRedefine/>
    <w:semiHidden/>
    <w:rsid w:val="00785EDE"/>
    <w:pPr>
      <w:spacing w:after="0"/>
      <w:ind w:left="1440"/>
      <w:jc w:val="left"/>
    </w:pPr>
  </w:style>
  <w:style w:type="paragraph" w:styleId="TOC8">
    <w:name w:val="toc 8"/>
    <w:basedOn w:val="Normal"/>
    <w:next w:val="Normal"/>
    <w:autoRedefine/>
    <w:semiHidden/>
    <w:rsid w:val="00785EDE"/>
    <w:pPr>
      <w:spacing w:after="0"/>
      <w:ind w:left="1680"/>
      <w:jc w:val="left"/>
    </w:pPr>
  </w:style>
  <w:style w:type="paragraph" w:styleId="TOC9">
    <w:name w:val="toc 9"/>
    <w:basedOn w:val="Normal"/>
    <w:next w:val="Normal"/>
    <w:autoRedefine/>
    <w:semiHidden/>
    <w:rsid w:val="00785EDE"/>
    <w:pPr>
      <w:spacing w:before="300" w:after="300"/>
    </w:pPr>
    <w:rPr>
      <w:caps/>
      <w:sz w:val="20"/>
    </w:rPr>
  </w:style>
  <w:style w:type="paragraph" w:customStyle="1" w:styleId="Equation">
    <w:name w:val="Equation"/>
    <w:basedOn w:val="Normal"/>
    <w:rsid w:val="00785EDE"/>
    <w:pPr>
      <w:keepLines/>
      <w:suppressAutoHyphens/>
      <w:overflowPunct w:val="0"/>
      <w:autoSpaceDE w:val="0"/>
      <w:autoSpaceDN w:val="0"/>
      <w:adjustRightInd w:val="0"/>
      <w:textAlignment w:val="baseline"/>
    </w:pPr>
    <w:rPr>
      <w:sz w:val="20"/>
      <w:szCs w:val="20"/>
    </w:rPr>
  </w:style>
  <w:style w:type="paragraph" w:customStyle="1" w:styleId="Append-title">
    <w:name w:val="Append-title"/>
    <w:basedOn w:val="Normal"/>
    <w:semiHidden/>
    <w:rsid w:val="00785EDE"/>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AppenidixHeading2">
    <w:name w:val="Appenidix Heading 2"/>
    <w:basedOn w:val="Normal"/>
    <w:next w:val="Normal"/>
    <w:rsid w:val="00785EDE"/>
    <w:rPr>
      <w:rFonts w:ascii="Times New Roman Bold" w:hAnsi="Times New Roman Bold"/>
      <w:b/>
      <w:smallCaps/>
      <w:sz w:val="28"/>
    </w:rPr>
  </w:style>
  <w:style w:type="paragraph" w:customStyle="1" w:styleId="SectionHeading">
    <w:name w:val="Section Heading"/>
    <w:basedOn w:val="Heading6"/>
    <w:next w:val="Heading1"/>
    <w:link w:val="SectionHeadingChar"/>
    <w:autoRedefine/>
    <w:rsid w:val="00785EDE"/>
    <w:pPr>
      <w:pBdr>
        <w:bottom w:val="single" w:sz="4" w:space="1" w:color="auto"/>
      </w:pBdr>
      <w:spacing w:before="0" w:after="1080"/>
      <w:jc w:val="center"/>
    </w:pPr>
    <w:rPr>
      <w:rFonts w:ascii="Times New Roman Bold" w:hAnsi="Times New Roman Bold"/>
      <w:b w:val="0"/>
      <w:caps/>
      <w:sz w:val="36"/>
    </w:rPr>
  </w:style>
  <w:style w:type="character" w:customStyle="1" w:styleId="SectionHeadingChar">
    <w:name w:val="Section Heading Char"/>
    <w:link w:val="SectionHeading"/>
    <w:rsid w:val="00785EDE"/>
    <w:rPr>
      <w:rFonts w:ascii="Times New Roman Bold" w:hAnsi="Times New Roman Bold"/>
      <w:bCs/>
      <w:caps/>
      <w:sz w:val="36"/>
      <w:szCs w:val="22"/>
    </w:rPr>
  </w:style>
  <w:style w:type="paragraph" w:customStyle="1" w:styleId="OPPLANHEADING">
    <w:name w:val="OP PLAN HEADING"/>
    <w:basedOn w:val="Heading1"/>
    <w:next w:val="Normal"/>
    <w:rsid w:val="00785EDE"/>
  </w:style>
  <w:style w:type="character" w:styleId="CommentReference">
    <w:name w:val="annotation reference"/>
    <w:semiHidden/>
    <w:rsid w:val="00785EDE"/>
    <w:rPr>
      <w:sz w:val="16"/>
      <w:szCs w:val="16"/>
    </w:rPr>
  </w:style>
  <w:style w:type="paragraph" w:customStyle="1" w:styleId="tablerow0">
    <w:name w:val="table row"/>
    <w:basedOn w:val="Normal"/>
    <w:rsid w:val="00785EDE"/>
    <w:pPr>
      <w:spacing w:before="20" w:after="0"/>
    </w:pPr>
    <w:rPr>
      <w:sz w:val="20"/>
    </w:rPr>
  </w:style>
  <w:style w:type="paragraph" w:styleId="PlainText">
    <w:name w:val="Plain Text"/>
    <w:basedOn w:val="Normal"/>
    <w:rsid w:val="00785EDE"/>
    <w:rPr>
      <w:rFonts w:ascii="Courier New" w:hAnsi="Courier New" w:cs="Courier New"/>
      <w:sz w:val="20"/>
      <w:szCs w:val="20"/>
    </w:rPr>
  </w:style>
  <w:style w:type="paragraph" w:customStyle="1" w:styleId="ref-Cited">
    <w:name w:val="ref-Cited"/>
    <w:basedOn w:val="Normal"/>
    <w:rsid w:val="00785EDE"/>
    <w:pPr>
      <w:keepLines/>
      <w:suppressAutoHyphens/>
      <w:ind w:left="288" w:hanging="288"/>
    </w:pPr>
    <w:rPr>
      <w:sz w:val="20"/>
      <w:szCs w:val="20"/>
    </w:rPr>
  </w:style>
  <w:style w:type="paragraph" w:styleId="CommentText">
    <w:name w:val="annotation text"/>
    <w:basedOn w:val="Normal"/>
    <w:semiHidden/>
    <w:rsid w:val="00785EDE"/>
    <w:rPr>
      <w:sz w:val="20"/>
      <w:szCs w:val="20"/>
    </w:rPr>
  </w:style>
  <w:style w:type="paragraph" w:styleId="FootnoteText">
    <w:name w:val="footnote text"/>
    <w:basedOn w:val="Normal"/>
    <w:semiHidden/>
    <w:rsid w:val="00785EDE"/>
    <w:pPr>
      <w:tabs>
        <w:tab w:val="left" w:pos="216"/>
      </w:tabs>
      <w:spacing w:before="20" w:after="20"/>
      <w:ind w:left="216" w:hanging="216"/>
    </w:pPr>
    <w:rPr>
      <w:sz w:val="16"/>
      <w:szCs w:val="16"/>
    </w:rPr>
  </w:style>
  <w:style w:type="paragraph" w:customStyle="1" w:styleId="Bullet1">
    <w:name w:val="Bullet 1"/>
    <w:basedOn w:val="Normal"/>
    <w:rsid w:val="00785EDE"/>
    <w:pPr>
      <w:ind w:left="288" w:hanging="288"/>
    </w:pPr>
  </w:style>
  <w:style w:type="paragraph" w:customStyle="1" w:styleId="Bullet2">
    <w:name w:val="Bullet 2"/>
    <w:basedOn w:val="Normal"/>
    <w:rsid w:val="00785EDE"/>
    <w:pPr>
      <w:ind w:left="648" w:hanging="288"/>
    </w:pPr>
  </w:style>
  <w:style w:type="character" w:styleId="EndnoteReference">
    <w:name w:val="endnote reference"/>
    <w:semiHidden/>
    <w:rsid w:val="00785EDE"/>
    <w:rPr>
      <w:vertAlign w:val="superscript"/>
    </w:rPr>
  </w:style>
  <w:style w:type="paragraph" w:styleId="Index1">
    <w:name w:val="index 1"/>
    <w:basedOn w:val="Normal"/>
    <w:next w:val="Normal"/>
    <w:autoRedefine/>
    <w:semiHidden/>
    <w:rsid w:val="00785EDE"/>
    <w:pPr>
      <w:tabs>
        <w:tab w:val="right" w:pos="4320"/>
      </w:tabs>
      <w:spacing w:after="0"/>
      <w:ind w:left="240" w:hanging="240"/>
      <w:jc w:val="left"/>
    </w:pPr>
    <w:rPr>
      <w:sz w:val="18"/>
      <w:szCs w:val="18"/>
    </w:rPr>
  </w:style>
  <w:style w:type="paragraph" w:styleId="Index2">
    <w:name w:val="index 2"/>
    <w:basedOn w:val="Normal"/>
    <w:next w:val="Normal"/>
    <w:autoRedefine/>
    <w:semiHidden/>
    <w:rsid w:val="00785EDE"/>
    <w:pPr>
      <w:tabs>
        <w:tab w:val="right" w:pos="4320"/>
      </w:tabs>
      <w:spacing w:after="0"/>
      <w:ind w:left="480" w:hanging="240"/>
      <w:jc w:val="left"/>
    </w:pPr>
    <w:rPr>
      <w:sz w:val="18"/>
      <w:szCs w:val="18"/>
    </w:rPr>
  </w:style>
  <w:style w:type="paragraph" w:styleId="Index3">
    <w:name w:val="index 3"/>
    <w:basedOn w:val="Normal"/>
    <w:next w:val="Normal"/>
    <w:autoRedefine/>
    <w:semiHidden/>
    <w:rsid w:val="00785EDE"/>
    <w:pPr>
      <w:tabs>
        <w:tab w:val="right" w:pos="4320"/>
      </w:tabs>
      <w:spacing w:after="0"/>
      <w:ind w:left="720" w:hanging="240"/>
      <w:jc w:val="left"/>
    </w:pPr>
    <w:rPr>
      <w:sz w:val="18"/>
      <w:szCs w:val="18"/>
    </w:rPr>
  </w:style>
  <w:style w:type="paragraph" w:styleId="Index4">
    <w:name w:val="index 4"/>
    <w:basedOn w:val="Normal"/>
    <w:next w:val="Normal"/>
    <w:autoRedefine/>
    <w:semiHidden/>
    <w:rsid w:val="00785EDE"/>
    <w:pPr>
      <w:tabs>
        <w:tab w:val="right" w:pos="4320"/>
      </w:tabs>
      <w:spacing w:after="0"/>
      <w:ind w:left="960" w:hanging="240"/>
      <w:jc w:val="left"/>
    </w:pPr>
    <w:rPr>
      <w:sz w:val="18"/>
      <w:szCs w:val="18"/>
    </w:rPr>
  </w:style>
  <w:style w:type="paragraph" w:styleId="IndexHeading">
    <w:name w:val="index heading"/>
    <w:basedOn w:val="Normal"/>
    <w:next w:val="Index1"/>
    <w:semiHidden/>
    <w:rsid w:val="00785EDE"/>
    <w:pPr>
      <w:spacing w:before="240"/>
      <w:jc w:val="center"/>
    </w:pPr>
    <w:rPr>
      <w:b/>
      <w:bCs/>
      <w:sz w:val="26"/>
      <w:szCs w:val="26"/>
    </w:rPr>
  </w:style>
  <w:style w:type="paragraph" w:customStyle="1" w:styleId="List-Header">
    <w:name w:val="List-Header"/>
    <w:basedOn w:val="Normal"/>
    <w:next w:val="List-Page"/>
    <w:rsid w:val="00785EDE"/>
    <w:pPr>
      <w:spacing w:after="0"/>
      <w:jc w:val="center"/>
    </w:pPr>
    <w:rPr>
      <w:b/>
      <w:bCs/>
      <w:sz w:val="32"/>
      <w:szCs w:val="32"/>
    </w:rPr>
  </w:style>
  <w:style w:type="paragraph" w:customStyle="1" w:styleId="Normal-KeepLine">
    <w:name w:val="Normal-Keep Line"/>
    <w:basedOn w:val="Normal"/>
    <w:rsid w:val="00785EDE"/>
    <w:pPr>
      <w:keepLines/>
    </w:pPr>
  </w:style>
  <w:style w:type="paragraph" w:customStyle="1" w:styleId="Normal-KeepNext">
    <w:name w:val="Normal-Keep Next"/>
    <w:basedOn w:val="Normal"/>
    <w:rsid w:val="00785EDE"/>
    <w:pPr>
      <w:keepNext/>
      <w:keepLines/>
    </w:pPr>
  </w:style>
  <w:style w:type="paragraph" w:styleId="TableofAuthorities">
    <w:name w:val="table of authorities"/>
    <w:basedOn w:val="Normal"/>
    <w:semiHidden/>
    <w:rsid w:val="00785EDE"/>
    <w:pPr>
      <w:keepLines/>
      <w:ind w:left="288" w:hanging="288"/>
    </w:pPr>
    <w:rPr>
      <w:sz w:val="20"/>
      <w:szCs w:val="20"/>
    </w:rPr>
  </w:style>
  <w:style w:type="paragraph" w:styleId="TOAHeading">
    <w:name w:val="toa heading"/>
    <w:basedOn w:val="Heading1"/>
    <w:next w:val="Normal"/>
    <w:semiHidden/>
    <w:rsid w:val="00785EDE"/>
    <w:pPr>
      <w:tabs>
        <w:tab w:val="right" w:leader="dot" w:pos="4464"/>
      </w:tabs>
      <w:outlineLvl w:val="9"/>
    </w:pPr>
  </w:style>
  <w:style w:type="paragraph" w:customStyle="1" w:styleId="StyleTableofFiguresLeft046Firstline0">
    <w:name w:val="Style Table of Figures + Left:  0.46&quot; First line:  0&quot;"/>
    <w:basedOn w:val="TableofFigures"/>
    <w:rsid w:val="00785EDE"/>
    <w:pPr>
      <w:ind w:left="666" w:firstLine="0"/>
    </w:pPr>
  </w:style>
  <w:style w:type="paragraph" w:styleId="BlockText">
    <w:name w:val="Block Text"/>
    <w:basedOn w:val="Normal"/>
    <w:rsid w:val="00785EDE"/>
    <w:pPr>
      <w:ind w:left="432" w:right="432"/>
    </w:pPr>
  </w:style>
  <w:style w:type="paragraph" w:styleId="CommentSubject">
    <w:name w:val="annotation subject"/>
    <w:basedOn w:val="CommentText"/>
    <w:next w:val="CommentText"/>
    <w:semiHidden/>
    <w:rsid w:val="00785EDE"/>
    <w:rPr>
      <w:b/>
      <w:bCs/>
    </w:rPr>
  </w:style>
  <w:style w:type="paragraph" w:customStyle="1" w:styleId="Normal-15">
    <w:name w:val="Normal-1.5"/>
    <w:basedOn w:val="Normal"/>
    <w:next w:val="Normal"/>
    <w:rsid w:val="00785EDE"/>
    <w:pPr>
      <w:suppressAutoHyphens/>
      <w:spacing w:line="360" w:lineRule="auto"/>
    </w:pPr>
    <w:rPr>
      <w:szCs w:val="20"/>
    </w:rPr>
  </w:style>
  <w:style w:type="paragraph" w:customStyle="1" w:styleId="Default">
    <w:name w:val="Default"/>
    <w:rsid w:val="00785EDE"/>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785ED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785EDE"/>
    <w:pPr>
      <w:pBdr>
        <w:bottom w:val="none" w:sz="0" w:space="0" w:color="auto"/>
      </w:pBdr>
      <w:jc w:val="center"/>
    </w:pPr>
  </w:style>
  <w:style w:type="paragraph" w:customStyle="1" w:styleId="OpPlanprojecttitle">
    <w:name w:val="Op Plan project title"/>
    <w:basedOn w:val="TitlePg-Title"/>
    <w:next w:val="Normal"/>
    <w:rsid w:val="00785EDE"/>
    <w:pPr>
      <w:spacing w:before="240"/>
    </w:pPr>
  </w:style>
  <w:style w:type="paragraph" w:customStyle="1" w:styleId="Opplanpersonnel">
    <w:name w:val="Op plan personnel"/>
    <w:basedOn w:val="Normal"/>
    <w:rsid w:val="00785EDE"/>
    <w:pPr>
      <w:ind w:left="720"/>
    </w:pPr>
    <w:rPr>
      <w:rFonts w:ascii="Times New Roman Bold" w:hAnsi="Times New Roman Bold"/>
      <w:b/>
    </w:rPr>
  </w:style>
  <w:style w:type="paragraph" w:customStyle="1" w:styleId="FootnoteReference1">
    <w:name w:val="Footnote Reference1"/>
    <w:basedOn w:val="Table-Footnote"/>
    <w:rsid w:val="002C766D"/>
    <w:rPr>
      <w:vertAlign w:val="superscript"/>
    </w:rPr>
  </w:style>
  <w:style w:type="paragraph" w:customStyle="1" w:styleId="FootnoteReference10">
    <w:name w:val="Footnote Reference1"/>
    <w:basedOn w:val="Table-Footnote"/>
    <w:rsid w:val="00785EDE"/>
    <w:rPr>
      <w:vertAlign w:val="superscript"/>
    </w:rPr>
  </w:style>
  <w:style w:type="character" w:customStyle="1" w:styleId="FooterChar">
    <w:name w:val="Footer Char"/>
    <w:link w:val="Footer"/>
    <w:uiPriority w:val="99"/>
    <w:rsid w:val="0037059E"/>
    <w:rPr>
      <w:sz w:val="24"/>
    </w:rPr>
  </w:style>
  <w:style w:type="character" w:customStyle="1" w:styleId="Heading2Char">
    <w:name w:val="Heading 2 Char"/>
    <w:link w:val="Heading2"/>
    <w:rsid w:val="0037059E"/>
    <w:rPr>
      <w:rFonts w:ascii="Times New Roman Bold" w:hAnsi="Times New Roman Bold"/>
      <w:b/>
      <w:smallCaps/>
      <w:sz w:val="30"/>
    </w:rPr>
  </w:style>
  <w:style w:type="character" w:customStyle="1" w:styleId="Heading3Char">
    <w:name w:val="Heading 3 Char"/>
    <w:link w:val="Heading3"/>
    <w:rsid w:val="0037059E"/>
    <w:rPr>
      <w:b/>
      <w:sz w:val="26"/>
    </w:rPr>
  </w:style>
  <w:style w:type="character" w:customStyle="1" w:styleId="Heading4Char">
    <w:name w:val="Heading 4 Char"/>
    <w:link w:val="Heading4"/>
    <w:rsid w:val="0037059E"/>
    <w:rPr>
      <w:rFonts w:ascii="Times New Roman Bold" w:hAnsi="Times New Roman Bold"/>
      <w:b/>
      <w:bCs/>
      <w:i/>
      <w:sz w:val="24"/>
      <w:szCs w:val="28"/>
    </w:rPr>
  </w:style>
  <w:style w:type="character" w:customStyle="1" w:styleId="Heading5Char">
    <w:name w:val="Heading 5 Char"/>
    <w:link w:val="Heading5"/>
    <w:rsid w:val="0037059E"/>
    <w:rPr>
      <w:rFonts w:ascii="Times New Roman Bold" w:hAnsi="Times New Roman Bold"/>
      <w:b/>
      <w:bCs/>
      <w:iCs/>
      <w:sz w:val="24"/>
      <w:szCs w:val="26"/>
    </w:rPr>
  </w:style>
  <w:style w:type="paragraph" w:customStyle="1" w:styleId="xl22">
    <w:name w:val="xl22"/>
    <w:basedOn w:val="Normal"/>
    <w:rsid w:val="00106844"/>
    <w:pPr>
      <w:spacing w:before="100" w:beforeAutospacing="1" w:after="100" w:afterAutospacing="1"/>
      <w:jc w:val="left"/>
    </w:pPr>
    <w:rPr>
      <w:sz w:val="20"/>
    </w:rPr>
  </w:style>
  <w:style w:type="character" w:customStyle="1" w:styleId="Lit-CitedChar1">
    <w:name w:val="Lit-Cited Char1"/>
    <w:basedOn w:val="DefaultParagraphFont"/>
    <w:link w:val="Lit-Cited"/>
    <w:rsid w:val="00276B6E"/>
  </w:style>
  <w:style w:type="paragraph" w:styleId="BalloonText">
    <w:name w:val="Balloon Text"/>
    <w:basedOn w:val="Normal"/>
    <w:link w:val="BalloonTextChar"/>
    <w:rsid w:val="0046657A"/>
    <w:pPr>
      <w:spacing w:after="0"/>
    </w:pPr>
    <w:rPr>
      <w:rFonts w:ascii="Tahoma" w:hAnsi="Tahoma" w:cs="Tahoma"/>
      <w:sz w:val="16"/>
      <w:szCs w:val="16"/>
    </w:rPr>
  </w:style>
  <w:style w:type="character" w:customStyle="1" w:styleId="BalloonTextChar">
    <w:name w:val="Balloon Text Char"/>
    <w:link w:val="BalloonText"/>
    <w:rsid w:val="0046657A"/>
    <w:rPr>
      <w:rFonts w:ascii="Tahoma" w:hAnsi="Tahoma" w:cs="Tahoma"/>
      <w:sz w:val="16"/>
      <w:szCs w:val="16"/>
    </w:rPr>
  </w:style>
  <w:style w:type="paragraph" w:styleId="Revision">
    <w:name w:val="Revision"/>
    <w:hidden/>
    <w:uiPriority w:val="99"/>
    <w:semiHidden/>
    <w:rsid w:val="008A0259"/>
    <w:rPr>
      <w:sz w:val="24"/>
      <w:szCs w:val="24"/>
    </w:rPr>
  </w:style>
  <w:style w:type="paragraph" w:styleId="ListParagraph">
    <w:name w:val="List Paragraph"/>
    <w:basedOn w:val="Normal"/>
    <w:uiPriority w:val="34"/>
    <w:qFormat/>
    <w:rsid w:val="00961D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5EDE"/>
    <w:pPr>
      <w:spacing w:after="120"/>
      <w:jc w:val="both"/>
    </w:pPr>
    <w:rPr>
      <w:sz w:val="24"/>
      <w:szCs w:val="24"/>
    </w:rPr>
  </w:style>
  <w:style w:type="paragraph" w:styleId="Heading1">
    <w:name w:val="heading 1"/>
    <w:basedOn w:val="Normal"/>
    <w:next w:val="Normal"/>
    <w:link w:val="Heading1Char"/>
    <w:qFormat/>
    <w:rsid w:val="00785EDE"/>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qFormat/>
    <w:rsid w:val="00785EDE"/>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qFormat/>
    <w:rsid w:val="00785EDE"/>
    <w:pPr>
      <w:keepNext/>
      <w:suppressAutoHyphens/>
      <w:jc w:val="left"/>
      <w:outlineLvl w:val="2"/>
    </w:pPr>
    <w:rPr>
      <w:b/>
      <w:sz w:val="26"/>
      <w:szCs w:val="20"/>
    </w:rPr>
  </w:style>
  <w:style w:type="paragraph" w:styleId="Heading4">
    <w:name w:val="heading 4"/>
    <w:basedOn w:val="Normal"/>
    <w:next w:val="Normal"/>
    <w:link w:val="Heading4Char"/>
    <w:qFormat/>
    <w:rsid w:val="00785EDE"/>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qFormat/>
    <w:rsid w:val="00785EDE"/>
    <w:pPr>
      <w:keepNext/>
      <w:spacing w:before="60"/>
      <w:outlineLvl w:val="4"/>
    </w:pPr>
    <w:rPr>
      <w:rFonts w:ascii="Times New Roman Bold" w:hAnsi="Times New Roman Bold"/>
      <w:b/>
      <w:bCs/>
      <w:iCs/>
      <w:szCs w:val="26"/>
    </w:rPr>
  </w:style>
  <w:style w:type="paragraph" w:styleId="Heading6">
    <w:name w:val="heading 6"/>
    <w:basedOn w:val="Normal"/>
    <w:next w:val="Normal"/>
    <w:qFormat/>
    <w:rsid w:val="00785EDE"/>
    <w:pPr>
      <w:spacing w:before="240" w:after="60"/>
      <w:outlineLvl w:val="5"/>
    </w:pPr>
    <w:rPr>
      <w:b/>
      <w:bCs/>
      <w:sz w:val="22"/>
      <w:szCs w:val="22"/>
    </w:rPr>
  </w:style>
  <w:style w:type="paragraph" w:styleId="Heading7">
    <w:name w:val="heading 7"/>
    <w:basedOn w:val="Normal"/>
    <w:next w:val="Normal"/>
    <w:qFormat/>
    <w:rsid w:val="00785EDE"/>
    <w:pPr>
      <w:spacing w:before="240" w:after="60"/>
      <w:outlineLvl w:val="6"/>
    </w:pPr>
  </w:style>
  <w:style w:type="paragraph" w:styleId="Heading8">
    <w:name w:val="heading 8"/>
    <w:basedOn w:val="Normal"/>
    <w:next w:val="Normal"/>
    <w:qFormat/>
    <w:rsid w:val="00785EDE"/>
    <w:pPr>
      <w:spacing w:before="240" w:after="60"/>
      <w:outlineLvl w:val="7"/>
    </w:pPr>
    <w:rPr>
      <w:i/>
      <w:iCs/>
    </w:rPr>
  </w:style>
  <w:style w:type="paragraph" w:styleId="Heading9">
    <w:name w:val="heading 9"/>
    <w:basedOn w:val="Normal"/>
    <w:next w:val="Normal"/>
    <w:link w:val="Heading9Char"/>
    <w:qFormat/>
    <w:rsid w:val="00785EDE"/>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85EDE"/>
    <w:rPr>
      <w:rFonts w:ascii="Times New Roman Bold" w:hAnsi="Times New Roman Bold"/>
      <w:b/>
      <w:caps/>
      <w:sz w:val="32"/>
    </w:rPr>
  </w:style>
  <w:style w:type="character" w:customStyle="1" w:styleId="Heading9Char">
    <w:name w:val="Heading 9 Char"/>
    <w:link w:val="Heading9"/>
    <w:rsid w:val="00785EDE"/>
    <w:rPr>
      <w:rFonts w:ascii="Arial" w:hAnsi="Arial" w:cs="Arial"/>
      <w:sz w:val="22"/>
      <w:szCs w:val="22"/>
    </w:rPr>
  </w:style>
  <w:style w:type="paragraph" w:customStyle="1" w:styleId="SymbolsandAbbrevTitle">
    <w:name w:val="Symbols and Abbrev. Title"/>
    <w:basedOn w:val="Normal"/>
    <w:next w:val="Normal"/>
    <w:rsid w:val="00785EDE"/>
    <w:pPr>
      <w:jc w:val="center"/>
    </w:pPr>
    <w:rPr>
      <w:rFonts w:ascii="Times New Roman Bold" w:hAnsi="Times New Roman Bold"/>
      <w:b/>
      <w:sz w:val="22"/>
    </w:rPr>
  </w:style>
  <w:style w:type="character" w:styleId="FollowedHyperlink">
    <w:name w:val="FollowedHyperlink"/>
    <w:semiHidden/>
    <w:rsid w:val="00785EDE"/>
    <w:rPr>
      <w:color w:val="800080"/>
      <w:u w:val="single"/>
    </w:rPr>
  </w:style>
  <w:style w:type="paragraph" w:customStyle="1" w:styleId="Cover-PublSeries">
    <w:name w:val="Cover-Publ Series"/>
    <w:basedOn w:val="Normal"/>
    <w:next w:val="Cover-ReptTitle"/>
    <w:rsid w:val="00785EDE"/>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785EDE"/>
    <w:pPr>
      <w:suppressAutoHyphens/>
      <w:spacing w:before="600" w:after="1080"/>
      <w:jc w:val="left"/>
    </w:pPr>
    <w:rPr>
      <w:b/>
      <w:sz w:val="40"/>
      <w:szCs w:val="20"/>
    </w:rPr>
  </w:style>
  <w:style w:type="paragraph" w:customStyle="1" w:styleId="Cover-ByAuthors">
    <w:name w:val="Cover-By/Author(s)"/>
    <w:basedOn w:val="Normal"/>
    <w:rsid w:val="00785EDE"/>
    <w:pPr>
      <w:suppressAutoHyphens/>
      <w:spacing w:after="0" w:line="360" w:lineRule="auto"/>
      <w:jc w:val="left"/>
    </w:pPr>
    <w:rPr>
      <w:b/>
      <w:sz w:val="28"/>
      <w:szCs w:val="20"/>
    </w:rPr>
  </w:style>
  <w:style w:type="paragraph" w:customStyle="1" w:styleId="Cover-PublDate">
    <w:name w:val="Cover-Publ Date"/>
    <w:basedOn w:val="Normal"/>
    <w:next w:val="Normal"/>
    <w:rsid w:val="00785EDE"/>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785EDE"/>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785EDE"/>
    <w:pPr>
      <w:framePr w:wrap="around" w:vAnchor="page" w:hAnchor="page" w:xAlign="center" w:y="12385" w:anchorLock="1"/>
      <w:suppressAutoHyphens/>
      <w:spacing w:after="0"/>
    </w:pPr>
    <w:rPr>
      <w:szCs w:val="20"/>
    </w:rPr>
  </w:style>
  <w:style w:type="paragraph" w:styleId="Title">
    <w:name w:val="Title"/>
    <w:basedOn w:val="Normal"/>
    <w:qFormat/>
    <w:rsid w:val="00785EDE"/>
    <w:pPr>
      <w:suppressAutoHyphens/>
      <w:jc w:val="center"/>
    </w:pPr>
    <w:rPr>
      <w:b/>
      <w:sz w:val="20"/>
      <w:szCs w:val="20"/>
    </w:rPr>
  </w:style>
  <w:style w:type="paragraph" w:customStyle="1" w:styleId="TableRow">
    <w:name w:val="Table Row"/>
    <w:basedOn w:val="Normal-0After"/>
    <w:rsid w:val="00785EDE"/>
    <w:pPr>
      <w:keepNext/>
      <w:keepLines/>
      <w:spacing w:before="20" w:after="20"/>
    </w:pPr>
    <w:rPr>
      <w:sz w:val="20"/>
    </w:rPr>
  </w:style>
  <w:style w:type="paragraph" w:customStyle="1" w:styleId="Normal-0After">
    <w:name w:val="Normal-0 After"/>
    <w:basedOn w:val="Normal"/>
    <w:semiHidden/>
    <w:rsid w:val="00785EDE"/>
    <w:pPr>
      <w:suppressAutoHyphens/>
      <w:spacing w:after="0"/>
    </w:pPr>
    <w:rPr>
      <w:szCs w:val="20"/>
    </w:rPr>
  </w:style>
  <w:style w:type="paragraph" w:customStyle="1" w:styleId="TitlePg-ReptSeries">
    <w:name w:val="Title Pg-Rept Series"/>
    <w:basedOn w:val="Normal"/>
    <w:next w:val="TitlePg-Title"/>
    <w:rsid w:val="00785EDE"/>
    <w:pPr>
      <w:suppressAutoHyphens/>
      <w:spacing w:before="1320" w:after="960"/>
      <w:jc w:val="center"/>
    </w:pPr>
    <w:rPr>
      <w:b/>
      <w:i/>
      <w:caps/>
      <w:sz w:val="32"/>
      <w:szCs w:val="20"/>
    </w:rPr>
  </w:style>
  <w:style w:type="paragraph" w:customStyle="1" w:styleId="TitlePg-Title">
    <w:name w:val="Title Pg-Title"/>
    <w:basedOn w:val="Normal"/>
    <w:next w:val="TitlePg-Authors"/>
    <w:rsid w:val="00785EDE"/>
    <w:pPr>
      <w:suppressAutoHyphens/>
      <w:spacing w:after="480"/>
      <w:jc w:val="center"/>
    </w:pPr>
    <w:rPr>
      <w:b/>
      <w:caps/>
      <w:sz w:val="28"/>
      <w:szCs w:val="20"/>
    </w:rPr>
  </w:style>
  <w:style w:type="paragraph" w:customStyle="1" w:styleId="TitlePg-Authors">
    <w:name w:val="Title Pg-Author(s)"/>
    <w:basedOn w:val="Normal"/>
    <w:rsid w:val="00785EDE"/>
    <w:pPr>
      <w:suppressAutoHyphens/>
      <w:spacing w:after="0" w:line="200" w:lineRule="atLeast"/>
      <w:jc w:val="center"/>
    </w:pPr>
    <w:rPr>
      <w:sz w:val="20"/>
      <w:szCs w:val="20"/>
    </w:rPr>
  </w:style>
  <w:style w:type="paragraph" w:customStyle="1" w:styleId="TitlePg-LocDate">
    <w:name w:val="Title Pg-Loc &amp; Date"/>
    <w:basedOn w:val="Normal"/>
    <w:next w:val="Normal"/>
    <w:rsid w:val="00785EDE"/>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785EDE"/>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uiPriority w:val="99"/>
    <w:rsid w:val="00785EDE"/>
    <w:rPr>
      <w:color w:val="0000FF"/>
      <w:u w:val="single"/>
    </w:rPr>
  </w:style>
  <w:style w:type="paragraph" w:customStyle="1" w:styleId="OEOPg-ReptSeries">
    <w:name w:val="OEO Pg-Rept Series"/>
    <w:basedOn w:val="Normal"/>
    <w:rsid w:val="00785EDE"/>
    <w:pPr>
      <w:suppressAutoHyphens/>
    </w:pPr>
    <w:rPr>
      <w:sz w:val="20"/>
      <w:szCs w:val="20"/>
    </w:rPr>
  </w:style>
  <w:style w:type="paragraph" w:customStyle="1" w:styleId="OEOPg-Citation">
    <w:name w:val="OEO Pg-Citation"/>
    <w:basedOn w:val="Normal"/>
    <w:rsid w:val="00785EDE"/>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785EDE"/>
    <w:pPr>
      <w:framePr w:hSpace="187" w:wrap="around" w:hAnchor="margin" w:yAlign="bottom" w:anchorLock="1"/>
      <w:suppressAutoHyphens/>
      <w:spacing w:after="0"/>
    </w:pPr>
    <w:rPr>
      <w:sz w:val="20"/>
      <w:szCs w:val="20"/>
    </w:rPr>
  </w:style>
  <w:style w:type="character" w:customStyle="1" w:styleId="OEOPg-OEOChar">
    <w:name w:val="OEO Pg-OEO Char"/>
    <w:link w:val="OEOPg-OEO"/>
    <w:rsid w:val="00785EDE"/>
  </w:style>
  <w:style w:type="paragraph" w:styleId="TOC1">
    <w:name w:val="toc 1"/>
    <w:basedOn w:val="Heading1"/>
    <w:next w:val="TOC2"/>
    <w:uiPriority w:val="39"/>
    <w:rsid w:val="00785EDE"/>
    <w:pPr>
      <w:keepNext w:val="0"/>
      <w:keepLines w:val="0"/>
      <w:tabs>
        <w:tab w:val="right" w:leader="dot" w:pos="9360"/>
      </w:tabs>
      <w:spacing w:before="0"/>
      <w:ind w:left="0"/>
      <w:jc w:val="both"/>
      <w:outlineLvl w:val="9"/>
    </w:pPr>
    <w:rPr>
      <w:rFonts w:ascii="Times New Roman" w:hAnsi="Times New Roman"/>
      <w:b w:val="0"/>
      <w:sz w:val="20"/>
    </w:rPr>
  </w:style>
  <w:style w:type="paragraph" w:styleId="TOC2">
    <w:name w:val="toc 2"/>
    <w:basedOn w:val="Heading2"/>
    <w:next w:val="Normal"/>
    <w:uiPriority w:val="39"/>
    <w:rsid w:val="00785EDE"/>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rsid w:val="00785EDE"/>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785EDE"/>
    <w:pPr>
      <w:tabs>
        <w:tab w:val="right" w:pos="9360"/>
      </w:tabs>
      <w:suppressAutoHyphens/>
      <w:spacing w:after="0"/>
      <w:jc w:val="left"/>
    </w:pPr>
    <w:rPr>
      <w:b/>
      <w:szCs w:val="20"/>
    </w:rPr>
  </w:style>
  <w:style w:type="paragraph" w:styleId="TableofFigures">
    <w:name w:val="table of figures"/>
    <w:basedOn w:val="Normal"/>
    <w:next w:val="Normal"/>
    <w:uiPriority w:val="99"/>
    <w:rsid w:val="00785EDE"/>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785EDE"/>
    <w:pPr>
      <w:suppressAutoHyphens/>
    </w:pPr>
    <w:rPr>
      <w:sz w:val="20"/>
      <w:szCs w:val="20"/>
    </w:rPr>
  </w:style>
  <w:style w:type="paragraph" w:customStyle="1" w:styleId="Keywords">
    <w:name w:val="Key words"/>
    <w:basedOn w:val="Normal"/>
    <w:next w:val="Normal"/>
    <w:rsid w:val="00785EDE"/>
    <w:pPr>
      <w:tabs>
        <w:tab w:val="left" w:pos="1152"/>
      </w:tabs>
      <w:suppressAutoHyphens/>
      <w:ind w:left="1152" w:hanging="1152"/>
    </w:pPr>
    <w:rPr>
      <w:sz w:val="20"/>
      <w:szCs w:val="20"/>
    </w:rPr>
  </w:style>
  <w:style w:type="character" w:styleId="FootnoteReference">
    <w:name w:val="footnote reference"/>
    <w:semiHidden/>
    <w:rsid w:val="00785EDE"/>
    <w:rPr>
      <w:position w:val="0"/>
      <w:vertAlign w:val="superscript"/>
    </w:rPr>
  </w:style>
  <w:style w:type="paragraph" w:customStyle="1" w:styleId="Number2">
    <w:name w:val="Number 2"/>
    <w:basedOn w:val="Number1"/>
    <w:rsid w:val="00785EDE"/>
    <w:pPr>
      <w:ind w:left="720"/>
    </w:pPr>
  </w:style>
  <w:style w:type="paragraph" w:customStyle="1" w:styleId="Number1">
    <w:name w:val="Number 1"/>
    <w:basedOn w:val="Normal"/>
    <w:rsid w:val="00785EDE"/>
    <w:pPr>
      <w:suppressAutoHyphens/>
      <w:ind w:left="360" w:hanging="360"/>
    </w:pPr>
    <w:rPr>
      <w:szCs w:val="20"/>
    </w:rPr>
  </w:style>
  <w:style w:type="paragraph" w:styleId="Footer">
    <w:name w:val="footer"/>
    <w:basedOn w:val="Normal"/>
    <w:link w:val="FooterChar"/>
    <w:uiPriority w:val="99"/>
    <w:rsid w:val="00785EDE"/>
    <w:pPr>
      <w:tabs>
        <w:tab w:val="center" w:pos="4320"/>
        <w:tab w:val="right" w:pos="8640"/>
      </w:tabs>
      <w:suppressAutoHyphens/>
    </w:pPr>
    <w:rPr>
      <w:szCs w:val="20"/>
    </w:rPr>
  </w:style>
  <w:style w:type="paragraph" w:styleId="Caption">
    <w:name w:val="caption"/>
    <w:basedOn w:val="Normal"/>
    <w:next w:val="Normal"/>
    <w:link w:val="CaptionChar"/>
    <w:qFormat/>
    <w:rsid w:val="00785EDE"/>
    <w:pPr>
      <w:keepLines/>
      <w:tabs>
        <w:tab w:val="right" w:pos="9360"/>
      </w:tabs>
      <w:suppressAutoHyphens/>
      <w:ind w:firstLine="288"/>
    </w:pPr>
    <w:rPr>
      <w:sz w:val="22"/>
      <w:szCs w:val="20"/>
    </w:rPr>
  </w:style>
  <w:style w:type="character" w:customStyle="1" w:styleId="CaptionChar">
    <w:name w:val="Caption Char"/>
    <w:link w:val="Caption"/>
    <w:rsid w:val="00785EDE"/>
    <w:rPr>
      <w:sz w:val="22"/>
    </w:rPr>
  </w:style>
  <w:style w:type="paragraph" w:customStyle="1" w:styleId="Caption-continued">
    <w:name w:val="Caption-continued"/>
    <w:basedOn w:val="Caption"/>
    <w:rsid w:val="00785EDE"/>
  </w:style>
  <w:style w:type="paragraph" w:styleId="NormalIndent">
    <w:name w:val="Normal Indent"/>
    <w:basedOn w:val="Normal"/>
    <w:semiHidden/>
    <w:rsid w:val="00785EDE"/>
    <w:pPr>
      <w:suppressAutoHyphens/>
      <w:ind w:left="720"/>
    </w:pPr>
    <w:rPr>
      <w:szCs w:val="20"/>
    </w:rPr>
  </w:style>
  <w:style w:type="paragraph" w:customStyle="1" w:styleId="Lit-Cited">
    <w:name w:val="Lit-Cited"/>
    <w:basedOn w:val="Normal"/>
    <w:link w:val="Lit-CitedChar1"/>
    <w:rsid w:val="00785EDE"/>
    <w:pPr>
      <w:keepLines/>
      <w:suppressAutoHyphens/>
      <w:ind w:left="288" w:hanging="288"/>
    </w:pPr>
    <w:rPr>
      <w:sz w:val="20"/>
      <w:szCs w:val="20"/>
    </w:rPr>
  </w:style>
  <w:style w:type="paragraph" w:customStyle="1" w:styleId="Append-Cover">
    <w:name w:val="Append-Cover"/>
    <w:next w:val="Heading1"/>
    <w:rsid w:val="00785EDE"/>
    <w:pPr>
      <w:widowControl w:val="0"/>
      <w:spacing w:before="4000"/>
      <w:jc w:val="center"/>
    </w:pPr>
    <w:rPr>
      <w:rFonts w:ascii="Times New Roman Bold" w:hAnsi="Times New Roman Bold"/>
      <w:b/>
      <w:caps/>
      <w:sz w:val="32"/>
    </w:rPr>
  </w:style>
  <w:style w:type="paragraph" w:customStyle="1" w:styleId="Sty">
    <w:name w:val="Sty"/>
    <w:basedOn w:val="Normal"/>
    <w:semiHidden/>
    <w:rsid w:val="00785EDE"/>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rsid w:val="00785EDE"/>
    <w:pPr>
      <w:suppressAutoHyphens/>
    </w:pPr>
    <w:rPr>
      <w:b/>
      <w:bCs/>
      <w:szCs w:val="20"/>
    </w:rPr>
  </w:style>
  <w:style w:type="paragraph" w:customStyle="1" w:styleId="Table-Continued">
    <w:name w:val="Table-Continued"/>
    <w:basedOn w:val="Normal"/>
    <w:next w:val="Normal"/>
    <w:rsid w:val="00785EDE"/>
    <w:pPr>
      <w:keepNext/>
      <w:keepLines/>
      <w:suppressAutoHyphens/>
      <w:spacing w:before="60"/>
      <w:jc w:val="center"/>
    </w:pPr>
    <w:rPr>
      <w:sz w:val="20"/>
      <w:szCs w:val="20"/>
    </w:rPr>
  </w:style>
  <w:style w:type="paragraph" w:customStyle="1" w:styleId="Table-Footnote">
    <w:name w:val="Table-Footnote"/>
    <w:basedOn w:val="Normal"/>
    <w:next w:val="Normal"/>
    <w:rsid w:val="00785EDE"/>
    <w:pPr>
      <w:tabs>
        <w:tab w:val="left" w:pos="216"/>
      </w:tabs>
      <w:suppressAutoHyphens/>
      <w:spacing w:before="40" w:after="20"/>
      <w:ind w:left="216" w:hanging="216"/>
    </w:pPr>
    <w:rPr>
      <w:sz w:val="20"/>
      <w:szCs w:val="20"/>
    </w:rPr>
  </w:style>
  <w:style w:type="paragraph" w:styleId="Header">
    <w:name w:val="header"/>
    <w:basedOn w:val="Normal"/>
    <w:rsid w:val="00785EDE"/>
    <w:pPr>
      <w:tabs>
        <w:tab w:val="center" w:pos="4320"/>
        <w:tab w:val="right" w:pos="8640"/>
      </w:tabs>
      <w:suppressAutoHyphens/>
    </w:pPr>
    <w:rPr>
      <w:szCs w:val="20"/>
    </w:rPr>
  </w:style>
  <w:style w:type="paragraph" w:customStyle="1" w:styleId="TOCPage">
    <w:name w:val="TOC Page"/>
    <w:basedOn w:val="TOCHeader"/>
    <w:next w:val="Normal"/>
    <w:rsid w:val="00785EDE"/>
    <w:pPr>
      <w:jc w:val="right"/>
    </w:pPr>
    <w:rPr>
      <w:sz w:val="24"/>
    </w:rPr>
  </w:style>
  <w:style w:type="paragraph" w:customStyle="1" w:styleId="TOCHeader">
    <w:name w:val="TOC Header"/>
    <w:basedOn w:val="Normal"/>
    <w:next w:val="TOCPage"/>
    <w:rsid w:val="00785EDE"/>
    <w:pPr>
      <w:suppressAutoHyphens/>
      <w:spacing w:after="0"/>
      <w:jc w:val="center"/>
    </w:pPr>
    <w:rPr>
      <w:b/>
      <w:noProof/>
      <w:sz w:val="32"/>
      <w:szCs w:val="20"/>
    </w:rPr>
  </w:style>
  <w:style w:type="character" w:styleId="PageNumber">
    <w:name w:val="page number"/>
    <w:rsid w:val="00785EDE"/>
  </w:style>
  <w:style w:type="paragraph" w:customStyle="1" w:styleId="Bulletedtest">
    <w:name w:val="Bulleted test"/>
    <w:basedOn w:val="Normal"/>
    <w:rsid w:val="00785EDE"/>
    <w:pPr>
      <w:numPr>
        <w:ilvl w:val="1"/>
        <w:numId w:val="1"/>
      </w:numPr>
      <w:ind w:right="288"/>
    </w:pPr>
  </w:style>
  <w:style w:type="paragraph" w:styleId="BodyText">
    <w:name w:val="Body Text"/>
    <w:basedOn w:val="Normal"/>
    <w:semiHidden/>
    <w:rsid w:val="00785EDE"/>
    <w:rPr>
      <w:sz w:val="22"/>
    </w:rPr>
  </w:style>
  <w:style w:type="paragraph" w:customStyle="1" w:styleId="Captiontitle">
    <w:name w:val="Caption title"/>
    <w:basedOn w:val="Normal"/>
    <w:next w:val="Normal"/>
    <w:link w:val="CaptiontitleChar"/>
    <w:rsid w:val="00785EDE"/>
    <w:pPr>
      <w:ind w:firstLine="288"/>
    </w:pPr>
    <w:rPr>
      <w:sz w:val="22"/>
    </w:rPr>
  </w:style>
  <w:style w:type="character" w:customStyle="1" w:styleId="CaptiontitleChar">
    <w:name w:val="Caption title Char"/>
    <w:link w:val="Captiontitle"/>
    <w:rsid w:val="00785EDE"/>
    <w:rPr>
      <w:sz w:val="22"/>
      <w:szCs w:val="24"/>
    </w:rPr>
  </w:style>
  <w:style w:type="paragraph" w:customStyle="1" w:styleId="RefCitedtitlecont">
    <w:name w:val="Ref Cited title cont."/>
    <w:next w:val="Lit-Cited"/>
    <w:rsid w:val="00785EDE"/>
    <w:pPr>
      <w:spacing w:after="120"/>
      <w:jc w:val="center"/>
    </w:pPr>
    <w:rPr>
      <w:rFonts w:ascii="Times New Roman Bold" w:hAnsi="Times New Roman Bold"/>
      <w:b/>
      <w:sz w:val="32"/>
    </w:rPr>
  </w:style>
  <w:style w:type="paragraph" w:customStyle="1" w:styleId="Append-Titlecontinued">
    <w:name w:val="Append-Title(continued)"/>
    <w:basedOn w:val="Normal"/>
    <w:next w:val="Normal"/>
    <w:rsid w:val="00785EDE"/>
    <w:pPr>
      <w:keepNext/>
      <w:keepLines/>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semiHidden/>
    <w:rsid w:val="00785EDE"/>
    <w:pPr>
      <w:ind w:right="1152"/>
    </w:pPr>
    <w:rPr>
      <w:sz w:val="20"/>
    </w:rPr>
  </w:style>
  <w:style w:type="paragraph" w:styleId="TOC4">
    <w:name w:val="toc 4"/>
    <w:basedOn w:val="Heading4"/>
    <w:next w:val="Normal"/>
    <w:autoRedefine/>
    <w:uiPriority w:val="39"/>
    <w:rsid w:val="00785EDE"/>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rsid w:val="00785EDE"/>
    <w:pPr>
      <w:spacing w:after="0"/>
      <w:ind w:left="965"/>
      <w:jc w:val="left"/>
    </w:pPr>
    <w:rPr>
      <w:caps w:val="0"/>
    </w:rPr>
  </w:style>
  <w:style w:type="paragraph" w:styleId="TOC6">
    <w:name w:val="toc 6"/>
    <w:basedOn w:val="Normal"/>
    <w:next w:val="Normal"/>
    <w:autoRedefine/>
    <w:semiHidden/>
    <w:rsid w:val="00785EDE"/>
    <w:pPr>
      <w:tabs>
        <w:tab w:val="right" w:leader="dot" w:pos="9350"/>
      </w:tabs>
      <w:spacing w:before="60" w:after="60"/>
      <w:jc w:val="left"/>
    </w:pPr>
    <w:rPr>
      <w:caps/>
      <w:sz w:val="20"/>
      <w:u w:val="single"/>
    </w:rPr>
  </w:style>
  <w:style w:type="paragraph" w:styleId="TOC7">
    <w:name w:val="toc 7"/>
    <w:basedOn w:val="Normal"/>
    <w:next w:val="Normal"/>
    <w:autoRedefine/>
    <w:semiHidden/>
    <w:rsid w:val="00785EDE"/>
    <w:pPr>
      <w:spacing w:after="0"/>
      <w:ind w:left="1440"/>
      <w:jc w:val="left"/>
    </w:pPr>
  </w:style>
  <w:style w:type="paragraph" w:styleId="TOC8">
    <w:name w:val="toc 8"/>
    <w:basedOn w:val="Normal"/>
    <w:next w:val="Normal"/>
    <w:autoRedefine/>
    <w:semiHidden/>
    <w:rsid w:val="00785EDE"/>
    <w:pPr>
      <w:spacing w:after="0"/>
      <w:ind w:left="1680"/>
      <w:jc w:val="left"/>
    </w:pPr>
  </w:style>
  <w:style w:type="paragraph" w:styleId="TOC9">
    <w:name w:val="toc 9"/>
    <w:basedOn w:val="Normal"/>
    <w:next w:val="Normal"/>
    <w:autoRedefine/>
    <w:semiHidden/>
    <w:rsid w:val="00785EDE"/>
    <w:pPr>
      <w:spacing w:before="300" w:after="300"/>
    </w:pPr>
    <w:rPr>
      <w:caps/>
      <w:sz w:val="20"/>
    </w:rPr>
  </w:style>
  <w:style w:type="paragraph" w:customStyle="1" w:styleId="Equation">
    <w:name w:val="Equation"/>
    <w:basedOn w:val="Normal"/>
    <w:rsid w:val="00785EDE"/>
    <w:pPr>
      <w:keepLines/>
      <w:suppressAutoHyphens/>
      <w:overflowPunct w:val="0"/>
      <w:autoSpaceDE w:val="0"/>
      <w:autoSpaceDN w:val="0"/>
      <w:adjustRightInd w:val="0"/>
      <w:textAlignment w:val="baseline"/>
    </w:pPr>
    <w:rPr>
      <w:sz w:val="20"/>
      <w:szCs w:val="20"/>
    </w:rPr>
  </w:style>
  <w:style w:type="paragraph" w:customStyle="1" w:styleId="Append-title">
    <w:name w:val="Append-title"/>
    <w:basedOn w:val="Normal"/>
    <w:semiHidden/>
    <w:rsid w:val="00785EDE"/>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AppenidixHeading2">
    <w:name w:val="Appenidix Heading 2"/>
    <w:basedOn w:val="Normal"/>
    <w:next w:val="Normal"/>
    <w:rsid w:val="00785EDE"/>
    <w:rPr>
      <w:rFonts w:ascii="Times New Roman Bold" w:hAnsi="Times New Roman Bold"/>
      <w:b/>
      <w:smallCaps/>
      <w:sz w:val="28"/>
    </w:rPr>
  </w:style>
  <w:style w:type="paragraph" w:customStyle="1" w:styleId="SectionHeading">
    <w:name w:val="Section Heading"/>
    <w:basedOn w:val="Heading6"/>
    <w:next w:val="Heading1"/>
    <w:link w:val="SectionHeadingChar"/>
    <w:autoRedefine/>
    <w:rsid w:val="00785EDE"/>
    <w:pPr>
      <w:pBdr>
        <w:bottom w:val="single" w:sz="4" w:space="1" w:color="auto"/>
      </w:pBdr>
      <w:spacing w:before="0" w:after="1080"/>
      <w:jc w:val="center"/>
    </w:pPr>
    <w:rPr>
      <w:rFonts w:ascii="Times New Roman Bold" w:hAnsi="Times New Roman Bold"/>
      <w:b w:val="0"/>
      <w:caps/>
      <w:sz w:val="36"/>
    </w:rPr>
  </w:style>
  <w:style w:type="character" w:customStyle="1" w:styleId="SectionHeadingChar">
    <w:name w:val="Section Heading Char"/>
    <w:link w:val="SectionHeading"/>
    <w:rsid w:val="00785EDE"/>
    <w:rPr>
      <w:rFonts w:ascii="Times New Roman Bold" w:hAnsi="Times New Roman Bold"/>
      <w:bCs/>
      <w:caps/>
      <w:sz w:val="36"/>
      <w:szCs w:val="22"/>
    </w:rPr>
  </w:style>
  <w:style w:type="paragraph" w:customStyle="1" w:styleId="OPPLANHEADING">
    <w:name w:val="OP PLAN HEADING"/>
    <w:basedOn w:val="Heading1"/>
    <w:next w:val="Normal"/>
    <w:rsid w:val="00785EDE"/>
  </w:style>
  <w:style w:type="character" w:styleId="CommentReference">
    <w:name w:val="annotation reference"/>
    <w:semiHidden/>
    <w:rsid w:val="00785EDE"/>
    <w:rPr>
      <w:sz w:val="16"/>
      <w:szCs w:val="16"/>
    </w:rPr>
  </w:style>
  <w:style w:type="paragraph" w:customStyle="1" w:styleId="tablerow0">
    <w:name w:val="table row"/>
    <w:basedOn w:val="Normal"/>
    <w:rsid w:val="00785EDE"/>
    <w:pPr>
      <w:spacing w:before="20" w:after="0"/>
    </w:pPr>
    <w:rPr>
      <w:sz w:val="20"/>
    </w:rPr>
  </w:style>
  <w:style w:type="paragraph" w:styleId="PlainText">
    <w:name w:val="Plain Text"/>
    <w:basedOn w:val="Normal"/>
    <w:rsid w:val="00785EDE"/>
    <w:rPr>
      <w:rFonts w:ascii="Courier New" w:hAnsi="Courier New" w:cs="Courier New"/>
      <w:sz w:val="20"/>
      <w:szCs w:val="20"/>
    </w:rPr>
  </w:style>
  <w:style w:type="paragraph" w:customStyle="1" w:styleId="ref-Cited">
    <w:name w:val="ref-Cited"/>
    <w:basedOn w:val="Normal"/>
    <w:rsid w:val="00785EDE"/>
    <w:pPr>
      <w:keepLines/>
      <w:suppressAutoHyphens/>
      <w:ind w:left="288" w:hanging="288"/>
    </w:pPr>
    <w:rPr>
      <w:sz w:val="20"/>
      <w:szCs w:val="20"/>
    </w:rPr>
  </w:style>
  <w:style w:type="paragraph" w:styleId="CommentText">
    <w:name w:val="annotation text"/>
    <w:basedOn w:val="Normal"/>
    <w:semiHidden/>
    <w:rsid w:val="00785EDE"/>
    <w:rPr>
      <w:sz w:val="20"/>
      <w:szCs w:val="20"/>
    </w:rPr>
  </w:style>
  <w:style w:type="paragraph" w:styleId="FootnoteText">
    <w:name w:val="footnote text"/>
    <w:basedOn w:val="Normal"/>
    <w:semiHidden/>
    <w:rsid w:val="00785EDE"/>
    <w:pPr>
      <w:tabs>
        <w:tab w:val="left" w:pos="216"/>
      </w:tabs>
      <w:spacing w:before="20" w:after="20"/>
      <w:ind w:left="216" w:hanging="216"/>
    </w:pPr>
    <w:rPr>
      <w:sz w:val="16"/>
      <w:szCs w:val="16"/>
    </w:rPr>
  </w:style>
  <w:style w:type="paragraph" w:customStyle="1" w:styleId="Bullet1">
    <w:name w:val="Bullet 1"/>
    <w:basedOn w:val="Normal"/>
    <w:rsid w:val="00785EDE"/>
    <w:pPr>
      <w:ind w:left="288" w:hanging="288"/>
    </w:pPr>
  </w:style>
  <w:style w:type="paragraph" w:customStyle="1" w:styleId="Bullet2">
    <w:name w:val="Bullet 2"/>
    <w:basedOn w:val="Normal"/>
    <w:rsid w:val="00785EDE"/>
    <w:pPr>
      <w:ind w:left="648" w:hanging="288"/>
    </w:pPr>
  </w:style>
  <w:style w:type="character" w:styleId="EndnoteReference">
    <w:name w:val="endnote reference"/>
    <w:semiHidden/>
    <w:rsid w:val="00785EDE"/>
    <w:rPr>
      <w:vertAlign w:val="superscript"/>
    </w:rPr>
  </w:style>
  <w:style w:type="paragraph" w:styleId="Index1">
    <w:name w:val="index 1"/>
    <w:basedOn w:val="Normal"/>
    <w:next w:val="Normal"/>
    <w:autoRedefine/>
    <w:semiHidden/>
    <w:rsid w:val="00785EDE"/>
    <w:pPr>
      <w:tabs>
        <w:tab w:val="right" w:pos="4320"/>
      </w:tabs>
      <w:spacing w:after="0"/>
      <w:ind w:left="240" w:hanging="240"/>
      <w:jc w:val="left"/>
    </w:pPr>
    <w:rPr>
      <w:sz w:val="18"/>
      <w:szCs w:val="18"/>
    </w:rPr>
  </w:style>
  <w:style w:type="paragraph" w:styleId="Index2">
    <w:name w:val="index 2"/>
    <w:basedOn w:val="Normal"/>
    <w:next w:val="Normal"/>
    <w:autoRedefine/>
    <w:semiHidden/>
    <w:rsid w:val="00785EDE"/>
    <w:pPr>
      <w:tabs>
        <w:tab w:val="right" w:pos="4320"/>
      </w:tabs>
      <w:spacing w:after="0"/>
      <w:ind w:left="480" w:hanging="240"/>
      <w:jc w:val="left"/>
    </w:pPr>
    <w:rPr>
      <w:sz w:val="18"/>
      <w:szCs w:val="18"/>
    </w:rPr>
  </w:style>
  <w:style w:type="paragraph" w:styleId="Index3">
    <w:name w:val="index 3"/>
    <w:basedOn w:val="Normal"/>
    <w:next w:val="Normal"/>
    <w:autoRedefine/>
    <w:semiHidden/>
    <w:rsid w:val="00785EDE"/>
    <w:pPr>
      <w:tabs>
        <w:tab w:val="right" w:pos="4320"/>
      </w:tabs>
      <w:spacing w:after="0"/>
      <w:ind w:left="720" w:hanging="240"/>
      <w:jc w:val="left"/>
    </w:pPr>
    <w:rPr>
      <w:sz w:val="18"/>
      <w:szCs w:val="18"/>
    </w:rPr>
  </w:style>
  <w:style w:type="paragraph" w:styleId="Index4">
    <w:name w:val="index 4"/>
    <w:basedOn w:val="Normal"/>
    <w:next w:val="Normal"/>
    <w:autoRedefine/>
    <w:semiHidden/>
    <w:rsid w:val="00785EDE"/>
    <w:pPr>
      <w:tabs>
        <w:tab w:val="right" w:pos="4320"/>
      </w:tabs>
      <w:spacing w:after="0"/>
      <w:ind w:left="960" w:hanging="240"/>
      <w:jc w:val="left"/>
    </w:pPr>
    <w:rPr>
      <w:sz w:val="18"/>
      <w:szCs w:val="18"/>
    </w:rPr>
  </w:style>
  <w:style w:type="paragraph" w:styleId="IndexHeading">
    <w:name w:val="index heading"/>
    <w:basedOn w:val="Normal"/>
    <w:next w:val="Index1"/>
    <w:semiHidden/>
    <w:rsid w:val="00785EDE"/>
    <w:pPr>
      <w:spacing w:before="240"/>
      <w:jc w:val="center"/>
    </w:pPr>
    <w:rPr>
      <w:b/>
      <w:bCs/>
      <w:sz w:val="26"/>
      <w:szCs w:val="26"/>
    </w:rPr>
  </w:style>
  <w:style w:type="paragraph" w:customStyle="1" w:styleId="List-Header">
    <w:name w:val="List-Header"/>
    <w:basedOn w:val="Normal"/>
    <w:next w:val="List-Page"/>
    <w:rsid w:val="00785EDE"/>
    <w:pPr>
      <w:spacing w:after="0"/>
      <w:jc w:val="center"/>
    </w:pPr>
    <w:rPr>
      <w:b/>
      <w:bCs/>
      <w:sz w:val="32"/>
      <w:szCs w:val="32"/>
    </w:rPr>
  </w:style>
  <w:style w:type="paragraph" w:customStyle="1" w:styleId="Normal-KeepLine">
    <w:name w:val="Normal-Keep Line"/>
    <w:basedOn w:val="Normal"/>
    <w:rsid w:val="00785EDE"/>
    <w:pPr>
      <w:keepLines/>
    </w:pPr>
  </w:style>
  <w:style w:type="paragraph" w:customStyle="1" w:styleId="Normal-KeepNext">
    <w:name w:val="Normal-Keep Next"/>
    <w:basedOn w:val="Normal"/>
    <w:rsid w:val="00785EDE"/>
    <w:pPr>
      <w:keepNext/>
      <w:keepLines/>
    </w:pPr>
  </w:style>
  <w:style w:type="paragraph" w:styleId="TableofAuthorities">
    <w:name w:val="table of authorities"/>
    <w:basedOn w:val="Normal"/>
    <w:semiHidden/>
    <w:rsid w:val="00785EDE"/>
    <w:pPr>
      <w:keepLines/>
      <w:ind w:left="288" w:hanging="288"/>
    </w:pPr>
    <w:rPr>
      <w:sz w:val="20"/>
      <w:szCs w:val="20"/>
    </w:rPr>
  </w:style>
  <w:style w:type="paragraph" w:styleId="TOAHeading">
    <w:name w:val="toa heading"/>
    <w:basedOn w:val="Heading1"/>
    <w:next w:val="Normal"/>
    <w:semiHidden/>
    <w:rsid w:val="00785EDE"/>
    <w:pPr>
      <w:tabs>
        <w:tab w:val="right" w:leader="dot" w:pos="4464"/>
      </w:tabs>
      <w:outlineLvl w:val="9"/>
    </w:pPr>
  </w:style>
  <w:style w:type="paragraph" w:customStyle="1" w:styleId="StyleTableofFiguresLeft046Firstline0">
    <w:name w:val="Style Table of Figures + Left:  0.46&quot; First line:  0&quot;"/>
    <w:basedOn w:val="TableofFigures"/>
    <w:rsid w:val="00785EDE"/>
    <w:pPr>
      <w:ind w:left="666" w:firstLine="0"/>
    </w:pPr>
  </w:style>
  <w:style w:type="paragraph" w:styleId="BlockText">
    <w:name w:val="Block Text"/>
    <w:basedOn w:val="Normal"/>
    <w:rsid w:val="00785EDE"/>
    <w:pPr>
      <w:ind w:left="432" w:right="432"/>
    </w:pPr>
  </w:style>
  <w:style w:type="paragraph" w:styleId="CommentSubject">
    <w:name w:val="annotation subject"/>
    <w:basedOn w:val="CommentText"/>
    <w:next w:val="CommentText"/>
    <w:semiHidden/>
    <w:rsid w:val="00785EDE"/>
    <w:rPr>
      <w:b/>
      <w:bCs/>
    </w:rPr>
  </w:style>
  <w:style w:type="paragraph" w:customStyle="1" w:styleId="Normal-15">
    <w:name w:val="Normal-1.5"/>
    <w:basedOn w:val="Normal"/>
    <w:next w:val="Normal"/>
    <w:rsid w:val="00785EDE"/>
    <w:pPr>
      <w:suppressAutoHyphens/>
      <w:spacing w:line="360" w:lineRule="auto"/>
    </w:pPr>
    <w:rPr>
      <w:szCs w:val="20"/>
    </w:rPr>
  </w:style>
  <w:style w:type="paragraph" w:customStyle="1" w:styleId="Default">
    <w:name w:val="Default"/>
    <w:rsid w:val="00785EDE"/>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785ED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785EDE"/>
    <w:pPr>
      <w:pBdr>
        <w:bottom w:val="none" w:sz="0" w:space="0" w:color="auto"/>
      </w:pBdr>
      <w:jc w:val="center"/>
    </w:pPr>
  </w:style>
  <w:style w:type="paragraph" w:customStyle="1" w:styleId="OpPlanprojecttitle">
    <w:name w:val="Op Plan project title"/>
    <w:basedOn w:val="TitlePg-Title"/>
    <w:next w:val="Normal"/>
    <w:rsid w:val="00785EDE"/>
    <w:pPr>
      <w:spacing w:before="240"/>
    </w:pPr>
  </w:style>
  <w:style w:type="paragraph" w:customStyle="1" w:styleId="Opplanpersonnel">
    <w:name w:val="Op plan personnel"/>
    <w:basedOn w:val="Normal"/>
    <w:rsid w:val="00785EDE"/>
    <w:pPr>
      <w:ind w:left="720"/>
    </w:pPr>
    <w:rPr>
      <w:rFonts w:ascii="Times New Roman Bold" w:hAnsi="Times New Roman Bold"/>
      <w:b/>
    </w:rPr>
  </w:style>
  <w:style w:type="paragraph" w:customStyle="1" w:styleId="FootnoteReference1">
    <w:name w:val="Footnote Reference1"/>
    <w:basedOn w:val="Table-Footnote"/>
    <w:rsid w:val="002C766D"/>
    <w:rPr>
      <w:vertAlign w:val="superscript"/>
    </w:rPr>
  </w:style>
  <w:style w:type="paragraph" w:customStyle="1" w:styleId="FootnoteReference10">
    <w:name w:val="Footnote Reference1"/>
    <w:basedOn w:val="Table-Footnote"/>
    <w:rsid w:val="00785EDE"/>
    <w:rPr>
      <w:vertAlign w:val="superscript"/>
    </w:rPr>
  </w:style>
  <w:style w:type="character" w:customStyle="1" w:styleId="FooterChar">
    <w:name w:val="Footer Char"/>
    <w:link w:val="Footer"/>
    <w:uiPriority w:val="99"/>
    <w:rsid w:val="0037059E"/>
    <w:rPr>
      <w:sz w:val="24"/>
    </w:rPr>
  </w:style>
  <w:style w:type="character" w:customStyle="1" w:styleId="Heading2Char">
    <w:name w:val="Heading 2 Char"/>
    <w:link w:val="Heading2"/>
    <w:rsid w:val="0037059E"/>
    <w:rPr>
      <w:rFonts w:ascii="Times New Roman Bold" w:hAnsi="Times New Roman Bold"/>
      <w:b/>
      <w:smallCaps/>
      <w:sz w:val="30"/>
    </w:rPr>
  </w:style>
  <w:style w:type="character" w:customStyle="1" w:styleId="Heading3Char">
    <w:name w:val="Heading 3 Char"/>
    <w:link w:val="Heading3"/>
    <w:rsid w:val="0037059E"/>
    <w:rPr>
      <w:b/>
      <w:sz w:val="26"/>
    </w:rPr>
  </w:style>
  <w:style w:type="character" w:customStyle="1" w:styleId="Heading4Char">
    <w:name w:val="Heading 4 Char"/>
    <w:link w:val="Heading4"/>
    <w:rsid w:val="0037059E"/>
    <w:rPr>
      <w:rFonts w:ascii="Times New Roman Bold" w:hAnsi="Times New Roman Bold"/>
      <w:b/>
      <w:bCs/>
      <w:i/>
      <w:sz w:val="24"/>
      <w:szCs w:val="28"/>
    </w:rPr>
  </w:style>
  <w:style w:type="character" w:customStyle="1" w:styleId="Heading5Char">
    <w:name w:val="Heading 5 Char"/>
    <w:link w:val="Heading5"/>
    <w:rsid w:val="0037059E"/>
    <w:rPr>
      <w:rFonts w:ascii="Times New Roman Bold" w:hAnsi="Times New Roman Bold"/>
      <w:b/>
      <w:bCs/>
      <w:iCs/>
      <w:sz w:val="24"/>
      <w:szCs w:val="26"/>
    </w:rPr>
  </w:style>
  <w:style w:type="paragraph" w:customStyle="1" w:styleId="xl22">
    <w:name w:val="xl22"/>
    <w:basedOn w:val="Normal"/>
    <w:rsid w:val="00106844"/>
    <w:pPr>
      <w:spacing w:before="100" w:beforeAutospacing="1" w:after="100" w:afterAutospacing="1"/>
      <w:jc w:val="left"/>
    </w:pPr>
    <w:rPr>
      <w:sz w:val="20"/>
    </w:rPr>
  </w:style>
  <w:style w:type="character" w:customStyle="1" w:styleId="Lit-CitedChar1">
    <w:name w:val="Lit-Cited Char1"/>
    <w:basedOn w:val="DefaultParagraphFont"/>
    <w:link w:val="Lit-Cited"/>
    <w:rsid w:val="00276B6E"/>
  </w:style>
  <w:style w:type="paragraph" w:styleId="BalloonText">
    <w:name w:val="Balloon Text"/>
    <w:basedOn w:val="Normal"/>
    <w:link w:val="BalloonTextChar"/>
    <w:rsid w:val="0046657A"/>
    <w:pPr>
      <w:spacing w:after="0"/>
    </w:pPr>
    <w:rPr>
      <w:rFonts w:ascii="Tahoma" w:hAnsi="Tahoma" w:cs="Tahoma"/>
      <w:sz w:val="16"/>
      <w:szCs w:val="16"/>
    </w:rPr>
  </w:style>
  <w:style w:type="character" w:customStyle="1" w:styleId="BalloonTextChar">
    <w:name w:val="Balloon Text Char"/>
    <w:link w:val="BalloonText"/>
    <w:rsid w:val="0046657A"/>
    <w:rPr>
      <w:rFonts w:ascii="Tahoma" w:hAnsi="Tahoma" w:cs="Tahoma"/>
      <w:sz w:val="16"/>
      <w:szCs w:val="16"/>
    </w:rPr>
  </w:style>
  <w:style w:type="paragraph" w:styleId="Revision">
    <w:name w:val="Revision"/>
    <w:hidden/>
    <w:uiPriority w:val="99"/>
    <w:semiHidden/>
    <w:rsid w:val="008A0259"/>
    <w:rPr>
      <w:sz w:val="24"/>
      <w:szCs w:val="24"/>
    </w:rPr>
  </w:style>
  <w:style w:type="paragraph" w:styleId="ListParagraph">
    <w:name w:val="List Paragraph"/>
    <w:basedOn w:val="Normal"/>
    <w:uiPriority w:val="34"/>
    <w:qFormat/>
    <w:rsid w:val="00961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54307">
      <w:bodyDiv w:val="1"/>
      <w:marLeft w:val="0"/>
      <w:marRight w:val="0"/>
      <w:marTop w:val="0"/>
      <w:marBottom w:val="0"/>
      <w:divBdr>
        <w:top w:val="none" w:sz="0" w:space="0" w:color="auto"/>
        <w:left w:val="none" w:sz="0" w:space="0" w:color="auto"/>
        <w:bottom w:val="none" w:sz="0" w:space="0" w:color="auto"/>
        <w:right w:val="none" w:sz="0" w:space="0" w:color="auto"/>
      </w:divBdr>
    </w:div>
    <w:div w:id="1225025703">
      <w:bodyDiv w:val="1"/>
      <w:marLeft w:val="0"/>
      <w:marRight w:val="0"/>
      <w:marTop w:val="0"/>
      <w:marBottom w:val="0"/>
      <w:divBdr>
        <w:top w:val="none" w:sz="0" w:space="0" w:color="auto"/>
        <w:left w:val="none" w:sz="0" w:space="0" w:color="auto"/>
        <w:bottom w:val="none" w:sz="0" w:space="0" w:color="auto"/>
        <w:right w:val="none" w:sz="0" w:space="0" w:color="auto"/>
      </w:divBdr>
    </w:div>
    <w:div w:id="1347058139">
      <w:bodyDiv w:val="1"/>
      <w:marLeft w:val="0"/>
      <w:marRight w:val="0"/>
      <w:marTop w:val="0"/>
      <w:marBottom w:val="0"/>
      <w:divBdr>
        <w:top w:val="none" w:sz="0" w:space="0" w:color="auto"/>
        <w:left w:val="none" w:sz="0" w:space="0" w:color="auto"/>
        <w:bottom w:val="none" w:sz="0" w:space="0" w:color="auto"/>
        <w:right w:val="none" w:sz="0" w:space="0" w:color="auto"/>
      </w:divBdr>
    </w:div>
    <w:div w:id="2063552098">
      <w:bodyDiv w:val="1"/>
      <w:marLeft w:val="0"/>
      <w:marRight w:val="0"/>
      <w:marTop w:val="0"/>
      <w:marBottom w:val="0"/>
      <w:divBdr>
        <w:top w:val="none" w:sz="0" w:space="0" w:color="auto"/>
        <w:left w:val="none" w:sz="0" w:space="0" w:color="auto"/>
        <w:bottom w:val="none" w:sz="0" w:space="0" w:color="auto"/>
        <w:right w:val="none" w:sz="0" w:space="0" w:color="auto"/>
      </w:divBdr>
      <w:divsChild>
        <w:div w:id="1538086871">
          <w:marLeft w:val="0"/>
          <w:marRight w:val="0"/>
          <w:marTop w:val="0"/>
          <w:marBottom w:val="0"/>
          <w:divBdr>
            <w:top w:val="none" w:sz="0" w:space="0" w:color="auto"/>
            <w:left w:val="none" w:sz="0" w:space="0" w:color="auto"/>
            <w:bottom w:val="none" w:sz="0" w:space="0" w:color="auto"/>
            <w:right w:val="none" w:sz="0" w:space="0" w:color="auto"/>
          </w:divBdr>
          <w:divsChild>
            <w:div w:id="549613148">
              <w:marLeft w:val="0"/>
              <w:marRight w:val="0"/>
              <w:marTop w:val="0"/>
              <w:marBottom w:val="0"/>
              <w:divBdr>
                <w:top w:val="none" w:sz="0" w:space="0" w:color="auto"/>
                <w:left w:val="none" w:sz="0" w:space="0" w:color="auto"/>
                <w:bottom w:val="none" w:sz="0" w:space="0" w:color="auto"/>
                <w:right w:val="none" w:sz="0" w:space="0" w:color="auto"/>
              </w:divBdr>
              <w:divsChild>
                <w:div w:id="2136944514">
                  <w:marLeft w:val="0"/>
                  <w:marRight w:val="0"/>
                  <w:marTop w:val="0"/>
                  <w:marBottom w:val="0"/>
                  <w:divBdr>
                    <w:top w:val="none" w:sz="0" w:space="0" w:color="auto"/>
                    <w:left w:val="none" w:sz="0" w:space="0" w:color="auto"/>
                    <w:bottom w:val="none" w:sz="0" w:space="0" w:color="auto"/>
                    <w:right w:val="none" w:sz="0" w:space="0" w:color="auto"/>
                  </w:divBdr>
                  <w:divsChild>
                    <w:div w:id="865564417">
                      <w:marLeft w:val="0"/>
                      <w:marRight w:val="0"/>
                      <w:marTop w:val="39"/>
                      <w:marBottom w:val="0"/>
                      <w:divBdr>
                        <w:top w:val="none" w:sz="0" w:space="0" w:color="auto"/>
                        <w:left w:val="none" w:sz="0" w:space="0" w:color="auto"/>
                        <w:bottom w:val="none" w:sz="0" w:space="0" w:color="auto"/>
                        <w:right w:val="none" w:sz="0" w:space="0" w:color="auto"/>
                      </w:divBdr>
                      <w:divsChild>
                        <w:div w:id="1709140107">
                          <w:marLeft w:val="0"/>
                          <w:marRight w:val="0"/>
                          <w:marTop w:val="0"/>
                          <w:marBottom w:val="0"/>
                          <w:divBdr>
                            <w:top w:val="none" w:sz="0" w:space="0" w:color="auto"/>
                            <w:left w:val="none" w:sz="0" w:space="0" w:color="auto"/>
                            <w:bottom w:val="none" w:sz="0" w:space="0" w:color="auto"/>
                            <w:right w:val="none" w:sz="0" w:space="0" w:color="auto"/>
                          </w:divBdr>
                          <w:divsChild>
                            <w:div w:id="1590506422">
                              <w:marLeft w:val="1807"/>
                              <w:marRight w:val="3325"/>
                              <w:marTop w:val="0"/>
                              <w:marBottom w:val="0"/>
                              <w:divBdr>
                                <w:top w:val="none" w:sz="0" w:space="0" w:color="auto"/>
                                <w:left w:val="none" w:sz="0" w:space="0" w:color="auto"/>
                                <w:bottom w:val="none" w:sz="0" w:space="0" w:color="auto"/>
                                <w:right w:val="none" w:sz="0" w:space="0" w:color="auto"/>
                              </w:divBdr>
                              <w:divsChild>
                                <w:div w:id="2079355000">
                                  <w:marLeft w:val="0"/>
                                  <w:marRight w:val="0"/>
                                  <w:marTop w:val="0"/>
                                  <w:marBottom w:val="0"/>
                                  <w:divBdr>
                                    <w:top w:val="none" w:sz="0" w:space="0" w:color="auto"/>
                                    <w:left w:val="none" w:sz="0" w:space="0" w:color="auto"/>
                                    <w:bottom w:val="none" w:sz="0" w:space="0" w:color="auto"/>
                                    <w:right w:val="none" w:sz="0" w:space="0" w:color="auto"/>
                                  </w:divBdr>
                                  <w:divsChild>
                                    <w:div w:id="652030689">
                                      <w:marLeft w:val="0"/>
                                      <w:marRight w:val="0"/>
                                      <w:marTop w:val="0"/>
                                      <w:marBottom w:val="0"/>
                                      <w:divBdr>
                                        <w:top w:val="none" w:sz="0" w:space="0" w:color="auto"/>
                                        <w:left w:val="none" w:sz="0" w:space="0" w:color="auto"/>
                                        <w:bottom w:val="none" w:sz="0" w:space="0" w:color="auto"/>
                                        <w:right w:val="none" w:sz="0" w:space="0" w:color="auto"/>
                                      </w:divBdr>
                                      <w:divsChild>
                                        <w:div w:id="1077436747">
                                          <w:marLeft w:val="0"/>
                                          <w:marRight w:val="0"/>
                                          <w:marTop w:val="0"/>
                                          <w:marBottom w:val="0"/>
                                          <w:divBdr>
                                            <w:top w:val="none" w:sz="0" w:space="0" w:color="auto"/>
                                            <w:left w:val="none" w:sz="0" w:space="0" w:color="auto"/>
                                            <w:bottom w:val="none" w:sz="0" w:space="0" w:color="auto"/>
                                            <w:right w:val="none" w:sz="0" w:space="0" w:color="auto"/>
                                          </w:divBdr>
                                          <w:divsChild>
                                            <w:div w:id="372386574">
                                              <w:marLeft w:val="0"/>
                                              <w:marRight w:val="0"/>
                                              <w:marTop w:val="0"/>
                                              <w:marBottom w:val="0"/>
                                              <w:divBdr>
                                                <w:top w:val="none" w:sz="0" w:space="0" w:color="auto"/>
                                                <w:left w:val="none" w:sz="0" w:space="0" w:color="auto"/>
                                                <w:bottom w:val="none" w:sz="0" w:space="0" w:color="auto"/>
                                                <w:right w:val="none" w:sz="0" w:space="0" w:color="auto"/>
                                              </w:divBdr>
                                              <w:divsChild>
                                                <w:div w:id="144590029">
                                                  <w:marLeft w:val="0"/>
                                                  <w:marRight w:val="0"/>
                                                  <w:marTop w:val="0"/>
                                                  <w:marBottom w:val="0"/>
                                                  <w:divBdr>
                                                    <w:top w:val="none" w:sz="0" w:space="0" w:color="auto"/>
                                                    <w:left w:val="none" w:sz="0" w:space="0" w:color="auto"/>
                                                    <w:bottom w:val="none" w:sz="0" w:space="0" w:color="auto"/>
                                                    <w:right w:val="none" w:sz="0" w:space="0" w:color="auto"/>
                                                  </w:divBdr>
                                                  <w:divsChild>
                                                    <w:div w:id="747384208">
                                                      <w:marLeft w:val="0"/>
                                                      <w:marRight w:val="0"/>
                                                      <w:marTop w:val="0"/>
                                                      <w:marBottom w:val="0"/>
                                                      <w:divBdr>
                                                        <w:top w:val="none" w:sz="0" w:space="0" w:color="auto"/>
                                                        <w:left w:val="none" w:sz="0" w:space="0" w:color="auto"/>
                                                        <w:bottom w:val="none" w:sz="0" w:space="0" w:color="auto"/>
                                                        <w:right w:val="none" w:sz="0" w:space="0" w:color="auto"/>
                                                      </w:divBdr>
                                                      <w:divsChild>
                                                        <w:div w:id="759066763">
                                                          <w:marLeft w:val="0"/>
                                                          <w:marRight w:val="0"/>
                                                          <w:marTop w:val="0"/>
                                                          <w:marBottom w:val="0"/>
                                                          <w:divBdr>
                                                            <w:top w:val="none" w:sz="0" w:space="0" w:color="auto"/>
                                                            <w:left w:val="none" w:sz="0" w:space="0" w:color="auto"/>
                                                            <w:bottom w:val="none" w:sz="0" w:space="0" w:color="auto"/>
                                                            <w:right w:val="none" w:sz="0" w:space="0" w:color="auto"/>
                                                          </w:divBdr>
                                                          <w:divsChild>
                                                            <w:div w:id="296642515">
                                                              <w:marLeft w:val="0"/>
                                                              <w:marRight w:val="0"/>
                                                              <w:marTop w:val="0"/>
                                                              <w:marBottom w:val="0"/>
                                                              <w:divBdr>
                                                                <w:top w:val="none" w:sz="0" w:space="0" w:color="auto"/>
                                                                <w:left w:val="none" w:sz="0" w:space="0" w:color="auto"/>
                                                                <w:bottom w:val="none" w:sz="0" w:space="0" w:color="auto"/>
                                                                <w:right w:val="none" w:sz="0" w:space="0" w:color="auto"/>
                                                              </w:divBdr>
                                                              <w:divsChild>
                                                                <w:div w:id="538592481">
                                                                  <w:marLeft w:val="0"/>
                                                                  <w:marRight w:val="0"/>
                                                                  <w:marTop w:val="0"/>
                                                                  <w:marBottom w:val="0"/>
                                                                  <w:divBdr>
                                                                    <w:top w:val="none" w:sz="0" w:space="0" w:color="auto"/>
                                                                    <w:left w:val="none" w:sz="0" w:space="0" w:color="auto"/>
                                                                    <w:bottom w:val="none" w:sz="0" w:space="0" w:color="auto"/>
                                                                    <w:right w:val="none" w:sz="0" w:space="0" w:color="auto"/>
                                                                  </w:divBdr>
                                                                  <w:divsChild>
                                                                    <w:div w:id="916785467">
                                                                      <w:marLeft w:val="0"/>
                                                                      <w:marRight w:val="0"/>
                                                                      <w:marTop w:val="0"/>
                                                                      <w:marBottom w:val="0"/>
                                                                      <w:divBdr>
                                                                        <w:top w:val="none" w:sz="0" w:space="0" w:color="auto"/>
                                                                        <w:left w:val="none" w:sz="0" w:space="0" w:color="auto"/>
                                                                        <w:bottom w:val="none" w:sz="0" w:space="0" w:color="auto"/>
                                                                        <w:right w:val="none" w:sz="0" w:space="0" w:color="auto"/>
                                                                      </w:divBdr>
                                                                      <w:divsChild>
                                                                        <w:div w:id="943659148">
                                                                          <w:marLeft w:val="0"/>
                                                                          <w:marRight w:val="0"/>
                                                                          <w:marTop w:val="0"/>
                                                                          <w:marBottom w:val="0"/>
                                                                          <w:divBdr>
                                                                            <w:top w:val="none" w:sz="0" w:space="0" w:color="auto"/>
                                                                            <w:left w:val="none" w:sz="0" w:space="0" w:color="auto"/>
                                                                            <w:bottom w:val="none" w:sz="0" w:space="0" w:color="auto"/>
                                                                            <w:right w:val="none" w:sz="0" w:space="0" w:color="auto"/>
                                                                          </w:divBdr>
                                                                          <w:divsChild>
                                                                            <w:div w:id="2023512829">
                                                                              <w:marLeft w:val="0"/>
                                                                              <w:marRight w:val="0"/>
                                                                              <w:marTop w:val="0"/>
                                                                              <w:marBottom w:val="0"/>
                                                                              <w:divBdr>
                                                                                <w:top w:val="none" w:sz="0" w:space="0" w:color="auto"/>
                                                                                <w:left w:val="none" w:sz="0" w:space="0" w:color="auto"/>
                                                                                <w:bottom w:val="none" w:sz="0" w:space="0" w:color="auto"/>
                                                                                <w:right w:val="none" w:sz="0" w:space="0" w:color="auto"/>
                                                                              </w:divBdr>
                                                                              <w:divsChild>
                                                                                <w:div w:id="727070153">
                                                                                  <w:marLeft w:val="0"/>
                                                                                  <w:marRight w:val="0"/>
                                                                                  <w:marTop w:val="0"/>
                                                                                  <w:marBottom w:val="0"/>
                                                                                  <w:divBdr>
                                                                                    <w:top w:val="none" w:sz="0" w:space="0" w:color="auto"/>
                                                                                    <w:left w:val="none" w:sz="0" w:space="0" w:color="auto"/>
                                                                                    <w:bottom w:val="none" w:sz="0" w:space="0" w:color="auto"/>
                                                                                    <w:right w:val="none" w:sz="0" w:space="0" w:color="auto"/>
                                                                                  </w:divBdr>
                                                                                  <w:divsChild>
                                                                                    <w:div w:id="1894191697">
                                                                                      <w:marLeft w:val="0"/>
                                                                                      <w:marRight w:val="0"/>
                                                                                      <w:marTop w:val="0"/>
                                                                                      <w:marBottom w:val="0"/>
                                                                                      <w:divBdr>
                                                                                        <w:top w:val="none" w:sz="0" w:space="0" w:color="auto"/>
                                                                                        <w:left w:val="none" w:sz="0" w:space="0" w:color="auto"/>
                                                                                        <w:bottom w:val="none" w:sz="0" w:space="0" w:color="auto"/>
                                                                                        <w:right w:val="none" w:sz="0" w:space="0" w:color="auto"/>
                                                                                      </w:divBdr>
                                                                                      <w:divsChild>
                                                                                        <w:div w:id="74203974">
                                                                                          <w:marLeft w:val="262"/>
                                                                                          <w:marRight w:val="0"/>
                                                                                          <w:marTop w:val="0"/>
                                                                                          <w:marBottom w:val="0"/>
                                                                                          <w:divBdr>
                                                                                            <w:top w:val="none" w:sz="0" w:space="0" w:color="auto"/>
                                                                                            <w:left w:val="none" w:sz="0" w:space="0" w:color="auto"/>
                                                                                            <w:bottom w:val="none" w:sz="0" w:space="0" w:color="auto"/>
                                                                                            <w:right w:val="none" w:sz="0" w:space="0" w:color="auto"/>
                                                                                          </w:divBdr>
                                                                                          <w:divsChild>
                                                                                            <w:div w:id="343173157">
                                                                                              <w:marLeft w:val="-262"/>
                                                                                              <w:marRight w:val="0"/>
                                                                                              <w:marTop w:val="0"/>
                                                                                              <w:marBottom w:val="0"/>
                                                                                              <w:divBdr>
                                                                                                <w:top w:val="none" w:sz="0" w:space="0" w:color="auto"/>
                                                                                                <w:left w:val="none" w:sz="0" w:space="0" w:color="auto"/>
                                                                                                <w:bottom w:val="none" w:sz="0" w:space="0" w:color="auto"/>
                                                                                                <w:right w:val="none" w:sz="0" w:space="0" w:color="auto"/>
                                                                                              </w:divBdr>
                                                                                              <w:divsChild>
                                                                                                <w:div w:id="1928076370">
                                                                                                  <w:marLeft w:val="0"/>
                                                                                                  <w:marRight w:val="0"/>
                                                                                                  <w:marTop w:val="0"/>
                                                                                                  <w:marBottom w:val="0"/>
                                                                                                  <w:divBdr>
                                                                                                    <w:top w:val="none" w:sz="0" w:space="0" w:color="auto"/>
                                                                                                    <w:left w:val="none" w:sz="0" w:space="0" w:color="auto"/>
                                                                                                    <w:bottom w:val="none" w:sz="0" w:space="0" w:color="auto"/>
                                                                                                    <w:right w:val="none" w:sz="0" w:space="0" w:color="auto"/>
                                                                                                  </w:divBdr>
                                                                                                </w:div>
                                                                                              </w:divsChild>
                                                                                            </w:div>
                                                                                            <w:div w:id="1472601237">
                                                                                              <w:marLeft w:val="-419"/>
                                                                                              <w:marRight w:val="0"/>
                                                                                              <w:marTop w:val="0"/>
                                                                                              <w:marBottom w:val="0"/>
                                                                                              <w:divBdr>
                                                                                                <w:top w:val="none" w:sz="0" w:space="0" w:color="auto"/>
                                                                                                <w:left w:val="none" w:sz="0" w:space="0" w:color="auto"/>
                                                                                                <w:bottom w:val="none" w:sz="0" w:space="0" w:color="auto"/>
                                                                                                <w:right w:val="none" w:sz="0" w:space="0" w:color="auto"/>
                                                                                              </w:divBdr>
                                                                                              <w:divsChild>
                                                                                                <w:div w:id="1745763555">
                                                                                                  <w:marLeft w:val="0"/>
                                                                                                  <w:marRight w:val="0"/>
                                                                                                  <w:marTop w:val="0"/>
                                                                                                  <w:marBottom w:val="0"/>
                                                                                                  <w:divBdr>
                                                                                                    <w:top w:val="none" w:sz="0" w:space="0" w:color="auto"/>
                                                                                                    <w:left w:val="none" w:sz="0" w:space="0" w:color="auto"/>
                                                                                                    <w:bottom w:val="none" w:sz="0" w:space="0" w:color="auto"/>
                                                                                                    <w:right w:val="none" w:sz="0" w:space="0" w:color="auto"/>
                                                                                                  </w:divBdr>
                                                                                                  <w:divsChild>
                                                                                                    <w:div w:id="1063020340">
                                                                                                      <w:marLeft w:val="0"/>
                                                                                                      <w:marRight w:val="0"/>
                                                                                                      <w:marTop w:val="0"/>
                                                                                                      <w:marBottom w:val="0"/>
                                                                                                      <w:divBdr>
                                                                                                        <w:top w:val="none" w:sz="0" w:space="0" w:color="auto"/>
                                                                                                        <w:left w:val="none" w:sz="0" w:space="0" w:color="auto"/>
                                                                                                        <w:bottom w:val="none" w:sz="0" w:space="0" w:color="auto"/>
                                                                                                        <w:right w:val="none" w:sz="0" w:space="0" w:color="auto"/>
                                                                                                      </w:divBdr>
                                                                                                      <w:divsChild>
                                                                                                        <w:div w:id="696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31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10" Type="http://schemas.openxmlformats.org/officeDocument/2006/relationships/image" Target="media/image1.jpeg"/><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cclellan\AppData\Roaming\Microsoft\Templates\CFSF1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06A397-52BE-422E-A1E4-15167D19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CFSF1columntemplate</Template>
  <TotalTime>18</TotalTime>
  <Pages>21</Pages>
  <Words>6291</Words>
  <Characters>33888</Characters>
  <Application>Microsoft Office Word</Application>
  <DocSecurity>0</DocSecurity>
  <Lines>282</Lines>
  <Paragraphs>80</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40099</CharactersWithSpaces>
  <SharedDoc>false</SharedDoc>
  <HLinks>
    <vt:vector size="24" baseType="variant">
      <vt:variant>
        <vt:i4>2031679</vt:i4>
      </vt:variant>
      <vt:variant>
        <vt:i4>17</vt:i4>
      </vt:variant>
      <vt:variant>
        <vt:i4>0</vt:i4>
      </vt:variant>
      <vt:variant>
        <vt:i4>5</vt:i4>
      </vt:variant>
      <vt:variant>
        <vt:lpwstr/>
      </vt:variant>
      <vt:variant>
        <vt:lpwstr>_Toc203883634</vt:lpwstr>
      </vt:variant>
      <vt:variant>
        <vt:i4>2031679</vt:i4>
      </vt:variant>
      <vt:variant>
        <vt:i4>11</vt:i4>
      </vt:variant>
      <vt:variant>
        <vt:i4>0</vt:i4>
      </vt:variant>
      <vt:variant>
        <vt:i4>5</vt:i4>
      </vt:variant>
      <vt:variant>
        <vt:lpwstr/>
      </vt:variant>
      <vt:variant>
        <vt:lpwstr>_Toc203883633</vt:lpwstr>
      </vt:variant>
      <vt:variant>
        <vt:i4>2031679</vt:i4>
      </vt:variant>
      <vt:variant>
        <vt:i4>5</vt:i4>
      </vt:variant>
      <vt:variant>
        <vt:i4>0</vt:i4>
      </vt:variant>
      <vt:variant>
        <vt:i4>5</vt:i4>
      </vt:variant>
      <vt:variant>
        <vt:lpwstr/>
      </vt:variant>
      <vt:variant>
        <vt:lpwstr>_Toc203883632</vt:lpwstr>
      </vt:variant>
      <vt:variant>
        <vt:i4>2293805</vt:i4>
      </vt:variant>
      <vt:variant>
        <vt:i4>0</vt:i4>
      </vt:variant>
      <vt:variant>
        <vt:i4>0</vt:i4>
      </vt:variant>
      <vt:variant>
        <vt:i4>5</vt:i4>
      </vt:variant>
      <vt:variant>
        <vt:lpwstr>http://www.adfg.alaska.gov/sf/publications/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Publication No</dc:title>
  <dc:creator>Joanne Macclellan</dc:creator>
  <cp:lastModifiedBy>Heinl, Steve (DFG)</cp:lastModifiedBy>
  <cp:revision>3</cp:revision>
  <cp:lastPrinted>2014-10-22T23:00:00Z</cp:lastPrinted>
  <dcterms:created xsi:type="dcterms:W3CDTF">2017-07-27T18:03:00Z</dcterms:created>
  <dcterms:modified xsi:type="dcterms:W3CDTF">2017-07-27T18:23:00Z</dcterms:modified>
</cp:coreProperties>
</file>