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Directions</w:t>
      </w:r>
      <w:r>
        <w:t xml:space="preserve"> </w:t>
      </w:r>
      <w:r>
        <w:t xml:space="preserve">for</w:t>
      </w:r>
      <w:r>
        <w:t xml:space="preserve"> </w:t>
      </w:r>
      <w:r>
        <w:t xml:space="preserve">Inseason</w:t>
      </w:r>
      <w:r>
        <w:t xml:space="preserve"> </w:t>
      </w:r>
      <w:r>
        <w:t xml:space="preserve">Estimates</w:t>
      </w:r>
      <w:r>
        <w:t xml:space="preserve"> </w:t>
      </w:r>
      <w:r>
        <w:t xml:space="preserve">for</w:t>
      </w:r>
      <w:r>
        <w:t xml:space="preserve"> </w:t>
      </w:r>
      <w:r>
        <w:t xml:space="preserve">Pink</w:t>
      </w:r>
      <w:r>
        <w:t xml:space="preserve"> </w:t>
      </w:r>
      <w:r>
        <w:t xml:space="preserve">Salmon</w:t>
      </w:r>
      <w:r>
        <w:t xml:space="preserve"> </w:t>
      </w:r>
      <w:r>
        <w:t xml:space="preserve">Cumulative</w:t>
      </w:r>
      <w:r>
        <w:t xml:space="preserve"> </w:t>
      </w:r>
      <w:r>
        <w:t xml:space="preserve">Harvest</w:t>
      </w:r>
      <w:r>
        <w:t xml:space="preserve"> </w:t>
      </w:r>
      <w:r>
        <w:t xml:space="preserve">in</w:t>
      </w:r>
      <w:r>
        <w:t xml:space="preserve"> </w:t>
      </w:r>
      <w:r>
        <w:t xml:space="preserve">Southeast</w:t>
      </w:r>
      <w:r>
        <w:t xml:space="preserve"> </w:t>
      </w:r>
      <w:r>
        <w:t xml:space="preserve">Alaska</w:t>
      </w:r>
    </w:p>
    <w:p>
      <w:pPr>
        <w:pStyle w:val="Author"/>
      </w:pPr>
      <w:r>
        <w:t xml:space="preserve">Sara</w:t>
      </w:r>
      <w:r>
        <w:t xml:space="preserve"> </w:t>
      </w:r>
      <w:r>
        <w:t xml:space="preserve">Miller</w:t>
      </w:r>
    </w:p>
    <w:p>
      <w:pPr>
        <w:pStyle w:val="Date"/>
      </w:pPr>
      <w:r>
        <w:t xml:space="preserve">2019-07-16</w:t>
      </w:r>
    </w:p>
    <w:p>
      <w:pPr>
        <w:pStyle w:val="Heading1"/>
      </w:pPr>
      <w:bookmarkStart w:id="21" w:name="summary"/>
      <w:bookmarkEnd w:id="21"/>
      <w:r>
        <w:t xml:space="preserve">Summary</w:t>
      </w:r>
    </w:p>
    <w:p>
      <w:pPr>
        <w:pStyle w:val="FirstParagraph"/>
      </w:pPr>
      <w:r>
        <w:t xml:space="preserve">The regular inseason forecasts of cumulative traditional seine harvest in Southern and Northern Southeast are made using multiple regression models that relate weekly cumulative harvest and sex ratios to the final harvest. The data is updated weekly by the pink salmon biologist and models are run throughout the season.</w:t>
      </w:r>
    </w:p>
    <w:p>
      <w:pPr>
        <w:pStyle w:val="Heading1"/>
      </w:pPr>
      <w:bookmarkStart w:id="22" w:name="data-setup"/>
      <w:bookmarkEnd w:id="22"/>
      <w:r>
        <w:t xml:space="preserve">Data Setup</w:t>
      </w:r>
    </w:p>
    <w:p>
      <w:pPr>
        <w:pStyle w:val="FirstParagraph"/>
      </w:pPr>
      <w:r>
        <w:t xml:space="preserve">Prior to the season, update the two data files in the folder data/ with the most recent cumulative catch (millions) by statistical week and sex percetage (i.e. the percentage of males from the traditional purse seine harvest). The Northern Southeast (NSE) model uses harvest data from 1984 to 2018, stat weeks 27-35, and sex ratios from District 12; the Southern Southeast (SSE) model uses harvest data from 1983 to 2018, stat weeks 28-35, and sex ratios from District 4. This information can be downloaded from…</w:t>
      </w:r>
    </w:p>
    <w:p>
      <w:pPr>
        <w:pStyle w:val="BodyText"/>
      </w:pPr>
      <w:r>
        <w:t xml:space="preserve">For the current year, duplicate the data for the prior year until information is available.</w:t>
      </w:r>
    </w:p>
    <w:p>
      <w:pPr>
        <w:pStyle w:val="BodyText"/>
      </w:pPr>
      <w:r>
        <w:t xml:space="preserve">Inseason, these data files will be updated weekly to run weekly estimates of cumulative purse sein pink salmon harvest in Districts 9-14 (NSE) and Districts 1-7 (SSE).</w:t>
      </w:r>
    </w:p>
    <w:p>
      <w:pPr>
        <w:pStyle w:val="Heading1"/>
      </w:pPr>
      <w:bookmarkStart w:id="23" w:name="analysis"/>
      <w:bookmarkEnd w:id="23"/>
      <w:r>
        <w:t xml:space="preserve">Analysis</w:t>
      </w:r>
    </w:p>
    <w:p>
      <w:pPr>
        <w:pStyle w:val="FirstParagraph"/>
      </w:pPr>
      <w:r>
        <w:t xml:space="preserve">All required packages need for the analysis are loaded prior to running models.</w:t>
      </w:r>
      <w:r>
        <w:t xml:space="preserve"> </w:t>
      </w:r>
      <w:r>
        <w:t xml:space="preserve">These names of these pacakges are located at the top of the</w:t>
      </w:r>
      <w:r>
        <w:t xml:space="preserve"> </w:t>
      </w:r>
      <w:r>
        <w:rPr>
          <w:i/>
        </w:rPr>
        <w:t xml:space="preserve">function.r</w:t>
      </w:r>
      <w:r>
        <w:t xml:space="preserve"> </w:t>
      </w:r>
      <w:r>
        <w:t xml:space="preserve">file.</w:t>
      </w:r>
      <w:r>
        <w:t xml:space="preserve"> </w:t>
      </w:r>
      <w:r>
        <w:t xml:space="preserve">If you are missing a package, you will need to install it from</w:t>
      </w:r>
      <w:r>
        <w:t xml:space="preserve"> </w:t>
      </w:r>
      <w:r>
        <w:rPr>
          <w:i/>
        </w:rPr>
        <w:t xml:space="preserve">CRAN</w:t>
      </w:r>
      <w:r>
        <w:t xml:space="preserve"> </w:t>
      </w:r>
      <w:r>
        <w:t xml:space="preserve">in the usual fashion.</w:t>
      </w:r>
    </w:p>
    <w:p>
      <w:pPr>
        <w:pStyle w:val="BodyText"/>
      </w:pPr>
      <w:r>
        <w:t xml:space="preserve">The functions are sourced within the</w:t>
      </w:r>
      <w:r>
        <w:t xml:space="preserve"> </w:t>
      </w:r>
      <w:r>
        <w:rPr>
          <w:i/>
        </w:rPr>
        <w:t xml:space="preserve">nse_analysis.r file</w:t>
      </w:r>
      <w:r>
        <w:t xml:space="preserve"> </w:t>
      </w:r>
      <w:r>
        <w:t xml:space="preserve">and</w:t>
      </w:r>
      <w:r>
        <w:t xml:space="preserve"> </w:t>
      </w:r>
      <w:r>
        <w:rPr>
          <w:i/>
        </w:rPr>
        <w:t xml:space="preserve">sse_analysis.r file</w:t>
      </w:r>
      <w:r>
        <w:t xml:space="preserve"> </w:t>
      </w:r>
      <w:r>
        <w:t xml:space="preserve">from the file</w:t>
      </w:r>
      <w:r>
        <w:t xml:space="preserve"> </w:t>
      </w:r>
      <w:r>
        <w:rPr>
          <w:i/>
        </w:rPr>
        <w:t xml:space="preserve">functions.r file.</w:t>
      </w:r>
      <w:r>
        <w:t xml:space="preserve"> </w:t>
      </w:r>
      <w:r>
        <w:t xml:space="preserve">The functions are:</w:t>
      </w:r>
    </w:p>
    <w:p>
      <w:pPr>
        <w:pStyle w:val="BodyText"/>
      </w:pPr>
      <w:r>
        <w:rPr>
          <w:i/>
        </w:rPr>
        <w:t xml:space="preserve">sex_dev</w:t>
      </w:r>
      <w:r>
        <w:t xml:space="preserve"> </w:t>
      </w:r>
      <w:r>
        <w:t xml:space="preserve">= creates sex ratio deviation from mean from raw data</w:t>
      </w:r>
    </w:p>
    <w:p>
      <w:pPr>
        <w:pStyle w:val="BodyText"/>
      </w:pPr>
      <w:r>
        <w:rPr>
          <w:i/>
        </w:rPr>
        <w:t xml:space="preserve">nll</w:t>
      </w:r>
      <w:r>
        <w:t xml:space="preserve"> </w:t>
      </w:r>
      <w:r>
        <w:t xml:space="preserve">= sets up structure of negative log likelihood linear models</w:t>
      </w:r>
    </w:p>
    <w:p>
      <w:pPr>
        <w:pStyle w:val="BodyText"/>
      </w:pPr>
      <w:r>
        <w:rPr>
          <w:i/>
        </w:rPr>
        <w:t xml:space="preserve">nll_sex</w:t>
      </w:r>
      <w:r>
        <w:t xml:space="preserve"> </w:t>
      </w:r>
      <w:r>
        <w:t xml:space="preserve">= sets up structure of negative log likelihood linear models that include the parameter sex</w:t>
      </w:r>
    </w:p>
    <w:p>
      <w:pPr>
        <w:pStyle w:val="BodyText"/>
      </w:pPr>
      <w:r>
        <w:rPr>
          <w:i/>
        </w:rPr>
        <w:t xml:space="preserve">f_est</w:t>
      </w:r>
      <w:r>
        <w:t xml:space="preserve"> </w:t>
      </w:r>
      <w:r>
        <w:t xml:space="preserve">= estimates the model fits</w:t>
      </w:r>
    </w:p>
    <w:p>
      <w:pPr>
        <w:pStyle w:val="BodyText"/>
      </w:pPr>
      <w:r>
        <w:rPr>
          <w:i/>
        </w:rPr>
        <w:t xml:space="preserve">f_params</w:t>
      </w:r>
      <w:r>
        <w:t xml:space="preserve"> </w:t>
      </w:r>
      <w:r>
        <w:t xml:space="preserve">= outputs the intercept, slope, and sigma for all model fits</w:t>
      </w:r>
    </w:p>
    <w:p>
      <w:pPr>
        <w:pStyle w:val="BodyText"/>
      </w:pPr>
      <w:r>
        <w:rPr>
          <w:i/>
        </w:rPr>
        <w:t xml:space="preserve">f_pred</w:t>
      </w:r>
      <w:r>
        <w:t xml:space="preserve"> </w:t>
      </w:r>
      <w:r>
        <w:t xml:space="preserve">= outputs the parameters and predictions for all model fits</w:t>
      </w:r>
    </w:p>
    <w:p>
      <w:pPr>
        <w:pStyle w:val="BodyText"/>
      </w:pPr>
      <w:r>
        <w:rPr>
          <w:i/>
        </w:rPr>
        <w:t xml:space="preserve">model_select</w:t>
      </w:r>
      <w:r>
        <w:t xml:space="preserve"> </w:t>
      </w:r>
      <w:r>
        <w:t xml:space="preserve">= outputs the AIC, AICc, delta AICc, AICc weight, and model averaged prediction by week</w:t>
      </w:r>
    </w:p>
    <w:p>
      <w:pPr>
        <w:pStyle w:val="BodyText"/>
      </w:pPr>
      <w:r>
        <w:t xml:space="preserve">The top models are then presented.</w:t>
      </w:r>
    </w:p>
    <w:p>
      <w:pPr>
        <w:pStyle w:val="Heading2"/>
      </w:pPr>
      <w:bookmarkStart w:id="24" w:name="inseason-estimates"/>
      <w:bookmarkEnd w:id="24"/>
      <w:r>
        <w:t xml:space="preserve">Inseason Estimates</w:t>
      </w:r>
    </w:p>
    <w:p>
      <w:pPr>
        <w:pStyle w:val="FirstParagraph"/>
      </w:pPr>
      <w:r>
        <w:t xml:space="preserve">The inputs that need to be specified for the code to run are the stat week of the analysis and the year of the anlaysis. These are specified at the top of the</w:t>
      </w:r>
      <w:r>
        <w:t xml:space="preserve"> </w:t>
      </w:r>
      <w:r>
        <w:rPr>
          <w:i/>
        </w:rPr>
        <w:t xml:space="preserve">nse_analysis.r</w:t>
      </w:r>
      <w:r>
        <w:t xml:space="preserve"> </w:t>
      </w:r>
      <w:r>
        <w:t xml:space="preserve">and the</w:t>
      </w:r>
      <w:r>
        <w:t xml:space="preserve"> </w:t>
      </w:r>
      <w:r>
        <w:rPr>
          <w:i/>
        </w:rPr>
        <w:t xml:space="preserve">sse_analysis.r</w:t>
      </w:r>
      <w:r>
        <w:t xml:space="preserve"> </w:t>
      </w:r>
      <w:r>
        <w:t xml:space="preserve">code in the code fragments:</w:t>
      </w:r>
    </w:p>
    <w:p>
      <w:pPr>
        <w:pStyle w:val="SourceCode"/>
      </w:pPr>
      <w:r>
        <w:rPr>
          <w:rStyle w:val="VerbatimChar"/>
        </w:rPr>
        <w:t xml:space="preserve"># Weekly Settings</w:t>
      </w:r>
      <w:r>
        <w:br w:type="textWrapping"/>
      </w:r>
      <w:r>
        <w:rPr>
          <w:rStyle w:val="VerbatimChar"/>
        </w:rPr>
        <w:t xml:space="preserve">sw_forecast &lt;- 29   # forecast week</w:t>
      </w:r>
      <w:r>
        <w:br w:type="textWrapping"/>
      </w:r>
      <w:r>
        <w:rPr>
          <w:rStyle w:val="VerbatimChar"/>
        </w:rPr>
        <w:t xml:space="preserve">year_forecast &lt;- 2019   # forecast year</w:t>
      </w:r>
    </w:p>
    <w:p>
      <w:pPr>
        <w:pStyle w:val="Heading1"/>
      </w:pPr>
      <w:bookmarkStart w:id="25" w:name="model"/>
      <w:bookmarkEnd w:id="25"/>
      <w:r>
        <w:t xml:space="preserve">Model</w:t>
      </w:r>
    </w:p>
    <w:p>
      <w:pPr>
        <w:pStyle w:val="FirstParagraph"/>
      </w:pPr>
      <w:r>
        <w:t xml:space="preserve">The general inseason forecasting model can be written as,</w:t>
      </w:r>
    </w:p>
    <w:p>
      <w:pPr>
        <w:pStyle w:val="BodyText"/>
      </w:pPr>
      <m:oMathPara>
        <m:oMathParaPr>
          <m:jc m:val="center"/>
        </m:oMathParaPr>
        <m:oMath>
          <m:sSub>
            <m:e>
              <m:r>
                <m:t>H</m:t>
              </m:r>
            </m:e>
            <m:sub>
              <m:r>
                <m:t>t</m:t>
              </m:r>
            </m:sub>
          </m:sSub>
          <m:r>
            <m:t>=</m:t>
          </m:r>
          <m:r>
            <m:t>(</m:t>
          </m:r>
          <m:sSub>
            <m:e>
              <m:r>
                <m:t>a</m:t>
              </m:r>
            </m:e>
            <m:sub>
              <m:r>
                <m:t>w</m:t>
              </m:r>
            </m:sub>
          </m:sSub>
          <m:r>
            <m:t>+</m:t>
          </m:r>
          <m:sSub>
            <m:e>
              <m:r>
                <m:t>b</m:t>
              </m:r>
            </m:e>
            <m:sub>
              <m:r>
                <m:t>w</m:t>
              </m:r>
            </m:sub>
          </m:sSub>
          <m:r>
            <m:t>*</m:t>
          </m:r>
          <m:sSub>
            <m:e>
              <m:r>
                <m:t>E</m:t>
              </m:r>
            </m:e>
            <m:sub>
              <m:r>
                <m:t>t</m:t>
              </m:r>
              <m:r>
                <m:t>,</m:t>
              </m:r>
              <m:r>
                <m:t>w</m:t>
              </m:r>
            </m:sub>
          </m:sSub>
          <m:r>
            <m:t>+</m:t>
          </m:r>
          <m:sSub>
            <m:e>
              <m:r>
                <m:t>c</m:t>
              </m:r>
            </m:e>
            <m:sub>
              <m:r>
                <m:t>w</m:t>
              </m:r>
            </m:sub>
          </m:sSub>
          <m:r>
            <m:t>*</m:t>
          </m:r>
          <m:sSub>
            <m:e>
              <m:r>
                <m:t>H</m:t>
              </m:r>
            </m:e>
            <m:sub>
              <m:r>
                <m:t>t</m:t>
              </m:r>
              <m:r>
                <m:t>,</m:t>
              </m:r>
              <m:r>
                <m:t>w</m:t>
              </m:r>
            </m:sub>
          </m:sSub>
          <m:r>
            <m:t>)</m:t>
          </m:r>
          <m:r>
            <m:t>*</m:t>
          </m:r>
          <m:r>
            <m:t>(</m:t>
          </m:r>
          <m:r>
            <m:t>1</m:t>
          </m:r>
          <m:r>
            <m:t>+</m:t>
          </m:r>
          <m:sSub>
            <m:e>
              <m:r>
                <m:t>d</m:t>
              </m:r>
            </m:e>
            <m:sub>
              <m:r>
                <m:t>w</m:t>
              </m:r>
            </m:sub>
          </m:sSub>
          <m:r>
            <m:t>*</m:t>
          </m:r>
          <m:sSub>
            <m:e>
              <m:r>
                <m:t>S</m:t>
              </m:r>
            </m:e>
            <m:sub>
              <m:r>
                <m:t>t</m:t>
              </m:r>
              <m:r>
                <m:t>,</m:t>
              </m:r>
              <m:r>
                <m:t>w</m:t>
              </m:r>
            </m:sub>
          </m:sSub>
          <m:r>
            <m:t>)</m:t>
          </m:r>
        </m:oMath>
      </m:oMathPara>
    </w:p>
    <w:p>
      <w:pPr>
        <w:pStyle w:val="FirstParagraph"/>
      </w:pPr>
      <w:r>
        <w:t xml:space="preserve">where</w:t>
      </w:r>
      <w:r>
        <w:t xml:space="preserve"> </w:t>
      </w:r>
      <m:oMath>
        <m:sSub>
          <m:e>
            <m:r>
              <m:t>H</m:t>
            </m:r>
          </m:e>
          <m:sub>
            <m:r>
              <m:t>t</m:t>
            </m:r>
          </m:sub>
        </m:sSub>
      </m:oMath>
      <w:r>
        <w:t xml:space="preserve"> </w:t>
      </w:r>
      <w:r>
        <w:t xml:space="preserve">is total harvest in year t;</w:t>
      </w:r>
      <w:r>
        <w:br w:type="textWrapping"/>
      </w:r>
      <m:oMath>
        <m:sSub>
          <m:e>
            <m:r>
              <m:t>E</m:t>
            </m:r>
          </m:e>
          <m:sub>
            <m:r>
              <m:t>t</m:t>
            </m:r>
            <m:r>
              <m:t>,</m:t>
            </m:r>
            <m:r>
              <m:t>w</m:t>
            </m:r>
          </m:sub>
        </m:sSub>
      </m:oMath>
      <w:r>
        <w:t xml:space="preserve"> </w:t>
      </w:r>
      <w:r>
        <w:t xml:space="preserve">is cumulative CPUE by the end of week</w:t>
      </w:r>
      <w:r>
        <w:t xml:space="preserve"> </w:t>
      </w:r>
      <m:oMath>
        <m:r>
          <m:t>w</m:t>
        </m:r>
      </m:oMath>
      <w:r>
        <w:t xml:space="preserve"> </w:t>
      </w:r>
      <w:r>
        <w:t xml:space="preserve">in year</w:t>
      </w:r>
      <w:r>
        <w:t xml:space="preserve"> </w:t>
      </w:r>
      <m:oMath>
        <m:r>
          <m:t>t</m:t>
        </m:r>
      </m:oMath>
      <w:r>
        <w:t xml:space="preserve">;</w:t>
      </w:r>
      <w:r>
        <w:br w:type="textWrapping"/>
      </w:r>
      <m:oMath>
        <m:sSub>
          <m:e>
            <m:r>
              <m:t>H</m:t>
            </m:r>
          </m:e>
          <m:sub>
            <m:r>
              <m:t>t</m:t>
            </m:r>
            <m:r>
              <m:t>w</m:t>
            </m:r>
          </m:sub>
        </m:sSub>
      </m:oMath>
      <w:r>
        <w:t xml:space="preserve"> </w:t>
      </w:r>
      <w:r>
        <w:t xml:space="preserve">is cumulative harvest by the end of week</w:t>
      </w:r>
      <w:r>
        <w:t xml:space="preserve"> </w:t>
      </w:r>
      <m:oMath>
        <m:r>
          <m:t>w</m:t>
        </m:r>
      </m:oMath>
      <w:r>
        <w:t xml:space="preserve"> </w:t>
      </w:r>
      <w:r>
        <w:t xml:space="preserve">in year</w:t>
      </w:r>
      <w:r>
        <w:t xml:space="preserve"> </w:t>
      </w:r>
      <m:oMath>
        <m:r>
          <m:t>t</m:t>
        </m:r>
      </m:oMath>
      <w:r>
        <w:t xml:space="preserve">;</w:t>
      </w:r>
      <w:r>
        <w:br w:type="textWrapping"/>
      </w:r>
      <m:oMath>
        <m:sSub>
          <m:e>
            <m:r>
              <m:t>S</m:t>
            </m:r>
          </m:e>
          <m:sub>
            <m:r>
              <m:t>t</m:t>
            </m:r>
            <m:r>
              <m:t>,</m:t>
            </m:r>
            <m:r>
              <m:t>w</m:t>
            </m:r>
          </m:sub>
        </m:sSub>
      </m:oMath>
      <w:r>
        <w:t xml:space="preserve"> </w:t>
      </w:r>
      <w:r>
        <w:t xml:space="preserve">is the sex ratio index by the end of week</w:t>
      </w:r>
      <w:r>
        <w:t xml:space="preserve"> </w:t>
      </w:r>
      <m:oMath>
        <m:r>
          <m:t>w</m:t>
        </m:r>
      </m:oMath>
      <w:r>
        <w:t xml:space="preserve"> </w:t>
      </w:r>
      <w:r>
        <w:t xml:space="preserve">in year</w:t>
      </w:r>
      <w:r>
        <w:t xml:space="preserve"> </w:t>
      </w:r>
      <m:oMath>
        <m:r>
          <m:t>t</m:t>
        </m:r>
      </m:oMath>
      <w:r>
        <w:t xml:space="preserve">;</w:t>
      </w:r>
      <w:r>
        <w:br w:type="textWrapping"/>
      </w:r>
      <m:oMath>
        <m:sSub>
          <m:e>
            <m:r>
              <m:t>a</m:t>
            </m:r>
          </m:e>
          <m:sub>
            <m:r>
              <m:t>w</m:t>
            </m:r>
          </m:sub>
        </m:sSub>
      </m:oMath>
      <w:r>
        <w:t xml:space="preserve">,</w:t>
      </w:r>
      <w:r>
        <w:t xml:space="preserve"> </w:t>
      </w:r>
      <m:oMath>
        <m:sSub>
          <m:e>
            <m:r>
              <m:t>b</m:t>
            </m:r>
          </m:e>
          <m:sub>
            <m:r>
              <m:t>w</m:t>
            </m:r>
          </m:sub>
        </m:sSub>
      </m:oMath>
      <w:r>
        <w:t xml:space="preserve">,</w:t>
      </w:r>
      <w:r>
        <w:t xml:space="preserve"> </w:t>
      </w:r>
      <m:oMath>
        <m:sSub>
          <m:e>
            <m:r>
              <m:t>c</m:t>
            </m:r>
          </m:e>
          <m:sub>
            <m:r>
              <m:t>w</m:t>
            </m:r>
          </m:sub>
        </m:sSub>
      </m:oMath>
      <w:r>
        <w:t xml:space="preserve">, and</w:t>
      </w:r>
      <w:r>
        <w:t xml:space="preserve"> </w:t>
      </w:r>
      <m:oMath>
        <m:sSub>
          <m:e>
            <m:r>
              <m:t>d</m:t>
            </m:r>
          </m:e>
          <m:sub>
            <m:r>
              <m:t>w</m:t>
            </m:r>
          </m:sub>
        </m:sSub>
      </m:oMath>
      <w:r>
        <w:t xml:space="preserve"> </w:t>
      </w:r>
      <w:r>
        <w:t xml:space="preserve">are parameters.</w:t>
      </w:r>
    </w:p>
    <w:p>
      <w:pPr>
        <w:pStyle w:val="BodyText"/>
      </w:pPr>
      <w:r>
        <w:t xml:space="preserve">The sex ratio index is derived from deviations of weekly male proportions to the corresponding weekly average. It is the value of cumulative deviations over time in a particular year.</w:t>
      </w:r>
    </w:p>
    <w:p>
      <w:pPr>
        <w:pStyle w:val="BodyText"/>
      </w:pPr>
      <w:r>
        <w:t xml:space="preserve">In the preliminary study,</w:t>
      </w:r>
      <w:r>
        <w:t xml:space="preserve"> </w:t>
      </w:r>
      <m:oMath>
        <m:sSub>
          <m:e>
            <m:r>
              <m:t>E</m:t>
            </m:r>
          </m:e>
          <m:sub>
            <m:r>
              <m:t>t</m:t>
            </m:r>
            <m:r>
              <m:t>,</m:t>
            </m:r>
            <m:r>
              <m:t>w</m:t>
            </m:r>
          </m:sub>
        </m:sSub>
      </m:oMath>
      <w:r>
        <w:t xml:space="preserve"> </w:t>
      </w:r>
      <w:r>
        <w:t xml:space="preserve">was found to be a redundant predictor. After removing</w:t>
      </w:r>
      <w:r>
        <w:t xml:space="preserve"> </w:t>
      </w:r>
      <m:oMath>
        <m:sSub>
          <m:e>
            <m:r>
              <m:t>E</m:t>
            </m:r>
          </m:e>
          <m:sub>
            <m:r>
              <m:t>t</m:t>
            </m:r>
            <m:r>
              <m:t>,</m:t>
            </m:r>
            <m:r>
              <m:t>w</m:t>
            </m:r>
          </m:sub>
        </m:sSub>
      </m:oMath>
      <w:r>
        <w:t xml:space="preserve"> </w:t>
      </w:r>
      <w:r>
        <w:t xml:space="preserve">(let</w:t>
      </w:r>
      <w:r>
        <w:t xml:space="preserve"> </w:t>
      </w:r>
      <m:oMath>
        <m:sSub>
          <m:e>
            <m:r>
              <m:t>b</m:t>
            </m:r>
          </m:e>
          <m:sub>
            <m:r>
              <m:t>w</m:t>
            </m:r>
          </m:sub>
        </m:sSub>
      </m:oMath>
      <w:r>
        <w:t xml:space="preserve"> </w:t>
      </w:r>
      <w:r>
        <w:t xml:space="preserve">= 0) from the model above, the reduced model is,</w:t>
      </w:r>
    </w:p>
    <w:p>
      <w:pPr>
        <w:pStyle w:val="BodyText"/>
      </w:pPr>
      <m:oMathPara>
        <m:oMathParaPr>
          <m:jc m:val="center"/>
        </m:oMathParaPr>
        <m:oMath>
          <m:sSub>
            <m:e>
              <m:r>
                <m:t>H</m:t>
              </m:r>
            </m:e>
            <m:sub>
              <m:r>
                <m:t>t</m:t>
              </m:r>
            </m:sub>
          </m:sSub>
          <m:r>
            <m:t>=</m:t>
          </m:r>
          <m:r>
            <m:t>(</m:t>
          </m:r>
          <m:sSub>
            <m:e>
              <m:r>
                <m:t>a</m:t>
              </m:r>
            </m:e>
            <m:sub>
              <m:r>
                <m:t>w</m:t>
              </m:r>
            </m:sub>
          </m:sSub>
          <m:r>
            <m:t>+</m:t>
          </m:r>
          <m:sSub>
            <m:e>
              <m:r>
                <m:t>c</m:t>
              </m:r>
            </m:e>
            <m:sub>
              <m:r>
                <m:t>w</m:t>
              </m:r>
            </m:sub>
          </m:sSub>
          <m:r>
            <m:t>*</m:t>
          </m:r>
          <m:sSub>
            <m:e>
              <m:r>
                <m:t>H</m:t>
              </m:r>
            </m:e>
            <m:sub>
              <m:r>
                <m:t>t</m:t>
              </m:r>
              <m:r>
                <m:t>,</m:t>
              </m:r>
              <m:r>
                <m:t>w</m:t>
              </m:r>
            </m:sub>
          </m:sSub>
          <m:r>
            <m:t>)</m:t>
          </m:r>
          <m:r>
            <m:t>*</m:t>
          </m:r>
          <m:r>
            <m:t>(</m:t>
          </m:r>
          <m:r>
            <m:t>1</m:t>
          </m:r>
          <m:r>
            <m:t>+</m:t>
          </m:r>
          <m:sSub>
            <m:e>
              <m:r>
                <m:t>d</m:t>
              </m:r>
            </m:e>
            <m:sub>
              <m:r>
                <m:t>w</m:t>
              </m:r>
            </m:sub>
          </m:sSub>
          <m:r>
            <m:t>*</m:t>
          </m:r>
          <m:sSub>
            <m:e>
              <m:r>
                <m:t>S</m:t>
              </m:r>
            </m:e>
            <m:sub>
              <m:r>
                <m:t>t</m:t>
              </m:r>
              <m:r>
                <m:t>,</m:t>
              </m:r>
              <m:r>
                <m:t>w</m:t>
              </m:r>
            </m:sub>
          </m:sSub>
          <m:r>
            <m:t>)</m:t>
          </m:r>
          <m:r>
            <m:t>,</m:t>
          </m:r>
        </m:oMath>
      </m:oMathPara>
    </w:p>
    <w:p>
      <w:pPr>
        <w:pStyle w:val="FirstParagraph"/>
      </w:pPr>
      <w:r>
        <w:t xml:space="preserve">Further, if</w:t>
      </w:r>
      <w:r>
        <w:t xml:space="preserve"> </w:t>
      </w:r>
      <m:oMath>
        <m:sSub>
          <m:e>
            <m:r>
              <m:t>d</m:t>
            </m:r>
          </m:e>
          <m:sub>
            <m:r>
              <m:t>w</m:t>
            </m:r>
          </m:sub>
        </m:sSub>
      </m:oMath>
      <w:r>
        <w:t xml:space="preserve"> </w:t>
      </w:r>
      <w:r>
        <w:t xml:space="preserve">= 0, a more parsimonious model is</w:t>
      </w:r>
    </w:p>
    <w:p>
      <w:pPr>
        <w:pStyle w:val="BodyText"/>
      </w:pPr>
      <m:oMathPara>
        <m:oMathParaPr>
          <m:jc m:val="center"/>
        </m:oMathParaPr>
        <m:oMath>
          <m:sSub>
            <m:e>
              <m:r>
                <m:t>H</m:t>
              </m:r>
            </m:e>
            <m:sub>
              <m:r>
                <m:t>t</m:t>
              </m:r>
            </m:sub>
          </m:sSub>
          <m:r>
            <m:t>=</m:t>
          </m:r>
          <m:sSub>
            <m:e>
              <m:r>
                <m:t>a</m:t>
              </m:r>
            </m:e>
            <m:sub>
              <m:r>
                <m:t>w</m:t>
              </m:r>
            </m:sub>
          </m:sSub>
          <m:r>
            <m:t>+</m:t>
          </m:r>
          <m:sSub>
            <m:e>
              <m:r>
                <m:t>c</m:t>
              </m:r>
            </m:e>
            <m:sub>
              <m:r>
                <m:t>w</m:t>
              </m:r>
            </m:sub>
          </m:sSub>
          <m:r>
            <m:t>*</m:t>
          </m:r>
          <m:sSub>
            <m:e>
              <m:r>
                <m:t>H</m:t>
              </m:r>
            </m:e>
            <m:sub>
              <m:r>
                <m:t>t</m:t>
              </m:r>
              <m:r>
                <m:t>,</m:t>
              </m:r>
              <m:r>
                <m:t>w</m:t>
              </m:r>
            </m:sub>
          </m:sSub>
          <m:r>
            <m:t>.</m:t>
          </m:r>
        </m:oMath>
      </m:oMathPara>
    </w:p>
    <w:p>
      <w:pPr>
        <w:pStyle w:val="Heading2"/>
      </w:pPr>
      <w:bookmarkStart w:id="26" w:name="model-selection"/>
      <w:bookmarkEnd w:id="26"/>
      <w:r>
        <w:t xml:space="preserve">Model Selection</w:t>
      </w:r>
    </w:p>
    <w:p>
      <w:pPr>
        <w:pStyle w:val="FirstParagraph"/>
      </w:pPr>
      <w:r>
        <w:t xml:space="preserve">Akaike Information Criterion (AIC) or AIC corrected for small sample sizes (AICc values; Burnham and Anderson 1998) is used for model selection. The better model has the smallest AIC or AICc value.The difference (</w:t>
      </w:r>
      <m:oMath>
        <m:sSub>
          <m:e>
            <m:r>
              <m:t>△</m:t>
            </m:r>
          </m:e>
          <m:sub>
            <m:r>
              <m:t>i</m:t>
            </m:r>
          </m:sub>
        </m:sSub>
      </m:oMath>
      <w:r>
        <w:t xml:space="preserve">) between a given model and the model with the lowest AICc value is the primary statistic for choosing appropriate models. For biologically realistic models, those with</w:t>
      </w:r>
      <w:r>
        <w:t xml:space="preserve"> </w:t>
      </w:r>
      <m:oMath>
        <m:sSub>
          <m:e>
            <m:r>
              <m:t>△</m:t>
            </m:r>
          </m:e>
          <m:sub>
            <m:r>
              <m:t>i</m:t>
            </m:r>
          </m:sub>
        </m:sSub>
        <m:r>
          <m:t>≤</m:t>
        </m:r>
      </m:oMath>
      <w:r>
        <w:t xml:space="preserve"> </w:t>
      </w:r>
      <w:r>
        <w:t xml:space="preserve">2 have substantial support, those in which 4</w:t>
      </w:r>
      <w:r>
        <w:t xml:space="preserve"> </w:t>
      </w:r>
      <m:oMath>
        <m:r>
          <m:t>≤</m:t>
        </m:r>
        <m:sSub>
          <m:e>
            <m:r>
              <m:t>△</m:t>
            </m:r>
          </m:e>
          <m:sub>
            <m:r>
              <m:t>i</m:t>
            </m:r>
          </m:sub>
        </m:sSub>
        <m:r>
          <m:t>≤</m:t>
        </m:r>
      </m:oMath>
      <w:r>
        <w:t xml:space="preserve"> </w:t>
      </w:r>
      <w:r>
        <w:t xml:space="preserve">7 have considerably less support, and models with</w:t>
      </w:r>
      <w:r>
        <w:t xml:space="preserve"> </w:t>
      </w:r>
      <m:oMath>
        <m:sSub>
          <m:e>
            <m:r>
              <m:t>△</m:t>
            </m:r>
          </m:e>
          <m:sub>
            <m:r>
              <m:t>i</m:t>
            </m:r>
          </m:sub>
        </m:sSub>
      </m:oMath>
      <w:r>
        <w:t xml:space="preserve"> </w:t>
      </w:r>
      <w:r>
        <w:t xml:space="preserve">&gt; 10 have essentially no support (Burnham and Anderson 2004).</w:t>
      </w:r>
    </w:p>
    <w:p>
      <w:pPr>
        <w:pStyle w:val="Heading3"/>
      </w:pPr>
      <w:bookmarkStart w:id="27" w:name="model-averaging"/>
      <w:bookmarkEnd w:id="27"/>
      <w:r>
        <w:t xml:space="preserve">Model Averaging</w:t>
      </w:r>
    </w:p>
    <w:p>
      <w:pPr>
        <w:pStyle w:val="FirstParagraph"/>
      </w:pPr>
      <w:r>
        <w:t xml:space="preserve">To determine the plausibility of each model, given the data and set of models, the</w:t>
      </w:r>
      <w:r>
        <w:t xml:space="preserve"> </w:t>
      </w:r>
      <w:r>
        <w:t xml:space="preserve">‘</w:t>
      </w:r>
      <w:r>
        <w:t xml:space="preserve">Akaike weight</w:t>
      </w:r>
      <w:r>
        <w:t xml:space="preserve">’</w:t>
      </w:r>
      <w:r>
        <w:t xml:space="preserve"> </w:t>
      </w:r>
      <m:oMath>
        <m:sSub>
          <m:e>
            <m:r>
              <m:t>w</m:t>
            </m:r>
          </m:e>
          <m:sub>
            <m:r>
              <m:t>i</m:t>
            </m:r>
          </m:sub>
        </m:sSub>
      </m:oMath>
      <w:r>
        <w:t xml:space="preserve"> </w:t>
      </w:r>
      <w:r>
        <w:t xml:space="preserve">of each model was calculated,</w:t>
      </w:r>
    </w:p>
    <w:p>
      <w:pPr>
        <w:pStyle w:val="BodyText"/>
      </w:pPr>
      <m:oMathPara>
        <m:oMathParaPr>
          <m:jc m:val="center"/>
        </m:oMathParaPr>
        <m:oMath>
          <m:sSub>
            <m:e>
              <m:r>
                <m:t>w</m:t>
              </m:r>
            </m:e>
            <m:sub>
              <m:r>
                <m:t>i</m:t>
              </m:r>
            </m:sub>
          </m:sSub>
          <m:r>
            <m:t>=</m:t>
          </m:r>
          <m:f>
            <m:fPr>
              <m:type m:val="bar"/>
            </m:fPr>
            <m:num>
              <m:r>
                <m:t>e</m:t>
              </m:r>
              <m:r>
                <m:t>x</m:t>
              </m:r>
              <m:r>
                <m:t>p</m:t>
              </m:r>
              <m:r>
                <m:t>(</m:t>
              </m:r>
              <m:r>
                <m:t>−</m:t>
              </m:r>
              <m:sSub>
                <m:e>
                  <m:r>
                    <m:t>△</m:t>
                  </m:r>
                </m:e>
                <m:sub>
                  <m:r>
                    <m:t>i</m:t>
                  </m:r>
                </m:sub>
              </m:sSub>
              <m:r>
                <m:t>/</m:t>
              </m:r>
              <m:r>
                <m:t>2</m:t>
              </m:r>
              <m:r>
                <m:t>)</m:t>
              </m:r>
            </m:num>
            <m:den>
              <m:nary>
                <m:naryPr>
                  <m:chr m:val="∑"/>
                  <m:limLoc m:val="undOvr"/>
                  <m:subHide m:val="0"/>
                  <m:supHide m:val="0"/>
                </m:naryPr>
                <m:sub>
                  <m:r>
                    <m:t>r</m:t>
                  </m:r>
                  <m:r>
                    <m:t>=</m:t>
                  </m:r>
                  <m:r>
                    <m:t>1</m:t>
                  </m:r>
                </m:sub>
                <m:sup>
                  <m:r>
                    <m:t>R</m:t>
                  </m:r>
                </m:sup>
                <m:e>
                  <m:r>
                    <m:t>e</m:t>
                  </m:r>
                </m:e>
              </m:nary>
              <m:r>
                <m:t>x</m:t>
              </m:r>
              <m:r>
                <m:t>p</m:t>
              </m:r>
              <m:r>
                <m:t>(</m:t>
              </m:r>
              <m:r>
                <m:t>−</m:t>
              </m:r>
              <m:sSub>
                <m:e>
                  <m:r>
                    <m:t>△</m:t>
                  </m:r>
                </m:e>
                <m:sub>
                  <m:r>
                    <m:t>r</m:t>
                  </m:r>
                </m:sub>
              </m:sSub>
              <m:r>
                <m:t>/</m:t>
              </m:r>
              <m:r>
                <m:t>2</m:t>
              </m:r>
              <m:r>
                <m:t>)</m:t>
              </m:r>
            </m:den>
          </m:f>
          <m:r>
            <m:t>.</m:t>
          </m:r>
        </m:oMath>
      </m:oMathPara>
    </w:p>
    <w:p>
      <w:pPr>
        <w:pStyle w:val="FirstParagraph"/>
      </w:pPr>
      <w:r>
        <w:t xml:space="preserve">From the available set of models, the</w:t>
      </w:r>
      <w:r>
        <w:t xml:space="preserve"> </w:t>
      </w:r>
      <w:r>
        <w:t xml:space="preserve">‘</w:t>
      </w:r>
      <w:r>
        <w:t xml:space="preserve">Akaike weight</w:t>
      </w:r>
      <w:r>
        <w:t xml:space="preserve">’</w:t>
      </w:r>
      <w:r>
        <w:t xml:space="preserve"> </w:t>
      </w:r>
      <w:r>
        <w:t xml:space="preserve">is considered as the weight of evidence in favor of a particular model</w:t>
      </w:r>
      <w:r>
        <w:t xml:space="preserve"> </w:t>
      </w:r>
      <w:r>
        <w:rPr>
          <w:i/>
        </w:rPr>
        <w:t xml:space="preserve">i</w:t>
      </w:r>
      <w:r>
        <w:t xml:space="preserve"> </w:t>
      </w:r>
      <w:r>
        <w:t xml:space="preserve">being the actual best model (Akaike 1983; Burnham and Anderson 2002). The</w:t>
      </w:r>
      <w:r>
        <w:t xml:space="preserve"> </w:t>
      </w:r>
      <w:r>
        <w:t xml:space="preserve">‘</w:t>
      </w:r>
      <w:r>
        <w:t xml:space="preserve">average</w:t>
      </w:r>
      <w:r>
        <w:t xml:space="preserve">’</w:t>
      </w:r>
      <w:r>
        <w:t xml:space="preserve"> </w:t>
      </w:r>
      <w:r>
        <w:t xml:space="preserve">model was determined by averaging the predicted response variable</w:t>
      </w:r>
      <w:r>
        <w:t xml:space="preserve"> </w:t>
      </w:r>
      <m:oMath>
        <m:r>
          <m:t>Y</m:t>
        </m:r>
      </m:oMath>
      <w:r>
        <w:t xml:space="preserve"> </w:t>
      </w:r>
      <w:r>
        <w:t xml:space="preserve">across the avilable set of models, and then using the corresponding</w:t>
      </w:r>
      <w:r>
        <w:t xml:space="preserve"> </w:t>
      </w:r>
      <m:oMath>
        <m:sSub>
          <m:e>
            <m:r>
              <m:t>w</m:t>
            </m:r>
          </m:e>
          <m:sub>
            <m:r>
              <m:t>i</m:t>
            </m:r>
          </m:sub>
        </m:sSub>
      </m:oMath>
      <w:r>
        <w:t xml:space="preserve">’s as weights. The model averaged prediction is then</w:t>
      </w:r>
    </w:p>
    <w:p>
      <w:pPr>
        <w:pStyle w:val="BodyText"/>
      </w:pPr>
      <m:oMathPara>
        <m:oMathParaPr>
          <m:jc m:val="center"/>
        </m:oMathParaPr>
        <m:oMath>
          <m:bar>
            <m:barPr>
              <m:pos m:val="top"/>
            </m:barPr>
            <m:e>
              <m:r>
                <m:t>Y</m:t>
              </m:r>
            </m:e>
          </m:bar>
          <m:r>
            <m:t>=</m:t>
          </m:r>
          <m:nary>
            <m:naryPr>
              <m:chr m:val="∑"/>
              <m:limLoc m:val="undOvr"/>
              <m:subHide m:val="0"/>
              <m:supHide m:val="0"/>
            </m:naryPr>
            <m:sub>
              <m:r>
                <m:t>i</m:t>
              </m:r>
              <m:r>
                <m:t>=</m:t>
              </m:r>
              <m:r>
                <m:t>1</m:t>
              </m:r>
            </m:sub>
            <m:sup>
              <m:r>
                <m:t>I</m:t>
              </m:r>
            </m:sup>
            <m:e>
              <m:sSub>
                <m:e>
                  <m:r>
                    <m:t>w</m:t>
                  </m:r>
                </m:e>
                <m:sub>
                  <m:r>
                    <m:t>i</m:t>
                  </m:r>
                </m:sub>
              </m:sSub>
            </m:e>
          </m:nary>
          <m:r>
            <m:t>*</m:t>
          </m:r>
          <m:sSub>
            <m:e>
              <m:groupChr>
                <m:groupChrPr>
                  <m:chr m:val="^"/>
                  <m:pos m:val="top"/>
                  <m:vertJc m:val="bot"/>
                </m:groupChrPr>
                <m:e>
                  <m:r>
                    <m:t>Y</m:t>
                  </m:r>
                </m:e>
              </m:groupChr>
            </m:e>
            <m:sub>
              <m:r>
                <m:t>i</m:t>
              </m:r>
            </m:sub>
          </m:sSub>
          <m:r>
            <m:t>.</m:t>
          </m:r>
        </m:oMath>
      </m:oMathPara>
    </w:p>
    <w:p>
      <w:pPr>
        <w:pStyle w:val="FirstParagraph"/>
      </w:pPr>
      <w:r>
        <w:t xml:space="preserve">The inseason forecast will be produced in the section:</w:t>
      </w:r>
    </w:p>
    <w:p>
      <w:pPr>
        <w:pStyle w:val="SourceCode"/>
      </w:pPr>
      <w:r>
        <w:rPr>
          <w:rStyle w:val="VerbatimChar"/>
        </w:rPr>
        <w:t xml:space="preserve"># top models</w:t>
      </w:r>
      <w:r>
        <w:br w:type="textWrapping"/>
      </w:r>
      <w:r>
        <w:rPr>
          <w:rStyle w:val="VerbatimChar"/>
        </w:rPr>
        <w:t xml:space="preserve">results %&gt;% </w:t>
      </w:r>
      <w:r>
        <w:br w:type="textWrapping"/>
      </w:r>
      <w:r>
        <w:rPr>
          <w:rStyle w:val="VerbatimChar"/>
        </w:rPr>
        <w:t xml:space="preserve">  filter(delta_AICc==0)</w:t>
      </w:r>
    </w:p>
    <w:p>
      <w:pPr>
        <w:pStyle w:val="FirstParagraph"/>
      </w:pPr>
      <w:r>
        <w:t xml:space="preserve">The forecast is in the column</w:t>
      </w:r>
      <w:r>
        <w:t xml:space="preserve"> </w:t>
      </w:r>
      <w:r>
        <w:t xml:space="preserve">‘</w:t>
      </w:r>
      <w:r>
        <w:t xml:space="preserve">model_avg.</w:t>
      </w:r>
      <w:r>
        <w:t xml:space="preserve">’</w:t>
      </w:r>
    </w:p>
    <w:p>
      <w:pPr>
        <w:pStyle w:val="Heading1"/>
      </w:pPr>
      <w:bookmarkStart w:id="28" w:name="references"/>
      <w:bookmarkEnd w:id="28"/>
      <w:r>
        <w:t xml:space="preserve">References</w:t>
      </w:r>
    </w:p>
    <w:p>
      <w:pPr>
        <w:pStyle w:val="FirstParagraph"/>
      </w:pPr>
      <w:r>
        <w:t xml:space="preserve">Akaike, H., 1983. Information measures and model selection. International Statistical Institute 44, 277-291.</w:t>
      </w:r>
    </w:p>
    <w:p>
      <w:pPr>
        <w:pStyle w:val="BodyText"/>
      </w:pPr>
      <w:r>
        <w:t xml:space="preserve">Burnham, K. P., and Anderson, D.R. 1998. Model Selection and Inference. Springer, New York. 353 pp.</w:t>
      </w:r>
    </w:p>
    <w:p>
      <w:pPr>
        <w:pStyle w:val="BodyText"/>
      </w:pPr>
      <w:r>
        <w:t xml:space="preserve">Burnham, K.P., Anderson, D.R., 2002. Model selection and multimodel inference: a practical information-theoretic approach, 2nd edn. Springer, New York.</w:t>
      </w:r>
    </w:p>
    <w:p>
      <w:pPr>
        <w:pStyle w:val="BodyText"/>
      </w:pPr>
      <w:r>
        <w:t xml:space="preserve">Burnham, K. P., and Anderson, D.R. 2004. Multimodel inference: Understanding AIC and BIC in model selection. Sociological Methods and Research, Vol. 33(2): 261-304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94a1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for Inseason Estimates for Pink Salmon Cumulative Harvest in Southeast Alaska</dc:title>
  <dc:creator>Sara Miller</dc:creator>
  <dcterms:created xsi:type="dcterms:W3CDTF">2019-07-17T21:00:39Z</dcterms:created>
  <dcterms:modified xsi:type="dcterms:W3CDTF">2019-07-17T21:00:39Z</dcterms:modified>
</cp:coreProperties>
</file>